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B394" w14:textId="77777777" w:rsidR="00581BDE" w:rsidRDefault="00407C7E" w:rsidP="00581BDE">
      <w:pPr>
        <w:pStyle w:val="Subtitle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yk7b5ua5z4h2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14:paraId="4CFA15C5" w14:textId="77777777" w:rsidR="00581BDE" w:rsidRDefault="00581BDE" w:rsidP="00581BDE">
      <w:pPr>
        <w:pStyle w:val="Subtitle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C79453" w14:textId="44A1A300" w:rsidR="00581BDE" w:rsidRDefault="00581BDE" w:rsidP="00581BDE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Outline:</w:t>
      </w:r>
      <w:r w:rsidR="00407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Roles of Men and Women in the Nomadic Hunter-Gatherer Society</w:t>
      </w:r>
    </w:p>
    <w:p w14:paraId="4F921243" w14:textId="77777777" w:rsidR="00581BDE" w:rsidRDefault="00581BDE" w:rsidP="00581BDE">
      <w:p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(Case Study: Kung People of Southern Africa)</w:t>
      </w:r>
    </w:p>
    <w:p w14:paraId="0361C5D5" w14:textId="77777777" w:rsidR="00581BDE" w:rsidRDefault="00581BDE" w:rsidP="00581BDE">
      <w:pPr>
        <w:pStyle w:val="Subtitle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2DFD4F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D99">
        <w:rPr>
          <w:rFonts w:ascii="Times New Roman" w:hAnsi="Times New Roman" w:cs="Times New Roman"/>
          <w:sz w:val="24"/>
          <w:szCs w:val="24"/>
        </w:rPr>
        <w:t>Student’s Name</w:t>
      </w:r>
    </w:p>
    <w:p w14:paraId="4A5B974A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7D8AF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D09382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B7A536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49F14B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D99"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62BA9AA4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D99">
        <w:rPr>
          <w:rFonts w:ascii="Times New Roman" w:hAnsi="Times New Roman" w:cs="Times New Roman"/>
          <w:sz w:val="24"/>
          <w:szCs w:val="24"/>
        </w:rPr>
        <w:t>Course Name</w:t>
      </w:r>
    </w:p>
    <w:p w14:paraId="2BCB81F6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D99">
        <w:rPr>
          <w:rFonts w:ascii="Times New Roman" w:hAnsi="Times New Roman" w:cs="Times New Roman"/>
          <w:sz w:val="24"/>
          <w:szCs w:val="24"/>
        </w:rPr>
        <w:t>Date</w:t>
      </w:r>
    </w:p>
    <w:p w14:paraId="394581ED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96267B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4F1E2B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451729" w14:textId="77777777" w:rsidR="00581BDE" w:rsidRDefault="00581BDE" w:rsidP="00581B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965AEF" w14:textId="77777777" w:rsidR="00581BDE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2B50E7" w14:textId="77777777" w:rsidR="00581BDE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CB6BBC" w14:textId="77777777" w:rsidR="00581BDE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CE8B33" w14:textId="77777777" w:rsidR="00581BDE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1D0AEC" w14:textId="77777777" w:rsidR="00581BDE" w:rsidRPr="00054D99" w:rsidRDefault="00581BDE" w:rsidP="00581B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794236" w14:textId="276EF5CE" w:rsidR="00581BDE" w:rsidRDefault="00581BDE" w:rsidP="00581BDE">
      <w:pPr>
        <w:pStyle w:val="Subtitle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Outline</w:t>
      </w:r>
    </w:p>
    <w:p w14:paraId="66D8AE49" w14:textId="11E2B95E" w:rsidR="006C1A5B" w:rsidRPr="006C1A5B" w:rsidRDefault="006C1A5B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 w:rsidRPr="006C1A5B">
        <w:rPr>
          <w:rFonts w:ascii="Times New Roman" w:eastAsia="Times New Roman" w:hAnsi="Times New Roman" w:cs="Times New Roman"/>
          <w:sz w:val="24"/>
          <w:szCs w:val="24"/>
        </w:rPr>
        <w:t>Hunters and gatherers were predominately practiced with some of the communities in extensive Eurasia, African, and some parts of South American.</w:t>
      </w:r>
    </w:p>
    <w:p w14:paraId="41EE00B9" w14:textId="59C05A60" w:rsidR="006C1A5B" w:rsidRPr="006C1A5B" w:rsidRDefault="006C1A5B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impact of globalization has adversely affected the modern hunting and gathering communities, for instant,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KhoiKhoi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the San in Southern Africa</w:t>
      </w:r>
    </w:p>
    <w:p w14:paraId="2854B681" w14:textId="77777777" w:rsidR="006C1A5B" w:rsidRPr="006C1A5B" w:rsidRDefault="00407C7E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 w:rsidRPr="006C1A5B">
        <w:rPr>
          <w:rFonts w:ascii="Times New Roman" w:eastAsia="Times New Roman" w:hAnsi="Times New Roman" w:cs="Times New Roman"/>
          <w:sz w:val="24"/>
          <w:szCs w:val="24"/>
        </w:rPr>
        <w:t xml:space="preserve">The general attitude and perspectives toward civilization and societal organization, the hunters and gatherers are considered the minimum threshold. </w:t>
      </w:r>
    </w:p>
    <w:p w14:paraId="370F8F90" w14:textId="43580963" w:rsidR="00581BDE" w:rsidRPr="006C1A5B" w:rsidRDefault="00407C7E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 w:rsidRPr="006C1A5B">
        <w:rPr>
          <w:rFonts w:ascii="Times New Roman" w:eastAsia="Times New Roman" w:hAnsi="Times New Roman" w:cs="Times New Roman"/>
          <w:sz w:val="24"/>
          <w:szCs w:val="24"/>
        </w:rPr>
        <w:t>The lack of any visible organization</w:t>
      </w:r>
      <w:r w:rsidR="00581BDE" w:rsidRPr="006C1A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C1A5B">
        <w:rPr>
          <w:rFonts w:ascii="Times New Roman" w:eastAsia="Times New Roman" w:hAnsi="Times New Roman" w:cs="Times New Roman"/>
          <w:sz w:val="24"/>
          <w:szCs w:val="24"/>
        </w:rPr>
        <w:t xml:space="preserve"> be it socially, politically</w:t>
      </w:r>
      <w:r w:rsidR="00581BDE" w:rsidRPr="006C1A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C1A5B">
        <w:rPr>
          <w:rFonts w:ascii="Times New Roman" w:eastAsia="Times New Roman" w:hAnsi="Times New Roman" w:cs="Times New Roman"/>
          <w:sz w:val="24"/>
          <w:szCs w:val="24"/>
        </w:rPr>
        <w:t xml:space="preserve"> or cultural</w:t>
      </w:r>
      <w:r w:rsidR="00581BDE" w:rsidRPr="006C1A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C1A5B">
        <w:rPr>
          <w:rFonts w:ascii="Times New Roman" w:eastAsia="Times New Roman" w:hAnsi="Times New Roman" w:cs="Times New Roman"/>
          <w:sz w:val="24"/>
          <w:szCs w:val="24"/>
        </w:rPr>
        <w:t xml:space="preserve"> gave most early scholars a general stereotype against most communities that hunting and gathering was the central core of the socio-economic factors that were primarily to the </w:t>
      </w:r>
      <w:r w:rsidR="00581BDE" w:rsidRPr="006C1A5B">
        <w:rPr>
          <w:rFonts w:ascii="Times New Roman" w:eastAsia="Times New Roman" w:hAnsi="Times New Roman" w:cs="Times New Roman"/>
          <w:sz w:val="24"/>
          <w:szCs w:val="24"/>
        </w:rPr>
        <w:t>community's existence</w:t>
      </w:r>
      <w:r w:rsidRPr="006C1A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36D061D" w14:textId="0190DD8C" w:rsidR="006C1A5B" w:rsidRPr="006C1A5B" w:rsidRDefault="006C1A5B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The ecological pressure from the ever-increasing population has also impacted the reducing numbers of hunters and gatherers</w:t>
      </w:r>
    </w:p>
    <w:p w14:paraId="00000001" w14:textId="4CF8BD6D" w:rsidR="000362C2" w:rsidRPr="006C1A5B" w:rsidRDefault="006C1A5B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7C7E" w:rsidRPr="006C1A5B">
        <w:rPr>
          <w:rFonts w:ascii="Times New Roman" w:eastAsia="Times New Roman" w:hAnsi="Times New Roman" w:cs="Times New Roman"/>
          <w:sz w:val="24"/>
          <w:szCs w:val="24"/>
        </w:rPr>
        <w:t xml:space="preserve">The general analysis of these communities was chiefly marred with stereotyping to the extent that the </w:t>
      </w:r>
      <w:r w:rsidRPr="006C1A5B">
        <w:rPr>
          <w:rFonts w:ascii="Times New Roman" w:eastAsia="Times New Roman" w:hAnsi="Times New Roman" w:cs="Times New Roman"/>
          <w:sz w:val="24"/>
          <w:szCs w:val="24"/>
        </w:rPr>
        <w:t>latest</w:t>
      </w:r>
      <w:r w:rsidR="00407C7E" w:rsidRPr="006C1A5B">
        <w:rPr>
          <w:rFonts w:ascii="Times New Roman" w:eastAsia="Times New Roman" w:hAnsi="Times New Roman" w:cs="Times New Roman"/>
          <w:sz w:val="24"/>
          <w:szCs w:val="24"/>
        </w:rPr>
        <w:t xml:space="preserve"> intensive study of the same communities proved otherwise. The nonformal matters about ethics, morals and mutual respect have more these communities more resilient against all odds. </w:t>
      </w:r>
    </w:p>
    <w:p w14:paraId="7D87D057" w14:textId="200F10B7" w:rsidR="006C1A5B" w:rsidRPr="006C1A5B" w:rsidRDefault="006C1A5B" w:rsidP="006C1A5B">
      <w:pPr>
        <w:pStyle w:val="ListParagraph"/>
        <w:numPr>
          <w:ilvl w:val="0"/>
          <w:numId w:val="1"/>
        </w:numPr>
        <w:spacing w:line="480" w:lineRule="auto"/>
        <w:ind w:left="0" w:firstLine="0"/>
      </w:pPr>
      <w:r>
        <w:rPr>
          <w:rFonts w:ascii="Times New Roman" w:eastAsia="Times New Roman" w:hAnsi="Times New Roman" w:cs="Times New Roman"/>
          <w:sz w:val="24"/>
          <w:szCs w:val="24"/>
        </w:rPr>
        <w:t>The robust social organization has played critical roles in long-run sustainability and built the overall resilience of the Kung community and other hunters and gatherers in the extensive Kalahari Desert in the Southern African region</w:t>
      </w:r>
    </w:p>
    <w:sectPr w:rsidR="006C1A5B" w:rsidRPr="006C1A5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10199"/>
    <w:multiLevelType w:val="hybridMultilevel"/>
    <w:tmpl w:val="DE52A4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zU0MDc2MbQ0NjBV0lEKTi0uzszPAykwqgUAqzZzzSwAAAA="/>
  </w:docVars>
  <w:rsids>
    <w:rsidRoot w:val="000362C2"/>
    <w:rsid w:val="000362C2"/>
    <w:rsid w:val="00407C7E"/>
    <w:rsid w:val="00581BDE"/>
    <w:rsid w:val="006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392CB"/>
  <w15:docId w15:val="{41EDC11A-2BFC-4453-A1A1-963891E9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C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winnie</dc:creator>
  <cp:lastModifiedBy>NONE</cp:lastModifiedBy>
  <cp:revision>2</cp:revision>
  <dcterms:created xsi:type="dcterms:W3CDTF">2021-05-09T21:41:00Z</dcterms:created>
  <dcterms:modified xsi:type="dcterms:W3CDTF">2021-05-09T21:41:00Z</dcterms:modified>
</cp:coreProperties>
</file>