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3A764" w14:textId="77777777" w:rsidR="0036086D" w:rsidRDefault="0036086D" w:rsidP="00EC2EEF">
      <w:pPr>
        <w:spacing w:line="480" w:lineRule="auto"/>
        <w:ind w:firstLine="720"/>
      </w:pPr>
    </w:p>
    <w:p w14:paraId="0DD978B4" w14:textId="77777777" w:rsidR="00121658" w:rsidRDefault="00121658" w:rsidP="00121658">
      <w:pPr>
        <w:spacing w:line="480" w:lineRule="auto"/>
        <w:jc w:val="center"/>
      </w:pPr>
    </w:p>
    <w:p w14:paraId="6AF84EE8" w14:textId="77777777" w:rsidR="00121658" w:rsidRDefault="00121658" w:rsidP="00121658">
      <w:pPr>
        <w:spacing w:line="480" w:lineRule="auto"/>
        <w:jc w:val="center"/>
      </w:pPr>
    </w:p>
    <w:p w14:paraId="52F7F8FD" w14:textId="77777777" w:rsidR="00121658" w:rsidRDefault="00121658" w:rsidP="00121658">
      <w:pPr>
        <w:spacing w:line="480" w:lineRule="auto"/>
        <w:jc w:val="center"/>
      </w:pPr>
    </w:p>
    <w:p w14:paraId="4A31C3FE" w14:textId="77777777" w:rsidR="00121658" w:rsidRDefault="00121658" w:rsidP="00121658">
      <w:pPr>
        <w:spacing w:line="480" w:lineRule="auto"/>
        <w:jc w:val="center"/>
      </w:pPr>
      <w:r w:rsidRPr="00121658">
        <w:rPr>
          <w:b/>
          <w:bCs/>
        </w:rPr>
        <w:t>Cloud Service Interruptions from DDoS Attacks</w:t>
      </w:r>
    </w:p>
    <w:p w14:paraId="7238B69F" w14:textId="77777777" w:rsidR="00121658" w:rsidRDefault="00121658" w:rsidP="00121658">
      <w:pPr>
        <w:spacing w:line="480" w:lineRule="auto"/>
        <w:jc w:val="center"/>
      </w:pPr>
    </w:p>
    <w:p w14:paraId="04C2D951" w14:textId="77777777" w:rsidR="00121658" w:rsidRDefault="00121658" w:rsidP="00121658">
      <w:pPr>
        <w:spacing w:line="480" w:lineRule="auto"/>
        <w:jc w:val="center"/>
      </w:pPr>
      <w:r>
        <w:t>Student’s Name</w:t>
      </w:r>
    </w:p>
    <w:p w14:paraId="4217AD1A" w14:textId="77777777" w:rsidR="00121658" w:rsidRDefault="00121658" w:rsidP="00121658">
      <w:pPr>
        <w:spacing w:line="480" w:lineRule="auto"/>
        <w:jc w:val="center"/>
      </w:pPr>
      <w:r>
        <w:t>Institution</w:t>
      </w:r>
    </w:p>
    <w:p w14:paraId="21588C86" w14:textId="77777777" w:rsidR="0036086D" w:rsidRDefault="00121658" w:rsidP="00121658">
      <w:pPr>
        <w:spacing w:line="480" w:lineRule="auto"/>
        <w:jc w:val="center"/>
      </w:pPr>
      <w:r>
        <w:t>Date</w:t>
      </w:r>
      <w:r w:rsidR="0036086D">
        <w:br w:type="page"/>
      </w:r>
    </w:p>
    <w:p w14:paraId="73E9EC5C" w14:textId="47538B58" w:rsidR="004938E3" w:rsidRPr="00D61FF4" w:rsidRDefault="00D61FF4" w:rsidP="004938E3">
      <w:pPr>
        <w:spacing w:line="480" w:lineRule="auto"/>
        <w:jc w:val="center"/>
        <w:rPr>
          <w:b/>
          <w:bCs/>
        </w:rPr>
      </w:pPr>
      <w:r w:rsidRPr="00D61FF4">
        <w:rPr>
          <w:b/>
          <w:bCs/>
        </w:rPr>
        <w:lastRenderedPageBreak/>
        <w:t>Summary</w:t>
      </w:r>
    </w:p>
    <w:p w14:paraId="49BF9AAC" w14:textId="77777777" w:rsidR="00D61FF4" w:rsidRDefault="00B77A3C" w:rsidP="00D61FF4">
      <w:pPr>
        <w:spacing w:line="480" w:lineRule="auto"/>
        <w:ind w:firstLine="720"/>
      </w:pPr>
      <w:r>
        <w:t>Modern enterprises cannot overlook the versatility and resource savings offered by cloud computing architectures. The heightened need to convey services or applications with minimum funds causes organizations to shifts to the cloud proceeds. Companies are frequently embracing these technologies and host their applications in cloud settings</w:t>
      </w:r>
      <w:r w:rsidR="00121658">
        <w:t xml:space="preserve"> (</w:t>
      </w:r>
      <w:proofErr w:type="spellStart"/>
      <w:r w:rsidR="00121658">
        <w:t>Somani</w:t>
      </w:r>
      <w:proofErr w:type="spellEnd"/>
      <w:r w:rsidR="00121658">
        <w:t xml:space="preserve"> et al., 2017)</w:t>
      </w:r>
      <w:r>
        <w:t>. As more numerous corporations rely on cloud framework, Distributed Denial of Service (DDoS) attacks become an intricate and hazardous assault on the cloud, proving remarkably damaging</w:t>
      </w:r>
      <w:r w:rsidR="00954471">
        <w:t>. DDoS attacks are the single largest menace to the internet of things</w:t>
      </w:r>
      <w:r w:rsidR="00121658">
        <w:t xml:space="preserve"> (</w:t>
      </w:r>
      <w:proofErr w:type="spellStart"/>
      <w:r w:rsidR="00121658">
        <w:t>Behal</w:t>
      </w:r>
      <w:proofErr w:type="spellEnd"/>
      <w:r w:rsidR="00121658">
        <w:t xml:space="preserve"> et al., 2017)</w:t>
      </w:r>
      <w:r w:rsidR="00954471">
        <w:t xml:space="preserve">. </w:t>
      </w:r>
      <w:r>
        <w:t xml:space="preserve">Luckily, experts have formulated an extensive array of options to approach this offense. Application-based DDoS mitigation procedures are regarded as a suitable option. </w:t>
      </w:r>
      <w:r w:rsidR="00954471">
        <w:t xml:space="preserve">This research provides a comprehensive analysis of the consequences of DDoS, their weaknesses, and countermeasures against them. </w:t>
      </w:r>
    </w:p>
    <w:p w14:paraId="6CF17DD6" w14:textId="250EF451" w:rsidR="00954471" w:rsidRDefault="00B77A3C" w:rsidP="00D61FF4">
      <w:pPr>
        <w:spacing w:line="480" w:lineRule="auto"/>
        <w:ind w:firstLine="720"/>
      </w:pPr>
      <w:r>
        <w:t>The principal purpose of cloud DDoS assaults has become simpler and more affordable because of the propagation of the Internet of Things (IoT) gadgets. Many of these devices are obtainable with lacking entrance authorization, which is not reset, making it more straightforward for attackers to control</w:t>
      </w:r>
      <w:r w:rsidR="00123D10">
        <w:t xml:space="preserve">. Intruders can jeopardize several exposed IoT devices to create traffic to take victims down. </w:t>
      </w:r>
      <w:r w:rsidR="0009462B">
        <w:t>The results and trends of DDoS attacks vary between conventional data hubs and clouds</w:t>
      </w:r>
      <w:r w:rsidR="00121658">
        <w:t xml:space="preserve"> (Agrawal &amp; </w:t>
      </w:r>
      <w:proofErr w:type="spellStart"/>
      <w:r w:rsidR="00121658">
        <w:t>Tapaswi</w:t>
      </w:r>
      <w:proofErr w:type="spellEnd"/>
      <w:r w:rsidR="00121658">
        <w:t>, 2019)</w:t>
      </w:r>
      <w:r w:rsidR="0009462B">
        <w:t>. The main intention of DDoS attacks is to kill service accessibility and undermining client activity. Without cloud DDoS alleviation, which could identify genuine traffic from spiteful, it is uncommon for cloud</w:t>
      </w:r>
      <w:r w:rsidR="00EC2EEF">
        <w:t xml:space="preserve"> DDoS advances to be unrecognized</w:t>
      </w:r>
      <w:r w:rsidR="00121658">
        <w:t xml:space="preserve"> (Agrawal &amp; </w:t>
      </w:r>
      <w:proofErr w:type="spellStart"/>
      <w:r w:rsidR="00121658">
        <w:t>Tapaswi</w:t>
      </w:r>
      <w:proofErr w:type="spellEnd"/>
      <w:r w:rsidR="00121658">
        <w:t>, 2019)</w:t>
      </w:r>
      <w:r w:rsidR="00EC2EEF">
        <w:t xml:space="preserve">. Alternatively, just as in dynamic information hubs, they damage the client activity in cloud-based platforms. </w:t>
      </w:r>
    </w:p>
    <w:p w14:paraId="07755BC7" w14:textId="77777777" w:rsidR="00EC2EEF" w:rsidRDefault="00B77A3C" w:rsidP="00EC2EEF">
      <w:pPr>
        <w:pStyle w:val="NormalWeb"/>
        <w:spacing w:line="480" w:lineRule="auto"/>
        <w:ind w:firstLine="720"/>
      </w:pPr>
      <w:r>
        <w:t xml:space="preserve">The cloud framework extends </w:t>
      </w:r>
      <w:r w:rsidR="00897922">
        <w:t>several</w:t>
      </w:r>
      <w:r>
        <w:t xml:space="preserve"> advantages and possibilities to </w:t>
      </w:r>
      <w:r w:rsidR="00897922">
        <w:t>enterprises</w:t>
      </w:r>
      <w:r>
        <w:t>, and the identical collection of the offering is ready and valuable to intruders.  Pay-as-you-go, auto-scaling, and multi-tenancy are the main characteristics that endure behind the cloud model's progress. An infrastructure cloud generally has numerous servers available for controlling virtual devices in virtualized multi-tenant settings. While striving for cloud DDoS attacks, intruders may aim to combat financial sustainability determinants of cloud users</w:t>
      </w:r>
      <w:r w:rsidR="00121658">
        <w:t xml:space="preserve"> (</w:t>
      </w:r>
      <w:proofErr w:type="spellStart"/>
      <w:r w:rsidR="00121658">
        <w:t>Behal</w:t>
      </w:r>
      <w:proofErr w:type="spellEnd"/>
      <w:r w:rsidR="00121658">
        <w:t xml:space="preserve"> et al., 2017)</w:t>
      </w:r>
      <w:r>
        <w:t>. Attacks plant trojans and bots on vulnerable devices aim at web services and the Internet with DDoS intrusions. Some corporations render webwork of detrimental bots to their clients to organize cloud DDoS incursions on their rival sites</w:t>
      </w:r>
      <w:r w:rsidR="00121658">
        <w:t xml:space="preserve"> (Agrawal &amp; </w:t>
      </w:r>
      <w:proofErr w:type="spellStart"/>
      <w:r w:rsidR="00121658">
        <w:t>Tapaswi</w:t>
      </w:r>
      <w:proofErr w:type="spellEnd"/>
      <w:r w:rsidR="00121658">
        <w:t>, 2019)</w:t>
      </w:r>
      <w:r>
        <w:t>. The aims of these initiatives vary from the partisan competition, coercion, enterprise competition to cyberwars among nations</w:t>
      </w:r>
      <w:r w:rsidR="006A1E37">
        <w:t>.</w:t>
      </w:r>
    </w:p>
    <w:p w14:paraId="3C4E9D76" w14:textId="77777777" w:rsidR="006A1E37" w:rsidRDefault="00B77A3C" w:rsidP="006A1E37">
      <w:pPr>
        <w:pStyle w:val="NormalWeb"/>
        <w:spacing w:line="480" w:lineRule="auto"/>
        <w:ind w:firstLine="720"/>
      </w:pPr>
      <w:r>
        <w:t>Overloaded virtual machines may comprise some assets and can be updated to a more robust volume server. When lacking a cloud-based DDoS security policy, this method adds the asset until the client pays or the service provider utilizes all the resources. Finally, it results in Service Denial, which creates major turmoil in service availability</w:t>
      </w:r>
      <w:r w:rsidR="00121658">
        <w:t xml:space="preserve"> (</w:t>
      </w:r>
      <w:proofErr w:type="spellStart"/>
      <w:r w:rsidR="00121658">
        <w:t>Behal</w:t>
      </w:r>
      <w:proofErr w:type="spellEnd"/>
      <w:r w:rsidR="00121658">
        <w:t xml:space="preserve"> et al., 2017)</w:t>
      </w:r>
      <w:r>
        <w:t>. This flooding inflates the cloud consumption bill gradually and consequently financial wounds over the proposed budget. Pricing or accounting plays a significant role in cloud DDoS attacks and cloud DDoS mitigation. Usually, users are charged hourly. Cloud cases can be distributed on a pay-as-you-go principle, fixed basis, and by auctions. Furthermore, network bandwidth and storage are estimated based on the entire size and data transference.</w:t>
      </w:r>
    </w:p>
    <w:p w14:paraId="2EFB8C3D" w14:textId="77777777" w:rsidR="00897922" w:rsidRDefault="00B77A3C" w:rsidP="006A1E37">
      <w:pPr>
        <w:pStyle w:val="NormalWeb"/>
        <w:spacing w:line="480" w:lineRule="auto"/>
        <w:ind w:firstLine="720"/>
      </w:pPr>
      <w:r>
        <w:t>Cloud computing is the topic of the current age and is the current critical area of importance among businesses. Hence, the projected forecast of this technology is favorably thought to be extensively utilized in this field. By shifting to the cloud computing model, new defense tools and techniques are being produced against all menaces and untrusted network intrusions that endanger the service availability of cloud computing for the continuation of public and private services. Acknowledging the growing usage of cloud services by state agencies professes an evolving menace to e-governance frameworks and continuity of public services of state and local government groups. IoT, smart cities, and artificial intelligence applications need devices to be connected and ever-present cloud platforms</w:t>
      </w:r>
      <w:r w:rsidR="00121658">
        <w:t xml:space="preserve"> (</w:t>
      </w:r>
      <w:proofErr w:type="spellStart"/>
      <w:r w:rsidR="00121658">
        <w:t>Somani</w:t>
      </w:r>
      <w:proofErr w:type="spellEnd"/>
      <w:r w:rsidR="00121658">
        <w:t xml:space="preserve"> et al., 2017)</w:t>
      </w:r>
      <w:r>
        <w:t>. These technologies present an increasingly wide range of possible zombie armies to be used in Distributed Denial of Service (DDoS) attacks which are regarded as the most crucial attacks in the cloud computing context.</w:t>
      </w:r>
    </w:p>
    <w:p w14:paraId="0447376F" w14:textId="74E0F8E2" w:rsidR="004938E3" w:rsidRDefault="00B77A3C" w:rsidP="00D61FF4">
      <w:pPr>
        <w:pStyle w:val="NormalWeb"/>
        <w:spacing w:line="480" w:lineRule="auto"/>
        <w:ind w:firstLine="720"/>
      </w:pPr>
      <w:r>
        <w:t>In this survey, the recent reports and trends of this attack and effects on the services obtainable on various cloud elements</w:t>
      </w:r>
      <w:r w:rsidR="00897922">
        <w:t xml:space="preserve"> have been presented</w:t>
      </w:r>
      <w:r>
        <w:t xml:space="preserve">. </w:t>
      </w:r>
      <w:r w:rsidR="00897922">
        <w:t>Moreover</w:t>
      </w:r>
      <w:r>
        <w:t xml:space="preserve">, </w:t>
      </w:r>
      <w:r w:rsidR="00897922">
        <w:t xml:space="preserve">the </w:t>
      </w:r>
      <w:r>
        <w:t>essay address</w:t>
      </w:r>
      <w:r w:rsidR="00897922">
        <w:t>es</w:t>
      </w:r>
      <w:r>
        <w:t xml:space="preserve"> the organization of DDoS attacks endangering the cloud computing elements and assessing the evolving sage of cloud infrastructures that professes both benefits and hazards</w:t>
      </w:r>
      <w:r w:rsidR="00121658">
        <w:t xml:space="preserve"> (</w:t>
      </w:r>
      <w:proofErr w:type="spellStart"/>
      <w:r w:rsidR="00121658">
        <w:t>Somani</w:t>
      </w:r>
      <w:proofErr w:type="spellEnd"/>
      <w:r w:rsidR="00121658">
        <w:t xml:space="preserve"> et al., 2017)</w:t>
      </w:r>
      <w:r>
        <w:t>. Experts affirm that examining different sorts of DDoS attack mechanisms, active capacities, virtual connecting frameworks, and creative techniques produced by intruders quickly jeopardize and block cloud systems</w:t>
      </w:r>
      <w:r w:rsidR="00121658">
        <w:t xml:space="preserve"> (Agrawal &amp; </w:t>
      </w:r>
      <w:proofErr w:type="spellStart"/>
      <w:r w:rsidR="00121658">
        <w:t>Tapaswi</w:t>
      </w:r>
      <w:proofErr w:type="spellEnd"/>
      <w:r w:rsidR="00121658">
        <w:t>, 2019)</w:t>
      </w:r>
      <w:r>
        <w:t>. It is essential for cybersecurity policies of national, central, and local government organizations to acknowledge suitable preemptive countermeasures regularly and review their cyber approaches and action plans comprehensively.</w:t>
      </w:r>
    </w:p>
    <w:p w14:paraId="2FB91C86" w14:textId="77777777" w:rsidR="00D61FF4" w:rsidRDefault="00D61FF4">
      <w:pPr>
        <w:rPr>
          <w:b/>
          <w:bCs/>
        </w:rPr>
      </w:pPr>
      <w:r>
        <w:rPr>
          <w:b/>
          <w:bCs/>
        </w:rPr>
        <w:br w:type="page"/>
      </w:r>
    </w:p>
    <w:p w14:paraId="45D472B7" w14:textId="6AF0B769" w:rsidR="00123D10" w:rsidRPr="00D61FF4" w:rsidRDefault="00B77A3C" w:rsidP="00897922">
      <w:pPr>
        <w:tabs>
          <w:tab w:val="left" w:pos="1509"/>
        </w:tabs>
        <w:spacing w:line="480" w:lineRule="auto"/>
        <w:jc w:val="center"/>
        <w:rPr>
          <w:b/>
          <w:bCs/>
        </w:rPr>
      </w:pPr>
      <w:r w:rsidRPr="00D61FF4">
        <w:rPr>
          <w:b/>
          <w:bCs/>
        </w:rPr>
        <w:t>References</w:t>
      </w:r>
    </w:p>
    <w:p w14:paraId="0241BF9C" w14:textId="77777777" w:rsidR="00121658" w:rsidRDefault="00121658" w:rsidP="00121658">
      <w:pPr>
        <w:spacing w:after="0" w:line="480" w:lineRule="auto"/>
        <w:ind w:left="720" w:hanging="720"/>
        <w:rPr>
          <w:rFonts w:eastAsia="Times New Roman" w:cs="Times New Roman"/>
          <w:szCs w:val="24"/>
        </w:rPr>
      </w:pPr>
      <w:r w:rsidRPr="00121658">
        <w:rPr>
          <w:rFonts w:eastAsia="Times New Roman" w:cs="Times New Roman"/>
          <w:szCs w:val="24"/>
        </w:rPr>
        <w:t xml:space="preserve">Agrawal, N., &amp; </w:t>
      </w:r>
      <w:proofErr w:type="spellStart"/>
      <w:r w:rsidRPr="00121658">
        <w:rPr>
          <w:rFonts w:eastAsia="Times New Roman" w:cs="Times New Roman"/>
          <w:szCs w:val="24"/>
        </w:rPr>
        <w:t>Tapaswi</w:t>
      </w:r>
      <w:proofErr w:type="spellEnd"/>
      <w:r w:rsidRPr="00121658">
        <w:rPr>
          <w:rFonts w:eastAsia="Times New Roman" w:cs="Times New Roman"/>
          <w:szCs w:val="24"/>
        </w:rPr>
        <w:t xml:space="preserve">, S. (2019). Defense mechanisms against DDoS attacks in a cloud computing environment: State-of-the-art and research challenges. </w:t>
      </w:r>
      <w:r w:rsidRPr="00121658">
        <w:rPr>
          <w:rFonts w:eastAsia="Times New Roman" w:cs="Times New Roman"/>
          <w:i/>
          <w:iCs/>
          <w:szCs w:val="24"/>
        </w:rPr>
        <w:t>IEEE Communications Surveys &amp; Tutorials</w:t>
      </w:r>
      <w:r w:rsidRPr="00121658">
        <w:rPr>
          <w:rFonts w:eastAsia="Times New Roman" w:cs="Times New Roman"/>
          <w:szCs w:val="24"/>
        </w:rPr>
        <w:t xml:space="preserve">, </w:t>
      </w:r>
      <w:r w:rsidRPr="00121658">
        <w:rPr>
          <w:rFonts w:eastAsia="Times New Roman" w:cs="Times New Roman"/>
          <w:i/>
          <w:iCs/>
          <w:szCs w:val="24"/>
        </w:rPr>
        <w:t>21</w:t>
      </w:r>
      <w:r w:rsidRPr="00121658">
        <w:rPr>
          <w:rFonts w:eastAsia="Times New Roman" w:cs="Times New Roman"/>
          <w:szCs w:val="24"/>
        </w:rPr>
        <w:t>(4), 3769-3795.</w:t>
      </w:r>
    </w:p>
    <w:p w14:paraId="2F607114" w14:textId="77777777" w:rsidR="00121658" w:rsidRDefault="00121658" w:rsidP="00121658">
      <w:pPr>
        <w:spacing w:after="0" w:line="480" w:lineRule="auto"/>
        <w:ind w:left="720" w:hanging="720"/>
        <w:rPr>
          <w:rFonts w:eastAsia="Times New Roman" w:cs="Times New Roman"/>
          <w:szCs w:val="24"/>
        </w:rPr>
      </w:pPr>
      <w:proofErr w:type="spellStart"/>
      <w:r w:rsidRPr="00121658">
        <w:rPr>
          <w:rFonts w:eastAsia="Times New Roman" w:cs="Times New Roman"/>
          <w:szCs w:val="24"/>
        </w:rPr>
        <w:t>Behal</w:t>
      </w:r>
      <w:proofErr w:type="spellEnd"/>
      <w:r w:rsidRPr="00121658">
        <w:rPr>
          <w:rFonts w:eastAsia="Times New Roman" w:cs="Times New Roman"/>
          <w:szCs w:val="24"/>
        </w:rPr>
        <w:t xml:space="preserve">, S., Kumar, K., &amp; Sachdeva, M. (2017). Characterizing DDoS attacks and flash events: Review, research gaps and future directions. </w:t>
      </w:r>
      <w:r w:rsidRPr="00121658">
        <w:rPr>
          <w:rFonts w:eastAsia="Times New Roman" w:cs="Times New Roman"/>
          <w:i/>
          <w:iCs/>
          <w:szCs w:val="24"/>
        </w:rPr>
        <w:t>Computer Science Review</w:t>
      </w:r>
      <w:r w:rsidRPr="00121658">
        <w:rPr>
          <w:rFonts w:eastAsia="Times New Roman" w:cs="Times New Roman"/>
          <w:szCs w:val="24"/>
        </w:rPr>
        <w:t xml:space="preserve">, </w:t>
      </w:r>
      <w:r w:rsidRPr="00121658">
        <w:rPr>
          <w:rFonts w:eastAsia="Times New Roman" w:cs="Times New Roman"/>
          <w:i/>
          <w:iCs/>
          <w:szCs w:val="24"/>
        </w:rPr>
        <w:t>25</w:t>
      </w:r>
      <w:r w:rsidRPr="00121658">
        <w:rPr>
          <w:rFonts w:eastAsia="Times New Roman" w:cs="Times New Roman"/>
          <w:szCs w:val="24"/>
        </w:rPr>
        <w:t>, 101-114.</w:t>
      </w:r>
    </w:p>
    <w:p w14:paraId="21DEE8F5" w14:textId="77777777" w:rsidR="00121658" w:rsidRPr="00121658" w:rsidRDefault="00121658" w:rsidP="00121658">
      <w:pPr>
        <w:spacing w:after="0" w:line="480" w:lineRule="auto"/>
        <w:ind w:left="720" w:hanging="720"/>
        <w:rPr>
          <w:rFonts w:eastAsia="Times New Roman" w:cs="Times New Roman"/>
          <w:szCs w:val="24"/>
        </w:rPr>
      </w:pPr>
      <w:proofErr w:type="spellStart"/>
      <w:r w:rsidRPr="00121658">
        <w:rPr>
          <w:rFonts w:eastAsia="Times New Roman" w:cs="Times New Roman"/>
          <w:szCs w:val="24"/>
        </w:rPr>
        <w:t>Somani</w:t>
      </w:r>
      <w:proofErr w:type="spellEnd"/>
      <w:r w:rsidRPr="00121658">
        <w:rPr>
          <w:rFonts w:eastAsia="Times New Roman" w:cs="Times New Roman"/>
          <w:szCs w:val="24"/>
        </w:rPr>
        <w:t xml:space="preserve">, G., Gaur, M. S., </w:t>
      </w:r>
      <w:proofErr w:type="spellStart"/>
      <w:r w:rsidRPr="00121658">
        <w:rPr>
          <w:rFonts w:eastAsia="Times New Roman" w:cs="Times New Roman"/>
          <w:szCs w:val="24"/>
        </w:rPr>
        <w:t>Sanghi</w:t>
      </w:r>
      <w:proofErr w:type="spellEnd"/>
      <w:r w:rsidRPr="00121658">
        <w:rPr>
          <w:rFonts w:eastAsia="Times New Roman" w:cs="Times New Roman"/>
          <w:szCs w:val="24"/>
        </w:rPr>
        <w:t xml:space="preserve">, D., Conti, M., </w:t>
      </w:r>
      <w:proofErr w:type="spellStart"/>
      <w:r w:rsidRPr="00121658">
        <w:rPr>
          <w:rFonts w:eastAsia="Times New Roman" w:cs="Times New Roman"/>
          <w:szCs w:val="24"/>
        </w:rPr>
        <w:t>Rajarajan</w:t>
      </w:r>
      <w:proofErr w:type="spellEnd"/>
      <w:r w:rsidRPr="00121658">
        <w:rPr>
          <w:rFonts w:eastAsia="Times New Roman" w:cs="Times New Roman"/>
          <w:szCs w:val="24"/>
        </w:rPr>
        <w:t xml:space="preserve">, M., &amp; </w:t>
      </w:r>
      <w:proofErr w:type="spellStart"/>
      <w:r w:rsidRPr="00121658">
        <w:rPr>
          <w:rFonts w:eastAsia="Times New Roman" w:cs="Times New Roman"/>
          <w:szCs w:val="24"/>
        </w:rPr>
        <w:t>Buyya</w:t>
      </w:r>
      <w:proofErr w:type="spellEnd"/>
      <w:r w:rsidRPr="00121658">
        <w:rPr>
          <w:rFonts w:eastAsia="Times New Roman" w:cs="Times New Roman"/>
          <w:szCs w:val="24"/>
        </w:rPr>
        <w:t xml:space="preserve">, R. (2017). Combating DDoS attacks in the cloud: requirements, trends, and future directions. </w:t>
      </w:r>
      <w:r w:rsidRPr="00121658">
        <w:rPr>
          <w:rFonts w:eastAsia="Times New Roman" w:cs="Times New Roman"/>
          <w:i/>
          <w:iCs/>
          <w:szCs w:val="24"/>
        </w:rPr>
        <w:t>IEEE Cloud Computing</w:t>
      </w:r>
      <w:r w:rsidRPr="00121658">
        <w:rPr>
          <w:rFonts w:eastAsia="Times New Roman" w:cs="Times New Roman"/>
          <w:szCs w:val="24"/>
        </w:rPr>
        <w:t xml:space="preserve">, </w:t>
      </w:r>
      <w:r w:rsidRPr="00121658">
        <w:rPr>
          <w:rFonts w:eastAsia="Times New Roman" w:cs="Times New Roman"/>
          <w:i/>
          <w:iCs/>
          <w:szCs w:val="24"/>
        </w:rPr>
        <w:t>4</w:t>
      </w:r>
      <w:r w:rsidRPr="00121658">
        <w:rPr>
          <w:rFonts w:eastAsia="Times New Roman" w:cs="Times New Roman"/>
          <w:szCs w:val="24"/>
        </w:rPr>
        <w:t>(1), 22-32.</w:t>
      </w:r>
    </w:p>
    <w:p w14:paraId="7F9BBD91" w14:textId="77777777" w:rsidR="00121658" w:rsidRDefault="00121658" w:rsidP="00121658">
      <w:pPr>
        <w:spacing w:line="480" w:lineRule="auto"/>
      </w:pPr>
    </w:p>
    <w:sectPr w:rsidR="0012165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4DF82" w14:textId="77777777" w:rsidR="0096287F" w:rsidRDefault="0096287F" w:rsidP="00121658">
      <w:pPr>
        <w:spacing w:after="0" w:line="240" w:lineRule="auto"/>
      </w:pPr>
      <w:r>
        <w:separator/>
      </w:r>
    </w:p>
  </w:endnote>
  <w:endnote w:type="continuationSeparator" w:id="0">
    <w:p w14:paraId="264FC6D9" w14:textId="77777777" w:rsidR="0096287F" w:rsidRDefault="0096287F" w:rsidP="00121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F1C63" w14:textId="77777777" w:rsidR="0096287F" w:rsidRDefault="0096287F" w:rsidP="00121658">
      <w:pPr>
        <w:spacing w:after="0" w:line="240" w:lineRule="auto"/>
      </w:pPr>
      <w:r>
        <w:separator/>
      </w:r>
    </w:p>
  </w:footnote>
  <w:footnote w:type="continuationSeparator" w:id="0">
    <w:p w14:paraId="1BFB26BC" w14:textId="77777777" w:rsidR="0096287F" w:rsidRDefault="0096287F" w:rsidP="00121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83528"/>
      <w:docPartObj>
        <w:docPartGallery w:val="Page Numbers (Top of Page)"/>
        <w:docPartUnique/>
      </w:docPartObj>
    </w:sdtPr>
    <w:sdtEndPr>
      <w:rPr>
        <w:noProof/>
      </w:rPr>
    </w:sdtEndPr>
    <w:sdtContent>
      <w:p w14:paraId="2AD812F1" w14:textId="77777777" w:rsidR="00121658" w:rsidRDefault="00121658">
        <w:pPr>
          <w:pStyle w:val="Header"/>
          <w:jc w:val="right"/>
        </w:pPr>
        <w:r>
          <w:fldChar w:fldCharType="begin"/>
        </w:r>
        <w:r>
          <w:instrText xml:space="preserve"> PAGE   \* MERGEFORMAT </w:instrText>
        </w:r>
        <w:r>
          <w:fldChar w:fldCharType="separate"/>
        </w:r>
        <w:r w:rsidR="004938E3">
          <w:rPr>
            <w:noProof/>
          </w:rPr>
          <w:t>3</w:t>
        </w:r>
        <w:r>
          <w:rPr>
            <w:noProof/>
          </w:rPr>
          <w:fldChar w:fldCharType="end"/>
        </w:r>
      </w:p>
    </w:sdtContent>
  </w:sdt>
  <w:p w14:paraId="3E5B80CA" w14:textId="77777777" w:rsidR="00121658" w:rsidRDefault="001216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39"/>
    <w:rsid w:val="00047BB1"/>
    <w:rsid w:val="00090D68"/>
    <w:rsid w:val="0009462B"/>
    <w:rsid w:val="00121658"/>
    <w:rsid w:val="00123D10"/>
    <w:rsid w:val="0015187B"/>
    <w:rsid w:val="002702D5"/>
    <w:rsid w:val="002F3C9A"/>
    <w:rsid w:val="0036086D"/>
    <w:rsid w:val="00455925"/>
    <w:rsid w:val="004938E3"/>
    <w:rsid w:val="0065050E"/>
    <w:rsid w:val="00666F52"/>
    <w:rsid w:val="006A1E37"/>
    <w:rsid w:val="006E57DF"/>
    <w:rsid w:val="00897922"/>
    <w:rsid w:val="008D6285"/>
    <w:rsid w:val="00954471"/>
    <w:rsid w:val="0096287F"/>
    <w:rsid w:val="00B77A3C"/>
    <w:rsid w:val="00CD5F39"/>
    <w:rsid w:val="00D61FF4"/>
    <w:rsid w:val="00D86828"/>
    <w:rsid w:val="00EC2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7262"/>
  <w15:docId w15:val="{01DA7E5E-DE23-4D80-A21A-02363AA5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2EEF"/>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121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658"/>
  </w:style>
  <w:style w:type="paragraph" w:styleId="Footer">
    <w:name w:val="footer"/>
    <w:basedOn w:val="Normal"/>
    <w:link w:val="FooterChar"/>
    <w:uiPriority w:val="99"/>
    <w:unhideWhenUsed/>
    <w:rsid w:val="00121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887">
      <w:bodyDiv w:val="1"/>
      <w:marLeft w:val="0"/>
      <w:marRight w:val="0"/>
      <w:marTop w:val="0"/>
      <w:marBottom w:val="0"/>
      <w:divBdr>
        <w:top w:val="none" w:sz="0" w:space="0" w:color="auto"/>
        <w:left w:val="none" w:sz="0" w:space="0" w:color="auto"/>
        <w:bottom w:val="none" w:sz="0" w:space="0" w:color="auto"/>
        <w:right w:val="none" w:sz="0" w:space="0" w:color="auto"/>
      </w:divBdr>
      <w:divsChild>
        <w:div w:id="182402416">
          <w:marLeft w:val="0"/>
          <w:marRight w:val="0"/>
          <w:marTop w:val="0"/>
          <w:marBottom w:val="0"/>
          <w:divBdr>
            <w:top w:val="none" w:sz="0" w:space="0" w:color="auto"/>
            <w:left w:val="none" w:sz="0" w:space="0" w:color="auto"/>
            <w:bottom w:val="none" w:sz="0" w:space="0" w:color="auto"/>
            <w:right w:val="none" w:sz="0" w:space="0" w:color="auto"/>
          </w:divBdr>
        </w:div>
      </w:divsChild>
    </w:div>
    <w:div w:id="90443682">
      <w:bodyDiv w:val="1"/>
      <w:marLeft w:val="0"/>
      <w:marRight w:val="0"/>
      <w:marTop w:val="0"/>
      <w:marBottom w:val="0"/>
      <w:divBdr>
        <w:top w:val="none" w:sz="0" w:space="0" w:color="auto"/>
        <w:left w:val="none" w:sz="0" w:space="0" w:color="auto"/>
        <w:bottom w:val="none" w:sz="0" w:space="0" w:color="auto"/>
        <w:right w:val="none" w:sz="0" w:space="0" w:color="auto"/>
      </w:divBdr>
      <w:divsChild>
        <w:div w:id="319889634">
          <w:marLeft w:val="0"/>
          <w:marRight w:val="0"/>
          <w:marTop w:val="0"/>
          <w:marBottom w:val="0"/>
          <w:divBdr>
            <w:top w:val="none" w:sz="0" w:space="0" w:color="auto"/>
            <w:left w:val="none" w:sz="0" w:space="0" w:color="auto"/>
            <w:bottom w:val="none" w:sz="0" w:space="0" w:color="auto"/>
            <w:right w:val="none" w:sz="0" w:space="0" w:color="auto"/>
          </w:divBdr>
        </w:div>
      </w:divsChild>
    </w:div>
    <w:div w:id="668294382">
      <w:bodyDiv w:val="1"/>
      <w:marLeft w:val="0"/>
      <w:marRight w:val="0"/>
      <w:marTop w:val="0"/>
      <w:marBottom w:val="0"/>
      <w:divBdr>
        <w:top w:val="none" w:sz="0" w:space="0" w:color="auto"/>
        <w:left w:val="none" w:sz="0" w:space="0" w:color="auto"/>
        <w:bottom w:val="none" w:sz="0" w:space="0" w:color="auto"/>
        <w:right w:val="none" w:sz="0" w:space="0" w:color="auto"/>
      </w:divBdr>
      <w:divsChild>
        <w:div w:id="632298042">
          <w:marLeft w:val="0"/>
          <w:marRight w:val="0"/>
          <w:marTop w:val="0"/>
          <w:marBottom w:val="0"/>
          <w:divBdr>
            <w:top w:val="none" w:sz="0" w:space="0" w:color="auto"/>
            <w:left w:val="none" w:sz="0" w:space="0" w:color="auto"/>
            <w:bottom w:val="none" w:sz="0" w:space="0" w:color="auto"/>
            <w:right w:val="none" w:sz="0" w:space="0" w:color="auto"/>
          </w:divBdr>
        </w:div>
      </w:divsChild>
    </w:div>
    <w:div w:id="1385106371">
      <w:bodyDiv w:val="1"/>
      <w:marLeft w:val="0"/>
      <w:marRight w:val="0"/>
      <w:marTop w:val="0"/>
      <w:marBottom w:val="0"/>
      <w:divBdr>
        <w:top w:val="none" w:sz="0" w:space="0" w:color="auto"/>
        <w:left w:val="none" w:sz="0" w:space="0" w:color="auto"/>
        <w:bottom w:val="none" w:sz="0" w:space="0" w:color="auto"/>
        <w:right w:val="none" w:sz="0" w:space="0" w:color="auto"/>
      </w:divBdr>
      <w:divsChild>
        <w:div w:id="1708213442">
          <w:marLeft w:val="0"/>
          <w:marRight w:val="0"/>
          <w:marTop w:val="0"/>
          <w:marBottom w:val="0"/>
          <w:divBdr>
            <w:top w:val="none" w:sz="0" w:space="0" w:color="auto"/>
            <w:left w:val="none" w:sz="0" w:space="0" w:color="auto"/>
            <w:bottom w:val="none" w:sz="0" w:space="0" w:color="auto"/>
            <w:right w:val="none" w:sz="0" w:space="0" w:color="auto"/>
          </w:divBdr>
        </w:div>
      </w:divsChild>
    </w:div>
    <w:div w:id="1505515504">
      <w:bodyDiv w:val="1"/>
      <w:marLeft w:val="0"/>
      <w:marRight w:val="0"/>
      <w:marTop w:val="0"/>
      <w:marBottom w:val="0"/>
      <w:divBdr>
        <w:top w:val="none" w:sz="0" w:space="0" w:color="auto"/>
        <w:left w:val="none" w:sz="0" w:space="0" w:color="auto"/>
        <w:bottom w:val="none" w:sz="0" w:space="0" w:color="auto"/>
        <w:right w:val="none" w:sz="0" w:space="0" w:color="auto"/>
      </w:divBdr>
      <w:divsChild>
        <w:div w:id="881746172">
          <w:marLeft w:val="0"/>
          <w:marRight w:val="0"/>
          <w:marTop w:val="0"/>
          <w:marBottom w:val="0"/>
          <w:divBdr>
            <w:top w:val="none" w:sz="0" w:space="0" w:color="auto"/>
            <w:left w:val="none" w:sz="0" w:space="0" w:color="auto"/>
            <w:bottom w:val="none" w:sz="0" w:space="0" w:color="auto"/>
            <w:right w:val="none" w:sz="0" w:space="0" w:color="auto"/>
          </w:divBdr>
        </w:div>
      </w:divsChild>
    </w:div>
    <w:div w:id="1976987940">
      <w:bodyDiv w:val="1"/>
      <w:marLeft w:val="0"/>
      <w:marRight w:val="0"/>
      <w:marTop w:val="0"/>
      <w:marBottom w:val="0"/>
      <w:divBdr>
        <w:top w:val="none" w:sz="0" w:space="0" w:color="auto"/>
        <w:left w:val="none" w:sz="0" w:space="0" w:color="auto"/>
        <w:bottom w:val="none" w:sz="0" w:space="0" w:color="auto"/>
        <w:right w:val="none" w:sz="0" w:space="0" w:color="auto"/>
      </w:divBdr>
      <w:divsChild>
        <w:div w:id="1285388997">
          <w:marLeft w:val="0"/>
          <w:marRight w:val="0"/>
          <w:marTop w:val="0"/>
          <w:marBottom w:val="0"/>
          <w:divBdr>
            <w:top w:val="none" w:sz="0" w:space="0" w:color="auto"/>
            <w:left w:val="none" w:sz="0" w:space="0" w:color="auto"/>
            <w:bottom w:val="none" w:sz="0" w:space="0" w:color="auto"/>
            <w:right w:val="none" w:sz="0" w:space="0" w:color="auto"/>
          </w:divBdr>
        </w:div>
      </w:divsChild>
    </w:div>
    <w:div w:id="2125419667">
      <w:bodyDiv w:val="1"/>
      <w:marLeft w:val="0"/>
      <w:marRight w:val="0"/>
      <w:marTop w:val="0"/>
      <w:marBottom w:val="0"/>
      <w:divBdr>
        <w:top w:val="none" w:sz="0" w:space="0" w:color="auto"/>
        <w:left w:val="none" w:sz="0" w:space="0" w:color="auto"/>
        <w:bottom w:val="none" w:sz="0" w:space="0" w:color="auto"/>
        <w:right w:val="none" w:sz="0" w:space="0" w:color="auto"/>
      </w:divBdr>
      <w:divsChild>
        <w:div w:id="1360013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Gacheru</dc:creator>
  <cp:lastModifiedBy>user</cp:lastModifiedBy>
  <cp:revision>2</cp:revision>
  <dcterms:created xsi:type="dcterms:W3CDTF">2021-05-10T00:40:00Z</dcterms:created>
  <dcterms:modified xsi:type="dcterms:W3CDTF">2021-05-10T00:40:00Z</dcterms:modified>
</cp:coreProperties>
</file>