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p>
    <w:p w:rsidR="00FA016F" w:rsidRDefault="0079373C" w:rsidP="0079373C">
      <w:pPr>
        <w:spacing w:line="480" w:lineRule="auto"/>
        <w:jc w:val="center"/>
        <w:rPr>
          <w:rFonts w:ascii="Times New Roman" w:eastAsia="Times New Roman" w:hAnsi="Times New Roman" w:cs="Times New Roman"/>
          <w:b/>
          <w:bCs/>
          <w:color w:val="0E101A"/>
          <w:sz w:val="24"/>
          <w:szCs w:val="24"/>
          <w:lang w:val="en-US"/>
        </w:rPr>
      </w:pPr>
      <w:r w:rsidRPr="00FA016F">
        <w:rPr>
          <w:rFonts w:ascii="Times New Roman" w:eastAsia="Times New Roman" w:hAnsi="Times New Roman" w:cs="Times New Roman"/>
          <w:b/>
          <w:bCs/>
          <w:color w:val="0E101A"/>
          <w:sz w:val="24"/>
          <w:szCs w:val="24"/>
          <w:lang w:val="en-US"/>
        </w:rPr>
        <w:t>Little Chapter 17 (Women's Health)</w:t>
      </w: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r>
        <w:rPr>
          <w:rFonts w:ascii="Times New Roman" w:eastAsia="Times New Roman" w:hAnsi="Times New Roman" w:cs="Times New Roman"/>
          <w:b/>
          <w:bCs/>
          <w:color w:val="0E101A"/>
          <w:sz w:val="24"/>
          <w:szCs w:val="24"/>
          <w:lang w:val="en-US"/>
        </w:rPr>
        <w:t>Name</w:t>
      </w: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r>
        <w:rPr>
          <w:rFonts w:ascii="Times New Roman" w:eastAsia="Times New Roman" w:hAnsi="Times New Roman" w:cs="Times New Roman"/>
          <w:b/>
          <w:bCs/>
          <w:color w:val="0E101A"/>
          <w:sz w:val="24"/>
          <w:szCs w:val="24"/>
          <w:lang w:val="en-US"/>
        </w:rPr>
        <w:t>Institutional Affiliation</w:t>
      </w:r>
    </w:p>
    <w:p w:rsidR="0079373C" w:rsidRDefault="0079373C" w:rsidP="0079373C">
      <w:pPr>
        <w:spacing w:line="480" w:lineRule="auto"/>
        <w:jc w:val="center"/>
        <w:rPr>
          <w:rFonts w:ascii="Times New Roman" w:eastAsia="Times New Roman" w:hAnsi="Times New Roman" w:cs="Times New Roman"/>
          <w:b/>
          <w:bCs/>
          <w:color w:val="0E101A"/>
          <w:sz w:val="24"/>
          <w:szCs w:val="24"/>
          <w:lang w:val="en-US"/>
        </w:rPr>
      </w:pPr>
      <w:r>
        <w:rPr>
          <w:rFonts w:ascii="Times New Roman" w:eastAsia="Times New Roman" w:hAnsi="Times New Roman" w:cs="Times New Roman"/>
          <w:b/>
          <w:bCs/>
          <w:color w:val="0E101A"/>
          <w:sz w:val="24"/>
          <w:szCs w:val="24"/>
          <w:lang w:val="en-US"/>
        </w:rPr>
        <w:t>Date</w:t>
      </w: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Default="007A71B6" w:rsidP="0079373C">
      <w:pPr>
        <w:spacing w:line="480" w:lineRule="auto"/>
        <w:jc w:val="center"/>
        <w:rPr>
          <w:rFonts w:ascii="Times New Roman" w:eastAsia="Times New Roman" w:hAnsi="Times New Roman" w:cs="Times New Roman"/>
          <w:b/>
          <w:bCs/>
          <w:color w:val="0E101A"/>
          <w:sz w:val="24"/>
          <w:szCs w:val="24"/>
          <w:lang w:val="en-US"/>
        </w:rPr>
      </w:pPr>
    </w:p>
    <w:p w:rsidR="007A71B6" w:rsidRPr="00FA016F" w:rsidRDefault="007A71B6" w:rsidP="0079373C">
      <w:pPr>
        <w:spacing w:line="480" w:lineRule="auto"/>
        <w:jc w:val="center"/>
        <w:rPr>
          <w:rFonts w:ascii="Times New Roman" w:eastAsia="Times New Roman" w:hAnsi="Times New Roman" w:cs="Times New Roman"/>
          <w:color w:val="0E101A"/>
          <w:sz w:val="24"/>
          <w:szCs w:val="24"/>
          <w:lang w:val="en-US"/>
        </w:rPr>
      </w:pPr>
      <w:bookmarkStart w:id="0" w:name="_GoBack"/>
      <w:bookmarkEnd w:id="0"/>
    </w:p>
    <w:p w:rsidR="00FA016F" w:rsidRPr="00FA016F" w:rsidRDefault="00FA016F" w:rsidP="001D5328">
      <w:pPr>
        <w:numPr>
          <w:ilvl w:val="0"/>
          <w:numId w:val="3"/>
        </w:num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lastRenderedPageBreak/>
        <w:t>What drug categories are considered safe?</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Category B drugs are safe for pregnancy; Animal production studies have failed to demonstrate their risk to the fetus. Furthermore, there are no adequate well-controlled studies in pregnant women. These drugs are considered safe to use.</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Category B drugs comprise prenatal vitamins, acetaminophen, and other medications used routinely during pregnancy.</w:t>
      </w:r>
    </w:p>
    <w:p w:rsidR="00FA016F" w:rsidRPr="008A2BED" w:rsidRDefault="008A2BED" w:rsidP="008A2BED">
      <w:pPr>
        <w:pStyle w:val="ListParagraph"/>
        <w:numPr>
          <w:ilvl w:val="0"/>
          <w:numId w:val="3"/>
        </w:numPr>
        <w:spacing w:line="480" w:lineRule="auto"/>
        <w:jc w:val="both"/>
        <w:rPr>
          <w:rFonts w:ascii="Times New Roman" w:eastAsia="Times New Roman" w:hAnsi="Times New Roman" w:cs="Times New Roman"/>
          <w:color w:val="0E101A"/>
          <w:sz w:val="24"/>
          <w:szCs w:val="24"/>
          <w:lang w:val="en-US"/>
        </w:rPr>
      </w:pPr>
      <w:r>
        <w:rPr>
          <w:rFonts w:ascii="Times New Roman" w:eastAsia="Times New Roman" w:hAnsi="Times New Roman" w:cs="Times New Roman"/>
          <w:color w:val="0E101A"/>
          <w:sz w:val="24"/>
          <w:szCs w:val="24"/>
          <w:lang w:val="en-US"/>
        </w:rPr>
        <w:t xml:space="preserve"> </w:t>
      </w:r>
      <w:r w:rsidR="00FA016F" w:rsidRPr="008A2BED">
        <w:rPr>
          <w:rFonts w:ascii="Times New Roman" w:eastAsia="Times New Roman" w:hAnsi="Times New Roman" w:cs="Times New Roman"/>
          <w:color w:val="0E101A"/>
          <w:sz w:val="24"/>
          <w:szCs w:val="24"/>
          <w:lang w:val="en-US"/>
        </w:rPr>
        <w:t>What precautions to take for pregnant women when using local anesthetics, analgesics, and radiation?</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Dental hygienists should understand a patient's health and medical history. </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The dental hygienist should avoid using nitrous oxide because it is classified as a pregnancy risk group under category C medication. Dental hygienists and clinicians should ensure that pregnant women are not exposed to nitrous oxide. Center for Disease Control and Prevention recommends using a scavenger system and exposure limit of nitrous oxide during a dental operation. Approximately 25pmm of nitrous oxide should be used during analgesic administration. When anesthesia is used, a combination of nitrous oxide and oxygen can produce general anesthesia. The use of local anesthesia and radiographs is safe at any stage of pregnancy.   </w:t>
      </w:r>
    </w:p>
    <w:p w:rsidR="00FA016F" w:rsidRPr="008A2BED" w:rsidRDefault="00FA016F" w:rsidP="008A2BED">
      <w:pPr>
        <w:pStyle w:val="ListParagraph"/>
        <w:numPr>
          <w:ilvl w:val="0"/>
          <w:numId w:val="3"/>
        </w:numPr>
        <w:spacing w:line="480" w:lineRule="auto"/>
        <w:jc w:val="both"/>
        <w:rPr>
          <w:rFonts w:ascii="Times New Roman" w:eastAsia="Times New Roman" w:hAnsi="Times New Roman" w:cs="Times New Roman"/>
          <w:color w:val="0E101A"/>
          <w:sz w:val="24"/>
          <w:szCs w:val="24"/>
          <w:lang w:val="en-US"/>
        </w:rPr>
      </w:pPr>
      <w:r w:rsidRPr="008A2BED">
        <w:rPr>
          <w:rFonts w:ascii="Times New Roman" w:eastAsia="Times New Roman" w:hAnsi="Times New Roman" w:cs="Times New Roman"/>
          <w:color w:val="0E101A"/>
          <w:sz w:val="24"/>
          <w:szCs w:val="24"/>
          <w:lang w:val="en-US"/>
        </w:rPr>
        <w:t>What is Osteoporosis? What cautions dental professionals take for patients with osteoporosis?</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It is a condition that causes the loss of bone density; the bones become weak and brittle. The disease is caused by low calcium in the bones; this can promote bone fracture and increased weakening of bones. </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 xml:space="preserve"> Patients undergoing the invasive procedure should first ask their physician if they can temporarily cease their medication. Dental professionals should examine the patient before </w:t>
      </w:r>
      <w:r w:rsidRPr="00FA016F">
        <w:rPr>
          <w:rFonts w:ascii="Times New Roman" w:eastAsia="Times New Roman" w:hAnsi="Times New Roman" w:cs="Times New Roman"/>
          <w:color w:val="0E101A"/>
          <w:sz w:val="24"/>
          <w:szCs w:val="24"/>
          <w:lang w:val="en-US"/>
        </w:rPr>
        <w:lastRenderedPageBreak/>
        <w:t>treatment with bisphosphonates, especially those with concomitant risk factors. These patients should avoid invasive dental procedures.  </w:t>
      </w:r>
    </w:p>
    <w:p w:rsidR="00FA016F" w:rsidRPr="00D14F3C" w:rsidRDefault="00FA016F" w:rsidP="00D14F3C">
      <w:pPr>
        <w:pStyle w:val="ListParagraph"/>
        <w:numPr>
          <w:ilvl w:val="0"/>
          <w:numId w:val="7"/>
        </w:numPr>
        <w:spacing w:line="480" w:lineRule="auto"/>
        <w:jc w:val="both"/>
        <w:rPr>
          <w:rFonts w:ascii="Times New Roman" w:eastAsia="Times New Roman" w:hAnsi="Times New Roman" w:cs="Times New Roman"/>
          <w:color w:val="0E101A"/>
          <w:sz w:val="24"/>
          <w:szCs w:val="24"/>
          <w:lang w:val="en-US"/>
        </w:rPr>
      </w:pPr>
      <w:r w:rsidRPr="00D14F3C">
        <w:rPr>
          <w:rFonts w:ascii="Times New Roman" w:eastAsia="Times New Roman" w:hAnsi="Times New Roman" w:cs="Times New Roman"/>
          <w:b/>
          <w:bCs/>
          <w:color w:val="0E101A"/>
          <w:sz w:val="24"/>
          <w:szCs w:val="24"/>
          <w:lang w:val="en-US"/>
        </w:rPr>
        <w:t>Read the article here at this link:</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https://dimensionsofdentalhygiene.com/article/treating-the-transgender-patient/</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http://transgenderlawcenter.org/wp-content/uploads/2011/12/01.28.2016-tips-healthcare.pdf</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Dental hygienists must offer a warm and welcoming environment for this population during dental office visits. Dental hygienists should also not record the gender of the patient or make remarks about the patient's appearance. The dental hygienist should understand the medical history of these patients, especially those using hormone replacement therapies. All dental hygienists should be aware and accept the LGBTQ in the dental offices, calling them by their names and requesting them to visit the room based on their gender identity. A dental hygienist should ensure that there is a policy that prevents discrimination and discriminatory behaviors. Dental hygienists should limit their questions; asking about their genital status is prohibited in the dental office. Similarly, the dental records of transgender people should not be disclosed to anyone. The dental hygienist should undergo training that helps them in understanding the transgender population. </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 </w:t>
      </w:r>
    </w:p>
    <w:p w:rsidR="00FA016F" w:rsidRPr="00FA016F" w:rsidRDefault="00FA016F" w:rsidP="001D5328">
      <w:pPr>
        <w:spacing w:line="480" w:lineRule="auto"/>
        <w:jc w:val="both"/>
        <w:rPr>
          <w:rFonts w:ascii="Times New Roman" w:eastAsia="Times New Roman" w:hAnsi="Times New Roman" w:cs="Times New Roman"/>
          <w:color w:val="0E101A"/>
          <w:sz w:val="24"/>
          <w:szCs w:val="24"/>
          <w:lang w:val="en-US"/>
        </w:rPr>
      </w:pPr>
      <w:r w:rsidRPr="00FA016F">
        <w:rPr>
          <w:rFonts w:ascii="Times New Roman" w:eastAsia="Times New Roman" w:hAnsi="Times New Roman" w:cs="Times New Roman"/>
          <w:color w:val="0E101A"/>
          <w:sz w:val="24"/>
          <w:szCs w:val="24"/>
          <w:lang w:val="en-US"/>
        </w:rPr>
        <w:t> </w:t>
      </w:r>
    </w:p>
    <w:p w:rsidR="00382B1E" w:rsidRDefault="00382B1E" w:rsidP="001D5328">
      <w:pPr>
        <w:spacing w:line="480" w:lineRule="auto"/>
        <w:jc w:val="both"/>
      </w:pPr>
    </w:p>
    <w:sectPr w:rsidR="00382B1E">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543A" w:rsidRDefault="00A2543A" w:rsidP="00DC2409">
      <w:pPr>
        <w:spacing w:line="240" w:lineRule="auto"/>
      </w:pPr>
      <w:r>
        <w:separator/>
      </w:r>
    </w:p>
  </w:endnote>
  <w:endnote w:type="continuationSeparator" w:id="0">
    <w:p w:rsidR="00A2543A" w:rsidRDefault="00A2543A" w:rsidP="00DC24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543A" w:rsidRDefault="00A2543A" w:rsidP="00DC2409">
      <w:pPr>
        <w:spacing w:line="240" w:lineRule="auto"/>
      </w:pPr>
      <w:r>
        <w:separator/>
      </w:r>
    </w:p>
  </w:footnote>
  <w:footnote w:type="continuationSeparator" w:id="0">
    <w:p w:rsidR="00A2543A" w:rsidRDefault="00A2543A" w:rsidP="00DC240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802042"/>
      <w:docPartObj>
        <w:docPartGallery w:val="Page Numbers (Top of Page)"/>
        <w:docPartUnique/>
      </w:docPartObj>
    </w:sdtPr>
    <w:sdtEndPr>
      <w:rPr>
        <w:noProof/>
      </w:rPr>
    </w:sdtEndPr>
    <w:sdtContent>
      <w:p w:rsidR="00DC2409" w:rsidRDefault="00DC2409">
        <w:pPr>
          <w:pStyle w:val="Header"/>
          <w:jc w:val="right"/>
        </w:pPr>
        <w:r>
          <w:fldChar w:fldCharType="begin"/>
        </w:r>
        <w:r>
          <w:instrText xml:space="preserve"> PAGE   \* MERGEFORMAT </w:instrText>
        </w:r>
        <w:r>
          <w:fldChar w:fldCharType="separate"/>
        </w:r>
        <w:r w:rsidR="007A71B6">
          <w:rPr>
            <w:noProof/>
          </w:rPr>
          <w:t>2</w:t>
        </w:r>
        <w:r>
          <w:rPr>
            <w:noProof/>
          </w:rPr>
          <w:fldChar w:fldCharType="end"/>
        </w:r>
      </w:p>
    </w:sdtContent>
  </w:sdt>
  <w:p w:rsidR="00DC2409" w:rsidRDefault="00DC240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55F6E"/>
    <w:multiLevelType w:val="hybridMultilevel"/>
    <w:tmpl w:val="DBE8072C"/>
    <w:lvl w:ilvl="0" w:tplc="C5A009F8">
      <w:start w:val="1"/>
      <w:numFmt w:val="decimal"/>
      <w:lvlText w:val="%1."/>
      <w:lvlJc w:val="left"/>
      <w:pPr>
        <w:ind w:left="2580" w:hanging="22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E947A3"/>
    <w:multiLevelType w:val="hybridMultilevel"/>
    <w:tmpl w:val="73A4D128"/>
    <w:lvl w:ilvl="0" w:tplc="6ED0BCC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184732"/>
    <w:multiLevelType w:val="multilevel"/>
    <w:tmpl w:val="09AEAA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8612AC"/>
    <w:multiLevelType w:val="hybridMultilevel"/>
    <w:tmpl w:val="11CC2A54"/>
    <w:lvl w:ilvl="0" w:tplc="5776C1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B77DC9"/>
    <w:multiLevelType w:val="multilevel"/>
    <w:tmpl w:val="964EB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B920A01"/>
    <w:multiLevelType w:val="hybridMultilevel"/>
    <w:tmpl w:val="C2A012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AD20E48"/>
    <w:multiLevelType w:val="multilevel"/>
    <w:tmpl w:val="175CA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6"/>
  </w:num>
  <w:num w:numId="4">
    <w:abstractNumId w:val="2"/>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382B1E"/>
    <w:rsid w:val="00057EE5"/>
    <w:rsid w:val="000605BD"/>
    <w:rsid w:val="000935F7"/>
    <w:rsid w:val="0009713D"/>
    <w:rsid w:val="00130743"/>
    <w:rsid w:val="001D5328"/>
    <w:rsid w:val="002205BD"/>
    <w:rsid w:val="00256368"/>
    <w:rsid w:val="00264F63"/>
    <w:rsid w:val="00382B1E"/>
    <w:rsid w:val="00593D63"/>
    <w:rsid w:val="006149F2"/>
    <w:rsid w:val="006716D7"/>
    <w:rsid w:val="006717DE"/>
    <w:rsid w:val="00723116"/>
    <w:rsid w:val="0079373C"/>
    <w:rsid w:val="007A71B6"/>
    <w:rsid w:val="007E55F1"/>
    <w:rsid w:val="00855606"/>
    <w:rsid w:val="00862F71"/>
    <w:rsid w:val="008A2BED"/>
    <w:rsid w:val="008A7A90"/>
    <w:rsid w:val="00993222"/>
    <w:rsid w:val="009A022E"/>
    <w:rsid w:val="009F24D2"/>
    <w:rsid w:val="00A16A5F"/>
    <w:rsid w:val="00A24FC8"/>
    <w:rsid w:val="00A2543A"/>
    <w:rsid w:val="00AA29D4"/>
    <w:rsid w:val="00B746A2"/>
    <w:rsid w:val="00BA490B"/>
    <w:rsid w:val="00D14F3C"/>
    <w:rsid w:val="00DA302C"/>
    <w:rsid w:val="00DA78AF"/>
    <w:rsid w:val="00DC2409"/>
    <w:rsid w:val="00EC21FA"/>
    <w:rsid w:val="00ED12A4"/>
    <w:rsid w:val="00ED1A4B"/>
    <w:rsid w:val="00F75C7F"/>
    <w:rsid w:val="00F841EF"/>
    <w:rsid w:val="00F87BB7"/>
    <w:rsid w:val="00FA0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tcPr>
      <w:shd w:val="clear" w:color="auto" w:fill="FFFFFF"/>
    </w:tcPr>
  </w:style>
  <w:style w:type="paragraph" w:styleId="Header">
    <w:name w:val="header"/>
    <w:basedOn w:val="Normal"/>
    <w:link w:val="HeaderChar"/>
    <w:uiPriority w:val="99"/>
    <w:unhideWhenUsed/>
    <w:rsid w:val="00DC2409"/>
    <w:pPr>
      <w:tabs>
        <w:tab w:val="center" w:pos="4680"/>
        <w:tab w:val="right" w:pos="9360"/>
      </w:tabs>
      <w:spacing w:line="240" w:lineRule="auto"/>
    </w:pPr>
  </w:style>
  <w:style w:type="character" w:customStyle="1" w:styleId="HeaderChar">
    <w:name w:val="Header Char"/>
    <w:basedOn w:val="DefaultParagraphFont"/>
    <w:link w:val="Header"/>
    <w:uiPriority w:val="99"/>
    <w:rsid w:val="00DC2409"/>
  </w:style>
  <w:style w:type="paragraph" w:styleId="Footer">
    <w:name w:val="footer"/>
    <w:basedOn w:val="Normal"/>
    <w:link w:val="FooterChar"/>
    <w:uiPriority w:val="99"/>
    <w:unhideWhenUsed/>
    <w:rsid w:val="00DC2409"/>
    <w:pPr>
      <w:tabs>
        <w:tab w:val="center" w:pos="4680"/>
        <w:tab w:val="right" w:pos="9360"/>
      </w:tabs>
      <w:spacing w:line="240" w:lineRule="auto"/>
    </w:pPr>
  </w:style>
  <w:style w:type="character" w:customStyle="1" w:styleId="FooterChar">
    <w:name w:val="Footer Char"/>
    <w:basedOn w:val="DefaultParagraphFont"/>
    <w:link w:val="Footer"/>
    <w:uiPriority w:val="99"/>
    <w:rsid w:val="00DC2409"/>
  </w:style>
  <w:style w:type="paragraph" w:styleId="ListParagraph">
    <w:name w:val="List Paragraph"/>
    <w:basedOn w:val="Normal"/>
    <w:uiPriority w:val="34"/>
    <w:qFormat/>
    <w:rsid w:val="008A7A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tcPr>
      <w:shd w:val="clear" w:color="auto" w:fill="FFFFFF"/>
    </w:tcPr>
  </w:style>
  <w:style w:type="paragraph" w:styleId="Header">
    <w:name w:val="header"/>
    <w:basedOn w:val="Normal"/>
    <w:link w:val="HeaderChar"/>
    <w:uiPriority w:val="99"/>
    <w:unhideWhenUsed/>
    <w:rsid w:val="00DC2409"/>
    <w:pPr>
      <w:tabs>
        <w:tab w:val="center" w:pos="4680"/>
        <w:tab w:val="right" w:pos="9360"/>
      </w:tabs>
      <w:spacing w:line="240" w:lineRule="auto"/>
    </w:pPr>
  </w:style>
  <w:style w:type="character" w:customStyle="1" w:styleId="HeaderChar">
    <w:name w:val="Header Char"/>
    <w:basedOn w:val="DefaultParagraphFont"/>
    <w:link w:val="Header"/>
    <w:uiPriority w:val="99"/>
    <w:rsid w:val="00DC2409"/>
  </w:style>
  <w:style w:type="paragraph" w:styleId="Footer">
    <w:name w:val="footer"/>
    <w:basedOn w:val="Normal"/>
    <w:link w:val="FooterChar"/>
    <w:uiPriority w:val="99"/>
    <w:unhideWhenUsed/>
    <w:rsid w:val="00DC2409"/>
    <w:pPr>
      <w:tabs>
        <w:tab w:val="center" w:pos="4680"/>
        <w:tab w:val="right" w:pos="9360"/>
      </w:tabs>
      <w:spacing w:line="240" w:lineRule="auto"/>
    </w:pPr>
  </w:style>
  <w:style w:type="character" w:customStyle="1" w:styleId="FooterChar">
    <w:name w:val="Footer Char"/>
    <w:basedOn w:val="DefaultParagraphFont"/>
    <w:link w:val="Footer"/>
    <w:uiPriority w:val="99"/>
    <w:rsid w:val="00DC2409"/>
  </w:style>
  <w:style w:type="paragraph" w:styleId="ListParagraph">
    <w:name w:val="List Paragraph"/>
    <w:basedOn w:val="Normal"/>
    <w:uiPriority w:val="34"/>
    <w:qFormat/>
    <w:rsid w:val="008A7A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684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3</Pages>
  <Words>462</Words>
  <Characters>2639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Ministry of Education</Company>
  <LinksUpToDate>false</LinksUpToDate>
  <CharactersWithSpaces>3095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Phiona</cp:lastModifiedBy>
  <cp:revision>35</cp:revision>
  <dcterms:created xsi:type="dcterms:W3CDTF">2021-05-13T14:08:00Z</dcterms:created>
  <dcterms:modified xsi:type="dcterms:W3CDTF">2021-05-14T20:44:00Z</dcterms:modified>
</cp:coreProperties>
</file>