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0B568E" w:rsidP="000B568E">
      <w:pPr>
        <w:ind w:firstLine="0"/>
        <w:jc w:val="center"/>
        <w:rPr>
          <w:lang w:val="en-US"/>
        </w:rPr>
      </w:pPr>
    </w:p>
    <w:p w:rsidR="000B568E" w:rsidP="000B568E">
      <w:pPr>
        <w:ind w:firstLine="0"/>
        <w:jc w:val="center"/>
        <w:rPr>
          <w:lang w:val="en-US"/>
        </w:rPr>
      </w:pPr>
    </w:p>
    <w:p w:rsidR="000B568E" w:rsidP="000B568E">
      <w:pPr>
        <w:ind w:firstLine="0"/>
        <w:jc w:val="center"/>
        <w:rPr>
          <w:lang w:val="en-US"/>
        </w:rPr>
      </w:pPr>
    </w:p>
    <w:p w:rsidR="000B568E" w:rsidP="000B568E">
      <w:pPr>
        <w:ind w:firstLine="0"/>
        <w:jc w:val="center"/>
        <w:rPr>
          <w:lang w:val="en-US"/>
        </w:rPr>
      </w:pPr>
    </w:p>
    <w:p w:rsidR="000B568E" w:rsidP="000B568E">
      <w:pPr>
        <w:ind w:firstLine="0"/>
        <w:jc w:val="center"/>
        <w:rPr>
          <w:lang w:val="en-US"/>
        </w:rPr>
      </w:pPr>
    </w:p>
    <w:p w:rsidR="00645FD9" w:rsidP="000B568E">
      <w:pPr>
        <w:ind w:firstLine="0"/>
        <w:jc w:val="center"/>
        <w:rPr>
          <w:lang w:val="en-US"/>
        </w:rPr>
      </w:pPr>
      <w:r>
        <w:rPr>
          <w:lang w:val="en-US"/>
        </w:rPr>
        <w:t>Retirement Planning</w:t>
      </w:r>
    </w:p>
    <w:p w:rsidR="000B568E" w:rsidP="000B568E">
      <w:pPr>
        <w:ind w:firstLine="0"/>
        <w:jc w:val="center"/>
        <w:rPr>
          <w:lang w:val="en-US"/>
        </w:rPr>
      </w:pPr>
      <w:r>
        <w:rPr>
          <w:lang w:val="en-US"/>
        </w:rPr>
        <w:t>Student’s Name</w:t>
      </w:r>
    </w:p>
    <w:p w:rsidR="000B568E" w:rsidP="000B568E">
      <w:pPr>
        <w:ind w:firstLine="0"/>
        <w:jc w:val="center"/>
        <w:rPr>
          <w:lang w:val="en-US"/>
        </w:rPr>
      </w:pPr>
      <w:r>
        <w:rPr>
          <w:lang w:val="en-US"/>
        </w:rPr>
        <w:t>Institutional Affiliation</w:t>
      </w:r>
    </w:p>
    <w:p w:rsidR="000B568E" w:rsidP="000B568E">
      <w:pPr>
        <w:ind w:firstLine="0"/>
        <w:jc w:val="center"/>
        <w:rPr>
          <w:lang w:val="en-US"/>
        </w:rPr>
      </w:pPr>
      <w:r>
        <w:rPr>
          <w:lang w:val="en-US"/>
        </w:rPr>
        <w:t>Cour</w:t>
      </w:r>
      <w:bookmarkStart w:id="0" w:name="_GoBack"/>
      <w:bookmarkEnd w:id="0"/>
      <w:r>
        <w:rPr>
          <w:lang w:val="en-US"/>
        </w:rPr>
        <w:t>se Name: Course Code</w:t>
      </w:r>
    </w:p>
    <w:p w:rsidR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Professor’s Name</w:t>
      </w:r>
    </w:p>
    <w:p w:rsidR="000B568E" w:rsidP="000B568E">
      <w:pPr>
        <w:ind w:firstLine="0"/>
        <w:jc w:val="center"/>
        <w:rPr>
          <w:lang w:val="en-US"/>
        </w:rPr>
      </w:pPr>
      <w:r>
        <w:rPr>
          <w:lang w:val="en-US"/>
        </w:rPr>
        <w:t>Due Date</w:t>
      </w:r>
    </w:p>
    <w:p w:rsidR="000B568E">
      <w:pPr>
        <w:rPr>
          <w:lang w:val="en-US"/>
        </w:rPr>
      </w:pPr>
      <w:r>
        <w:rPr>
          <w:lang w:val="en-US"/>
        </w:rPr>
        <w:br w:type="page"/>
      </w:r>
    </w:p>
    <w:p w:rsidR="00FC75DC" w:rsidP="00FC75DC">
      <w:pPr>
        <w:ind w:firstLine="0"/>
        <w:jc w:val="center"/>
        <w:rPr>
          <w:b/>
          <w:lang w:val="en-US"/>
        </w:rPr>
      </w:pPr>
      <w:r w:rsidRPr="00FC75DC">
        <w:rPr>
          <w:b/>
          <w:lang w:val="en-US"/>
        </w:rPr>
        <w:t>Retirement Planning</w:t>
      </w:r>
    </w:p>
    <w:p w:rsidR="009365E4" w:rsidP="00256001">
      <w:pPr>
        <w:ind w:firstLine="720"/>
        <w:contextualSpacing/>
        <w:rPr>
          <w:lang w:val="en-US"/>
        </w:rPr>
      </w:pPr>
      <w:r>
        <w:rPr>
          <w:lang w:val="en-US"/>
        </w:rPr>
        <w:t xml:space="preserve">Retirement planning entails a detailed process to determine the perceived </w:t>
      </w:r>
      <w:r w:rsidR="007118DA">
        <w:rPr>
          <w:lang w:val="en-US"/>
        </w:rPr>
        <w:t xml:space="preserve">retirement income objectives, goals, and the appropriate decisions for accomplishing such goals. The entire procedure includes identifying income sources, sizing expenses, implementing a savings program, and managing risks and assets. </w:t>
      </w:r>
      <w:r w:rsidR="00094440">
        <w:rPr>
          <w:lang w:val="en-US"/>
        </w:rPr>
        <w:t xml:space="preserve">Various steps should be considered while devising desirable retirement plans. These include but are not limited to; the understanding of the given time horizon. </w:t>
      </w:r>
      <w:r w:rsidR="00B07714">
        <w:rPr>
          <w:lang w:val="en-US"/>
        </w:rPr>
        <w:t xml:space="preserve">The individuals’ current age and retirement age form the initial basis of any given retirement methodology. </w:t>
      </w:r>
      <w:r w:rsidR="00306ECE">
        <w:rPr>
          <w:lang w:val="en-US"/>
        </w:rPr>
        <w:t xml:space="preserve">The higher the difference between the ages, the substantial the risk levels the individuals’ portfolio can withstand. </w:t>
      </w:r>
      <w:r w:rsidR="00AD6E70">
        <w:rPr>
          <w:lang w:val="en-US"/>
        </w:rPr>
        <w:t xml:space="preserve">The individual’s returns should also be capable of </w:t>
      </w:r>
      <w:r w:rsidR="0033665D">
        <w:rPr>
          <w:lang w:val="en-US"/>
        </w:rPr>
        <w:t xml:space="preserve">outpacing inflation to maintain the perceived purchasing power during the retirement age. </w:t>
      </w:r>
      <w:r w:rsidR="00FF3BB9">
        <w:rPr>
          <w:lang w:val="en-US"/>
        </w:rPr>
        <w:t>The spending needs should also be established, incorporating realistic expectations</w:t>
      </w:r>
      <w:r w:rsidR="004E1176">
        <w:rPr>
          <w:lang w:val="en-US"/>
        </w:rPr>
        <w:t xml:space="preserve"> regarding post-retirement spending behaviors</w:t>
      </w:r>
      <w:r w:rsidR="00BD09D8">
        <w:rPr>
          <w:lang w:val="en-US"/>
        </w:rPr>
        <w:t xml:space="preserve"> </w:t>
      </w:r>
      <w:r w:rsidR="00BD09D8">
        <w:rPr>
          <w:rFonts w:cs="Times New Roman"/>
          <w:szCs w:val="24"/>
        </w:rPr>
        <w:t>(Ali &amp; Frank, 2019)</w:t>
      </w:r>
      <w:r w:rsidR="00BD09D8">
        <w:rPr>
          <w:lang w:val="en-US"/>
        </w:rPr>
        <w:t>.</w:t>
      </w:r>
      <w:r w:rsidR="004E1176">
        <w:rPr>
          <w:lang w:val="en-US"/>
        </w:rPr>
        <w:t xml:space="preserve"> Determination of these needs will help in the definition of the retirement portfolio’s required size. </w:t>
      </w:r>
      <w:r w:rsidR="00026922">
        <w:rPr>
          <w:lang w:val="en-US"/>
        </w:rPr>
        <w:t xml:space="preserve">The retirees thus need considerable income for more extended periods to enhance significant saving and investing. </w:t>
      </w:r>
    </w:p>
    <w:p w:rsidR="009365E4" w:rsidP="00256001">
      <w:pPr>
        <w:ind w:firstLine="720"/>
        <w:contextualSpacing/>
        <w:rPr>
          <w:lang w:val="en-US"/>
        </w:rPr>
      </w:pPr>
      <w:r>
        <w:rPr>
          <w:lang w:val="en-US"/>
        </w:rPr>
        <w:t xml:space="preserve">Setting accurate retirement spending goals and objectives will enhance the </w:t>
      </w:r>
      <w:r w:rsidR="00DB3896">
        <w:rPr>
          <w:lang w:val="en-US"/>
        </w:rPr>
        <w:t xml:space="preserve">planning procedures as additional spending in the future requires additional savings at current stages. </w:t>
      </w:r>
      <w:r w:rsidR="00081FA3">
        <w:rPr>
          <w:lang w:val="en-US"/>
        </w:rPr>
        <w:t>The incorporation of expenses’ accurate estimation determin</w:t>
      </w:r>
      <w:r w:rsidR="006B6206">
        <w:rPr>
          <w:lang w:val="en-US"/>
        </w:rPr>
        <w:t>es the amount of money withdrawn</w:t>
      </w:r>
      <w:r w:rsidR="00081FA3">
        <w:rPr>
          <w:lang w:val="en-US"/>
        </w:rPr>
        <w:t xml:space="preserve"> in each given year </w:t>
      </w:r>
      <w:r w:rsidR="006B6206">
        <w:rPr>
          <w:lang w:val="en-US"/>
        </w:rPr>
        <w:t xml:space="preserve">and investment into the available accounts created. Understating the expenses is ambiguous </w:t>
      </w:r>
      <w:r w:rsidR="00435B84">
        <w:rPr>
          <w:lang w:val="en-US"/>
        </w:rPr>
        <w:t xml:space="preserve">as it may result in the outliving of one's retirement portfolio. On the other hand, overstating the expenses can result in </w:t>
      </w:r>
      <w:r w:rsidR="00397E11">
        <w:rPr>
          <w:lang w:val="en-US"/>
        </w:rPr>
        <w:t>one risking not living following the expected lifestyle during the retirement phase</w:t>
      </w:r>
      <w:r w:rsidR="00BD09D8">
        <w:rPr>
          <w:lang w:val="en-US"/>
        </w:rPr>
        <w:t xml:space="preserve"> </w:t>
      </w:r>
      <w:r w:rsidR="00BD09D8">
        <w:rPr>
          <w:rFonts w:cs="Times New Roman"/>
          <w:szCs w:val="24"/>
        </w:rPr>
        <w:t>(Ali &amp; Frank, 2019)</w:t>
      </w:r>
      <w:r w:rsidR="00BD09D8">
        <w:rPr>
          <w:lang w:val="en-US"/>
        </w:rPr>
        <w:t>.</w:t>
      </w:r>
      <w:r w:rsidR="00397E11">
        <w:rPr>
          <w:lang w:val="en-US"/>
        </w:rPr>
        <w:t xml:space="preserve"> </w:t>
      </w:r>
      <w:r w:rsidR="002D3519">
        <w:rPr>
          <w:lang w:val="en-US"/>
        </w:rPr>
        <w:t xml:space="preserve">Accuracy in retirement planning can be enhanced through the specification and estimation of early </w:t>
      </w:r>
      <w:r w:rsidR="00807146">
        <w:rPr>
          <w:lang w:val="en-US"/>
        </w:rPr>
        <w:t xml:space="preserve">retirement procedures, account for </w:t>
      </w:r>
      <w:r w:rsidR="00807146">
        <w:rPr>
          <w:lang w:val="en-US"/>
        </w:rPr>
        <w:t xml:space="preserve">unexpected expenses during middle-retirement phases, </w:t>
      </w:r>
      <w:r w:rsidR="00EB2951">
        <w:rPr>
          <w:lang w:val="en-US"/>
        </w:rPr>
        <w:t xml:space="preserve">and help predict late-retirement perceived costs. </w:t>
      </w:r>
      <w:r w:rsidR="00492E7C">
        <w:rPr>
          <w:lang w:val="en-US"/>
        </w:rPr>
        <w:t xml:space="preserve">Calculation of the After-Tax rate of investment returns should also be considered in ensuring an effective retirement plan. </w:t>
      </w:r>
      <w:r w:rsidR="002D1BD8">
        <w:rPr>
          <w:lang w:val="en-US"/>
        </w:rPr>
        <w:t xml:space="preserve">The process should be carried out once the </w:t>
      </w:r>
      <w:r w:rsidR="00926D89">
        <w:rPr>
          <w:lang w:val="en-US"/>
        </w:rPr>
        <w:t xml:space="preserve">spending needs are established. These calculations help in the evaluation </w:t>
      </w:r>
      <w:r w:rsidR="002815B6">
        <w:rPr>
          <w:lang w:val="en-US"/>
        </w:rPr>
        <w:t xml:space="preserve">of the retirement plan’s feasibility needed towards producing substantial income amounts. </w:t>
      </w:r>
      <w:r w:rsidR="00D97DBF">
        <w:rPr>
          <w:lang w:val="en-US"/>
        </w:rPr>
        <w:t xml:space="preserve">As the retiree ages with time, rates </w:t>
      </w:r>
      <w:r w:rsidR="00AE3B43">
        <w:rPr>
          <w:lang w:val="en-US"/>
        </w:rPr>
        <w:t xml:space="preserve">of returns decline </w:t>
      </w:r>
      <w:r w:rsidR="00D97DBF">
        <w:rPr>
          <w:lang w:val="en-US"/>
        </w:rPr>
        <w:t xml:space="preserve">substantially </w:t>
      </w:r>
      <w:r w:rsidR="00AE3B43">
        <w:rPr>
          <w:lang w:val="en-US"/>
        </w:rPr>
        <w:t>due t</w:t>
      </w:r>
      <w:r w:rsidR="002B4F51">
        <w:rPr>
          <w:lang w:val="en-US"/>
        </w:rPr>
        <w:t xml:space="preserve">o low-yielding fixed-income securities incorporated into the </w:t>
      </w:r>
      <w:r w:rsidR="00A24825">
        <w:rPr>
          <w:lang w:val="en-US"/>
        </w:rPr>
        <w:t>low-risk retirement portfolios</w:t>
      </w:r>
      <w:r w:rsidR="00BD09D8">
        <w:rPr>
          <w:lang w:val="en-US"/>
        </w:rPr>
        <w:t xml:space="preserve"> </w:t>
      </w:r>
      <w:r w:rsidR="00BD09D8">
        <w:rPr>
          <w:rFonts w:cs="Times New Roman"/>
          <w:szCs w:val="24"/>
        </w:rPr>
        <w:t>(Ali &amp; Frank, 2019)</w:t>
      </w:r>
      <w:r w:rsidR="00BD09D8">
        <w:rPr>
          <w:lang w:val="en-US"/>
        </w:rPr>
        <w:t>.</w:t>
      </w:r>
      <w:r w:rsidR="00A24825">
        <w:rPr>
          <w:lang w:val="en-US"/>
        </w:rPr>
        <w:t xml:space="preserve"> </w:t>
      </w:r>
      <w:r w:rsidR="00A72271">
        <w:rPr>
          <w:lang w:val="en-US"/>
        </w:rPr>
        <w:t xml:space="preserve">Risk tolerance assessment vs. perceived investment goals should also be determined before deriving a sound retirement plan. </w:t>
      </w:r>
      <w:r w:rsidR="00C130D3">
        <w:rPr>
          <w:lang w:val="en-US"/>
        </w:rPr>
        <w:t xml:space="preserve">A desirable portfolio should aim towards </w:t>
      </w:r>
      <w:r w:rsidR="009F5ACD">
        <w:rPr>
          <w:lang w:val="en-US"/>
        </w:rPr>
        <w:t xml:space="preserve">balancing the risk aversion concerns and the perceived return objectives. </w:t>
      </w:r>
    </w:p>
    <w:p w:rsidR="000B568E" w:rsidP="00256001">
      <w:pPr>
        <w:ind w:firstLine="720"/>
        <w:contextualSpacing/>
        <w:rPr>
          <w:lang w:val="en-US"/>
        </w:rPr>
      </w:pPr>
      <w:r>
        <w:rPr>
          <w:lang w:val="en-US"/>
        </w:rPr>
        <w:t>Additiona</w:t>
      </w:r>
      <w:r>
        <w:rPr>
          <w:lang w:val="en-US"/>
        </w:rPr>
        <w:t xml:space="preserve">lly, staying at estate planning top notches is also crucial in deriving a substantial </w:t>
      </w:r>
      <w:r w:rsidR="009025CB">
        <w:rPr>
          <w:lang w:val="en-US"/>
        </w:rPr>
        <w:t xml:space="preserve">retirement plan. Life insurance concerns should also be </w:t>
      </w:r>
      <w:r w:rsidR="008306CB">
        <w:rPr>
          <w:lang w:val="en-US"/>
        </w:rPr>
        <w:t>addressed at this point. Proper life insurance coverage and estate plans enhance the equitable d</w:t>
      </w:r>
      <w:r w:rsidR="00704C0F">
        <w:rPr>
          <w:lang w:val="en-US"/>
        </w:rPr>
        <w:t xml:space="preserve">istribution of assets depending on the retiree's choice. The individuals left behind following the retiree's death are not bound to financial hardships. </w:t>
      </w:r>
      <w:r w:rsidR="00C75279">
        <w:rPr>
          <w:lang w:val="en-US"/>
        </w:rPr>
        <w:t xml:space="preserve">Carefully defined plans also ensure that </w:t>
      </w:r>
      <w:r w:rsidR="00AE1208">
        <w:rPr>
          <w:lang w:val="en-US"/>
        </w:rPr>
        <w:t xml:space="preserve">lengthy and expensive probate processes are avoided. </w:t>
      </w:r>
      <w:r w:rsidR="002730F1">
        <w:rPr>
          <w:lang w:val="en-US"/>
        </w:rPr>
        <w:t xml:space="preserve">Tax planning should also be considered </w:t>
      </w:r>
      <w:r w:rsidR="003E1E7E">
        <w:rPr>
          <w:lang w:val="en-US"/>
        </w:rPr>
        <w:t xml:space="preserve">during the estate planning process. Individuals wishing to leave behind </w:t>
      </w:r>
      <w:r w:rsidR="00F40FB9">
        <w:rPr>
          <w:lang w:val="en-US"/>
        </w:rPr>
        <w:t xml:space="preserve">assets to individuals or family members must have the tax implications of passing them or gifting them through estates </w:t>
      </w:r>
      <w:r w:rsidR="00D824EB">
        <w:rPr>
          <w:lang w:val="en-US"/>
        </w:rPr>
        <w:t>compared</w:t>
      </w:r>
      <w:r w:rsidRPr="00450A8D" w:rsidR="00450A8D">
        <w:rPr>
          <w:rFonts w:cs="Times New Roman"/>
          <w:szCs w:val="24"/>
        </w:rPr>
        <w:t xml:space="preserve"> </w:t>
      </w:r>
      <w:r w:rsidR="00450A8D">
        <w:rPr>
          <w:rFonts w:cs="Times New Roman"/>
          <w:szCs w:val="24"/>
        </w:rPr>
        <w:t>(Ali &amp; Frank, 2019)</w:t>
      </w:r>
      <w:r w:rsidR="00D824EB">
        <w:rPr>
          <w:lang w:val="en-US"/>
        </w:rPr>
        <w:t xml:space="preserve">. </w:t>
      </w:r>
      <w:r w:rsidR="00A025A7">
        <w:rPr>
          <w:lang w:val="en-US"/>
        </w:rPr>
        <w:t xml:space="preserve">The retirement-plan investment methodology adopted </w:t>
      </w:r>
      <w:r w:rsidR="00E058F9">
        <w:rPr>
          <w:lang w:val="en-US"/>
        </w:rPr>
        <w:t xml:space="preserve">should thus be based on the production of returns meant towards meeting the perceived annual </w:t>
      </w:r>
      <w:r w:rsidR="00514F7B">
        <w:rPr>
          <w:lang w:val="en-US"/>
        </w:rPr>
        <w:t xml:space="preserve">inflation-adjusted surviving expenses while preserving the portfolio's value. </w:t>
      </w:r>
    </w:p>
    <w:p w:rsidR="0025678A" w:rsidP="00256001">
      <w:pPr>
        <w:ind w:firstLine="0"/>
        <w:jc w:val="center"/>
        <w:rPr>
          <w:b/>
          <w:lang w:val="en-US"/>
        </w:rPr>
      </w:pPr>
      <w:r w:rsidRPr="00432A32">
        <w:rPr>
          <w:b/>
          <w:lang w:val="en-US"/>
        </w:rPr>
        <w:t>Retirement Plan of an Individual,</w:t>
      </w:r>
      <w:r w:rsidRPr="00432A32">
        <w:rPr>
          <w:b/>
          <w:lang w:val="en-US"/>
        </w:rPr>
        <w:t xml:space="preserve"> </w:t>
      </w:r>
      <w:r w:rsidR="00880EC4">
        <w:rPr>
          <w:b/>
          <w:lang w:val="en-US"/>
        </w:rPr>
        <w:t>Jeff</w:t>
      </w:r>
      <w:r w:rsidRPr="00432A32">
        <w:rPr>
          <w:b/>
          <w:lang w:val="en-US"/>
        </w:rPr>
        <w:t>, who is 75 years old</w:t>
      </w:r>
    </w:p>
    <w:p w:rsidR="00433169" w:rsidRPr="00433169" w:rsidP="009365E4">
      <w:pPr>
        <w:ind w:firstLine="720"/>
        <w:jc w:val="both"/>
        <w:rPr>
          <w:rFonts w:cs="Times New Roman"/>
          <w:szCs w:val="24"/>
        </w:rPr>
      </w:pPr>
      <w:r>
        <w:rPr>
          <w:lang w:val="en-US"/>
        </w:rPr>
        <w:t xml:space="preserve">Jeff Khalid turned 75 years old </w:t>
      </w:r>
      <w:r w:rsidR="006E4F95">
        <w:rPr>
          <w:lang w:val="en-US"/>
        </w:rPr>
        <w:t xml:space="preserve">on August 5, 2021. </w:t>
      </w:r>
      <w:r>
        <w:rPr>
          <w:lang w:val="en-US"/>
        </w:rPr>
        <w:t xml:space="preserve">Jeff was born in 1946 and lives in Miami, Florida. </w:t>
      </w:r>
      <w:r>
        <w:rPr>
          <w:rFonts w:cs="Times New Roman"/>
          <w:szCs w:val="24"/>
        </w:rPr>
        <w:t xml:space="preserve">Regarding his perceived </w:t>
      </w:r>
      <w:r w:rsidR="000A4647">
        <w:rPr>
          <w:rFonts w:cs="Times New Roman"/>
          <w:szCs w:val="24"/>
        </w:rPr>
        <w:t>age, Jeff</w:t>
      </w:r>
      <w:r w:rsidRPr="00433169">
        <w:rPr>
          <w:rFonts w:cs="Times New Roman"/>
          <w:szCs w:val="24"/>
        </w:rPr>
        <w:t xml:space="preserve"> has been taking his RM</w:t>
      </w:r>
      <w:r w:rsidR="000A4647">
        <w:rPr>
          <w:rFonts w:cs="Times New Roman"/>
          <w:szCs w:val="24"/>
        </w:rPr>
        <w:t xml:space="preserve">DS as per SECURE Act recommendations and regulations every year in efforts deemed at enhancing </w:t>
      </w:r>
      <w:r w:rsidRPr="00433169">
        <w:rPr>
          <w:rFonts w:cs="Times New Roman"/>
          <w:szCs w:val="24"/>
        </w:rPr>
        <w:t xml:space="preserve">his family business and the </w:t>
      </w:r>
      <w:r w:rsidR="00D6434C">
        <w:rPr>
          <w:rFonts w:cs="Times New Roman"/>
          <w:szCs w:val="24"/>
        </w:rPr>
        <w:t>subsequent family’s wellbeing</w:t>
      </w:r>
      <w:r w:rsidRPr="00433169">
        <w:rPr>
          <w:rFonts w:cs="Times New Roman"/>
          <w:szCs w:val="24"/>
        </w:rPr>
        <w:t xml:space="preserve">. He has a </w:t>
      </w:r>
      <w:r w:rsidR="00D6434C">
        <w:rPr>
          <w:rFonts w:cs="Times New Roman"/>
          <w:szCs w:val="24"/>
        </w:rPr>
        <w:t>wife, F</w:t>
      </w:r>
      <w:r w:rsidR="00D853E1">
        <w:rPr>
          <w:rFonts w:cs="Times New Roman"/>
          <w:szCs w:val="24"/>
        </w:rPr>
        <w:t>loray</w:t>
      </w:r>
      <w:r w:rsidR="00D6434C">
        <w:rPr>
          <w:rFonts w:cs="Times New Roman"/>
          <w:szCs w:val="24"/>
        </w:rPr>
        <w:t>sia, who, on the other hand, turned 7</w:t>
      </w:r>
      <w:r w:rsidR="00B8303D">
        <w:rPr>
          <w:rFonts w:cs="Times New Roman"/>
          <w:szCs w:val="24"/>
        </w:rPr>
        <w:t>2 years on July 5, 2021. Based on their birthday months</w:t>
      </w:r>
      <w:r w:rsidRPr="00433169">
        <w:rPr>
          <w:rFonts w:cs="Times New Roman"/>
          <w:szCs w:val="24"/>
        </w:rPr>
        <w:t xml:space="preserve">, their age difference is </w:t>
      </w:r>
      <w:r w:rsidR="00B8303D">
        <w:rPr>
          <w:rFonts w:cs="Times New Roman"/>
          <w:szCs w:val="24"/>
        </w:rPr>
        <w:t xml:space="preserve">less </w:t>
      </w:r>
      <w:r w:rsidRPr="00433169">
        <w:rPr>
          <w:rFonts w:cs="Times New Roman"/>
          <w:szCs w:val="24"/>
        </w:rPr>
        <w:t xml:space="preserve">than </w:t>
      </w:r>
      <w:r w:rsidR="004E7C4A">
        <w:rPr>
          <w:rFonts w:cs="Times New Roman"/>
          <w:szCs w:val="24"/>
        </w:rPr>
        <w:t>ten years.</w:t>
      </w:r>
    </w:p>
    <w:p w:rsidR="00433169" w:rsidRPr="00433169" w:rsidP="009365E4">
      <w:pPr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Additionally, Jeff</w:t>
      </w:r>
      <w:r w:rsidRPr="00433169" w:rsidR="004B4628">
        <w:rPr>
          <w:rFonts w:cs="Times New Roman"/>
          <w:szCs w:val="24"/>
        </w:rPr>
        <w:t xml:space="preserve"> has two ki</w:t>
      </w:r>
      <w:r w:rsidR="00F6667D">
        <w:rPr>
          <w:rFonts w:cs="Times New Roman"/>
          <w:szCs w:val="24"/>
        </w:rPr>
        <w:t>ds, a boy, and a girl. In the meantime, Jeff's traditional IRA portrays</w:t>
      </w:r>
      <w:r w:rsidR="00226B77">
        <w:rPr>
          <w:rFonts w:cs="Times New Roman"/>
          <w:szCs w:val="24"/>
        </w:rPr>
        <w:t xml:space="preserve"> a sum of $ 3</w:t>
      </w:r>
      <w:r w:rsidRPr="00433169" w:rsidR="004B4628">
        <w:rPr>
          <w:rFonts w:cs="Times New Roman"/>
          <w:szCs w:val="24"/>
        </w:rPr>
        <w:t>5</w:t>
      </w:r>
      <w:r w:rsidR="00226B77">
        <w:rPr>
          <w:rFonts w:cs="Times New Roman"/>
          <w:szCs w:val="24"/>
        </w:rPr>
        <w:t>0,000, with h</w:t>
      </w:r>
      <w:r w:rsidRPr="00433169" w:rsidR="004B4628">
        <w:rPr>
          <w:rFonts w:cs="Times New Roman"/>
          <w:szCs w:val="24"/>
        </w:rPr>
        <w:t>is wife is the sole beneficiary of the money. Accor</w:t>
      </w:r>
      <w:r w:rsidR="002A0596">
        <w:rPr>
          <w:rFonts w:cs="Times New Roman"/>
          <w:szCs w:val="24"/>
        </w:rPr>
        <w:t>ding to the SECURE Act, Jeff</w:t>
      </w:r>
      <w:r w:rsidRPr="00433169" w:rsidR="004B4628">
        <w:rPr>
          <w:rFonts w:cs="Times New Roman"/>
          <w:szCs w:val="24"/>
        </w:rPr>
        <w:t xml:space="preserve"> i</w:t>
      </w:r>
      <w:r w:rsidR="002A0596">
        <w:rPr>
          <w:rFonts w:cs="Times New Roman"/>
          <w:szCs w:val="24"/>
        </w:rPr>
        <w:t>s supposed to withdraw a substantial</w:t>
      </w:r>
      <w:r w:rsidRPr="00433169" w:rsidR="004B4628">
        <w:rPr>
          <w:rFonts w:cs="Times New Roman"/>
          <w:szCs w:val="24"/>
        </w:rPr>
        <w:t xml:space="preserve"> amount </w:t>
      </w:r>
      <w:r w:rsidR="00E10BCB">
        <w:rPr>
          <w:rFonts w:cs="Times New Roman"/>
          <w:szCs w:val="24"/>
        </w:rPr>
        <w:t xml:space="preserve">of money </w:t>
      </w:r>
      <w:r w:rsidRPr="00433169" w:rsidR="004B4628">
        <w:rPr>
          <w:rFonts w:cs="Times New Roman"/>
          <w:szCs w:val="24"/>
        </w:rPr>
        <w:t xml:space="preserve">or distribution by </w:t>
      </w:r>
      <w:r w:rsidR="00E10BCB">
        <w:rPr>
          <w:rFonts w:cs="Times New Roman"/>
          <w:szCs w:val="24"/>
        </w:rPr>
        <w:t xml:space="preserve">the end of </w:t>
      </w:r>
      <w:r w:rsidRPr="00433169" w:rsidR="004B4628">
        <w:rPr>
          <w:rFonts w:cs="Times New Roman"/>
          <w:szCs w:val="24"/>
        </w:rPr>
        <w:t>December 31, 2021. The current</w:t>
      </w:r>
      <w:r w:rsidR="00E10BCB">
        <w:rPr>
          <w:rFonts w:cs="Times New Roman"/>
          <w:szCs w:val="24"/>
        </w:rPr>
        <w:t xml:space="preserve"> outstanding amount in Jeff’s traditional IRA also entails</w:t>
      </w:r>
      <w:r w:rsidRPr="00433169" w:rsidR="004B4628">
        <w:rPr>
          <w:rFonts w:cs="Times New Roman"/>
          <w:szCs w:val="24"/>
        </w:rPr>
        <w:t xml:space="preserve"> the interest accumulat</w:t>
      </w:r>
      <w:r w:rsidR="000D1D0B">
        <w:rPr>
          <w:rFonts w:cs="Times New Roman"/>
          <w:szCs w:val="24"/>
        </w:rPr>
        <w:t>ed up to the current date</w:t>
      </w:r>
      <w:r w:rsidRPr="00433169" w:rsidR="004B4628">
        <w:rPr>
          <w:rFonts w:cs="Times New Roman"/>
          <w:szCs w:val="24"/>
        </w:rPr>
        <w:t>.</w:t>
      </w:r>
      <w:r w:rsidR="000D1D0B">
        <w:rPr>
          <w:rFonts w:cs="Times New Roman"/>
          <w:szCs w:val="24"/>
        </w:rPr>
        <w:t xml:space="preserve"> Assuming the interest rate is 4</w:t>
      </w:r>
      <w:r w:rsidRPr="00433169" w:rsidR="004B4628">
        <w:rPr>
          <w:rFonts w:cs="Times New Roman"/>
          <w:szCs w:val="24"/>
        </w:rPr>
        <w:t>.50% used in the calculation of his annual distributions</w:t>
      </w:r>
      <w:r w:rsidR="00D27AF0">
        <w:rPr>
          <w:rFonts w:cs="Times New Roman"/>
          <w:szCs w:val="24"/>
        </w:rPr>
        <w:t xml:space="preserve">, then; </w:t>
      </w:r>
    </w:p>
    <w:p w:rsidR="00433169" w:rsidRPr="00433169" w:rsidP="00433169">
      <w:pPr>
        <w:spacing w:after="160"/>
        <w:ind w:left="360" w:firstLine="360"/>
        <w:jc w:val="both"/>
        <w:rPr>
          <w:rFonts w:cs="Times New Roman"/>
          <w:b/>
          <w:szCs w:val="24"/>
        </w:rPr>
      </w:pPr>
      <w:r>
        <w:rPr>
          <w:rFonts w:cs="Times New Roman"/>
          <w:szCs w:val="24"/>
        </w:rPr>
        <w:t>Jeff’</w:t>
      </w:r>
      <w:r w:rsidRPr="00433169">
        <w:rPr>
          <w:rFonts w:cs="Times New Roman"/>
          <w:szCs w:val="24"/>
        </w:rPr>
        <w:t xml:space="preserve">s December 31, 2021, RMD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>the</m:t>
            </m:r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>principal</m:t>
            </m:r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>amount</m:t>
            </m:r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Distribution</m:t>
            </m:r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Cs w:val="24"/>
              </w:rPr>
              <m:t>Period</m:t>
            </m:r>
          </m:den>
        </m:f>
      </m:oMath>
    </w:p>
    <w:p w:rsidR="00433169" w:rsidRPr="00256001" w:rsidP="00256001">
      <w:pPr>
        <w:pStyle w:val="ListParagraph"/>
        <w:numPr>
          <w:ilvl w:val="0"/>
          <w:numId w:val="3"/>
        </w:numPr>
        <w:ind w:left="0" w:firstLine="0"/>
        <w:rPr>
          <w:rFonts w:cs="Times New Roman"/>
          <w:szCs w:val="24"/>
        </w:rPr>
      </w:pPr>
      <w:r w:rsidRPr="00256001">
        <w:rPr>
          <w:rFonts w:cs="Times New Roman"/>
          <w:szCs w:val="24"/>
        </w:rPr>
        <w:t>The principal Amount = $ 350,000</w:t>
      </w:r>
    </w:p>
    <w:p w:rsidR="00433169" w:rsidRPr="00256001" w:rsidP="00256001">
      <w:pPr>
        <w:pStyle w:val="ListParagraph"/>
        <w:numPr>
          <w:ilvl w:val="0"/>
          <w:numId w:val="3"/>
        </w:numPr>
        <w:ind w:left="0" w:firstLine="0"/>
        <w:rPr>
          <w:rFonts w:cs="Times New Roman"/>
          <w:szCs w:val="24"/>
        </w:rPr>
      </w:pPr>
      <w:r w:rsidRPr="00256001">
        <w:rPr>
          <w:rFonts w:cs="Times New Roman"/>
          <w:szCs w:val="24"/>
        </w:rPr>
        <w:t xml:space="preserve">The distribution period coinciding with </w:t>
      </w:r>
      <w:r w:rsidRPr="00256001" w:rsidR="007E7619">
        <w:rPr>
          <w:rFonts w:cs="Times New Roman"/>
          <w:szCs w:val="24"/>
        </w:rPr>
        <w:t>Jeff Khalid’s</w:t>
      </w:r>
      <w:r w:rsidRPr="00256001">
        <w:rPr>
          <w:rFonts w:cs="Times New Roman"/>
          <w:szCs w:val="24"/>
        </w:rPr>
        <w:t xml:space="preserve"> Age which is 75years is 22.9 – under) according to Internal Revenue Service (IRS). </w:t>
      </w:r>
    </w:p>
    <w:p w:rsidR="00433169" w:rsidRPr="00256001" w:rsidP="00256001">
      <w:pPr>
        <w:pStyle w:val="ListParagraph"/>
        <w:numPr>
          <w:ilvl w:val="1"/>
          <w:numId w:val="3"/>
        </w:numPr>
        <w:ind w:left="0" w:firstLine="0"/>
        <w:rPr>
          <w:rFonts w:cs="Times New Roman"/>
          <w:szCs w:val="24"/>
        </w:rPr>
      </w:pPr>
      <w:r w:rsidRPr="00256001">
        <w:rPr>
          <w:rFonts w:cs="Times New Roman"/>
          <w:szCs w:val="24"/>
        </w:rPr>
        <w:t>thus</w:t>
      </w:r>
      <w:r w:rsidRPr="00256001">
        <w:rPr>
          <w:rFonts w:cs="Times New Roman"/>
          <w:b/>
          <w:szCs w:val="24"/>
        </w:rPr>
        <w:t xml:space="preserve"> </w:t>
      </w:r>
      <w:r w:rsidRPr="00256001" w:rsidR="00CE3DAB">
        <w:rPr>
          <w:rFonts w:cs="Times New Roman"/>
          <w:szCs w:val="24"/>
        </w:rPr>
        <w:t>$ 3</w:t>
      </w:r>
      <w:r w:rsidRPr="00256001">
        <w:rPr>
          <w:rFonts w:cs="Times New Roman"/>
          <w:szCs w:val="24"/>
        </w:rPr>
        <w:t xml:space="preserve">50,000÷22.9= $ </w:t>
      </w:r>
      <w:r w:rsidRPr="00256001" w:rsidR="00CE3DAB">
        <w:rPr>
          <w:rFonts w:cs="Times New Roman"/>
          <w:szCs w:val="24"/>
        </w:rPr>
        <w:t>15,284</w:t>
      </w:r>
    </w:p>
    <w:p w:rsidR="009365E4" w:rsidP="009365E4">
      <w:pPr>
        <w:pStyle w:val="ListParagraph"/>
        <w:numPr>
          <w:ilvl w:val="0"/>
          <w:numId w:val="3"/>
        </w:numPr>
        <w:ind w:left="0" w:firstLine="0"/>
        <w:rPr>
          <w:rFonts w:cs="Times New Roman"/>
          <w:szCs w:val="24"/>
        </w:rPr>
      </w:pPr>
      <w:r w:rsidRPr="00256001">
        <w:rPr>
          <w:rFonts w:cs="Times New Roman"/>
          <w:szCs w:val="24"/>
        </w:rPr>
        <w:t>Jeff Khalid’s</w:t>
      </w:r>
      <w:r w:rsidRPr="00256001" w:rsidR="00433169">
        <w:rPr>
          <w:rFonts w:cs="Times New Roman"/>
          <w:szCs w:val="24"/>
        </w:rPr>
        <w:t xml:space="preserve"> De</w:t>
      </w:r>
      <w:r w:rsidRPr="00256001" w:rsidR="00866E02">
        <w:rPr>
          <w:rFonts w:cs="Times New Roman"/>
          <w:szCs w:val="24"/>
        </w:rPr>
        <w:t>cember 31, 2021, distribution thus amounts</w:t>
      </w:r>
      <w:r w:rsidRPr="00256001" w:rsidR="00433169">
        <w:rPr>
          <w:rFonts w:cs="Times New Roman"/>
          <w:szCs w:val="24"/>
        </w:rPr>
        <w:t xml:space="preserve"> </w:t>
      </w:r>
      <w:r w:rsidRPr="00256001" w:rsidR="00866E02">
        <w:rPr>
          <w:rFonts w:cs="Times New Roman"/>
          <w:szCs w:val="24"/>
        </w:rPr>
        <w:t xml:space="preserve">to </w:t>
      </w:r>
      <w:r w:rsidRPr="00256001" w:rsidR="00866E02">
        <w:rPr>
          <w:rFonts w:cs="Times New Roman"/>
          <w:b/>
          <w:szCs w:val="24"/>
        </w:rPr>
        <w:t>$ 15,284</w:t>
      </w:r>
    </w:p>
    <w:p w:rsidR="009365E4" w:rsidP="009365E4">
      <w:pPr>
        <w:pStyle w:val="ListParagraph"/>
        <w:ind w:left="0" w:firstLine="0"/>
        <w:rPr>
          <w:rFonts w:cs="Times New Roman"/>
          <w:szCs w:val="24"/>
        </w:rPr>
      </w:pPr>
    </w:p>
    <w:p w:rsidR="009365E4" w:rsidP="009365E4">
      <w:pPr>
        <w:pStyle w:val="ListParagraph"/>
        <w:ind w:left="0" w:firstLine="0"/>
        <w:rPr>
          <w:rFonts w:cs="Times New Roman"/>
          <w:szCs w:val="24"/>
        </w:rPr>
      </w:pPr>
    </w:p>
    <w:p w:rsidR="009365E4" w:rsidP="009365E4">
      <w:pPr>
        <w:pStyle w:val="ListParagraph"/>
        <w:ind w:left="0" w:firstLine="0"/>
        <w:rPr>
          <w:rFonts w:cs="Times New Roman"/>
          <w:szCs w:val="24"/>
        </w:rPr>
      </w:pPr>
    </w:p>
    <w:p w:rsidR="009365E4" w:rsidP="009365E4">
      <w:pPr>
        <w:pStyle w:val="ListParagraph"/>
        <w:ind w:left="0" w:firstLine="0"/>
        <w:rPr>
          <w:rFonts w:cs="Times New Roman"/>
          <w:szCs w:val="24"/>
        </w:rPr>
      </w:pPr>
    </w:p>
    <w:p w:rsidR="009365E4" w:rsidP="009365E4">
      <w:pPr>
        <w:pStyle w:val="ListParagraph"/>
        <w:ind w:left="0" w:firstLine="0"/>
        <w:rPr>
          <w:rFonts w:cs="Times New Roman"/>
          <w:szCs w:val="24"/>
        </w:rPr>
      </w:pPr>
    </w:p>
    <w:p w:rsidR="009365E4" w:rsidP="009365E4">
      <w:pPr>
        <w:pStyle w:val="ListParagraph"/>
        <w:ind w:left="0" w:firstLine="0"/>
        <w:rPr>
          <w:rFonts w:cs="Times New Roman"/>
          <w:szCs w:val="24"/>
        </w:rPr>
      </w:pPr>
    </w:p>
    <w:p w:rsidR="009365E4" w:rsidP="009365E4">
      <w:pPr>
        <w:pStyle w:val="ListParagraph"/>
        <w:ind w:left="0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References</w:t>
      </w:r>
    </w:p>
    <w:p w:rsidR="009365E4" w:rsidP="00450A8D">
      <w:pPr>
        <w:pStyle w:val="ListParagraph"/>
        <w:ind w:hanging="720"/>
        <w:rPr>
          <w:rFonts w:cs="Times New Roman"/>
          <w:szCs w:val="24"/>
        </w:rPr>
      </w:pPr>
      <w:r>
        <w:rPr>
          <w:rFonts w:cs="Times New Roman"/>
          <w:szCs w:val="24"/>
        </w:rPr>
        <w:t>Ali, S. B., &amp; Frank, H. A. (2019). Retirement plannin</w:t>
      </w:r>
      <w:r>
        <w:rPr>
          <w:rFonts w:cs="Times New Roman"/>
          <w:szCs w:val="24"/>
        </w:rPr>
        <w:t xml:space="preserve">g decisions: Choices </w:t>
      </w:r>
      <w:r w:rsidR="00F4219B">
        <w:rPr>
          <w:rFonts w:cs="Times New Roman"/>
          <w:szCs w:val="24"/>
        </w:rPr>
        <w:t xml:space="preserve">between defined benefit and defined contribution plans. </w:t>
      </w:r>
      <w:r w:rsidRPr="00450A8D" w:rsidR="00F4219B">
        <w:rPr>
          <w:rFonts w:cs="Times New Roman"/>
          <w:i/>
          <w:szCs w:val="24"/>
        </w:rPr>
        <w:t>The American Review of Public Administration, 49</w:t>
      </w:r>
      <w:r w:rsidR="00F4219B">
        <w:rPr>
          <w:rFonts w:cs="Times New Roman"/>
          <w:szCs w:val="24"/>
        </w:rPr>
        <w:t xml:space="preserve"> (2), 218-235. </w:t>
      </w:r>
    </w:p>
    <w:p w:rsidR="00E21318" w:rsidRPr="009365E4" w:rsidP="00450A8D">
      <w:pPr>
        <w:pStyle w:val="ListParagraph"/>
        <w:ind w:hanging="720"/>
        <w:rPr>
          <w:rFonts w:cs="Times New Roman"/>
          <w:szCs w:val="24"/>
        </w:rPr>
      </w:pPr>
    </w:p>
    <w:p w:rsidR="00880EC4" w:rsidRPr="00880EC4" w:rsidP="007118DA">
      <w:pPr>
        <w:ind w:firstLine="0"/>
        <w:rPr>
          <w:lang w:val="en-US"/>
        </w:rPr>
      </w:pPr>
    </w:p>
    <w:p w:rsidR="00432A32" w:rsidRPr="00432A32" w:rsidP="007118DA">
      <w:pPr>
        <w:ind w:firstLine="0"/>
        <w:rPr>
          <w:lang w:val="en-US"/>
        </w:rPr>
      </w:pPr>
    </w:p>
    <w:sectPr w:rsidSect="000B568E">
      <w:headerReference w:type="default" r:id="rId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568E" w:rsidP="000B568E">
    <w:pPr>
      <w:pStyle w:val="Header"/>
      <w:ind w:left="4847" w:firstLine="4513"/>
    </w:pPr>
    <w:r>
      <w:fldChar w:fldCharType="begin"/>
    </w:r>
    <w:r>
      <w:instrText xml:space="preserve"> PAGE   \* MERGEFORMAT </w:instrText>
    </w:r>
    <w:r>
      <w:fldChar w:fldCharType="separate"/>
    </w:r>
    <w:r w:rsidR="00F93BBD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515A82"/>
    <w:multiLevelType w:val="hybridMultilevel"/>
    <w:tmpl w:val="D4427C42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21373"/>
    <w:multiLevelType w:val="hybridMultilevel"/>
    <w:tmpl w:val="B3D225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35720"/>
    <w:multiLevelType w:val="hybridMultilevel"/>
    <w:tmpl w:val="A50ADBB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8E"/>
    <w:rsid w:val="00026922"/>
    <w:rsid w:val="00081FA3"/>
    <w:rsid w:val="00094440"/>
    <w:rsid w:val="000A4647"/>
    <w:rsid w:val="000B568E"/>
    <w:rsid w:val="000D1D0B"/>
    <w:rsid w:val="00226B77"/>
    <w:rsid w:val="00256001"/>
    <w:rsid w:val="0025678A"/>
    <w:rsid w:val="002730F1"/>
    <w:rsid w:val="002815B6"/>
    <w:rsid w:val="002A0596"/>
    <w:rsid w:val="002B4F51"/>
    <w:rsid w:val="002C4025"/>
    <w:rsid w:val="002D1BD8"/>
    <w:rsid w:val="002D3519"/>
    <w:rsid w:val="00306ECE"/>
    <w:rsid w:val="0033665D"/>
    <w:rsid w:val="003739B7"/>
    <w:rsid w:val="00397E11"/>
    <w:rsid w:val="003E1E7E"/>
    <w:rsid w:val="00432A32"/>
    <w:rsid w:val="00433169"/>
    <w:rsid w:val="00435B84"/>
    <w:rsid w:val="00450A8D"/>
    <w:rsid w:val="00481D78"/>
    <w:rsid w:val="00492E7C"/>
    <w:rsid w:val="004B4628"/>
    <w:rsid w:val="004E1176"/>
    <w:rsid w:val="004E7C4A"/>
    <w:rsid w:val="00514F7B"/>
    <w:rsid w:val="00645FD9"/>
    <w:rsid w:val="006B6206"/>
    <w:rsid w:val="006E4F95"/>
    <w:rsid w:val="00704C0F"/>
    <w:rsid w:val="007118DA"/>
    <w:rsid w:val="007220ED"/>
    <w:rsid w:val="007E7619"/>
    <w:rsid w:val="00807146"/>
    <w:rsid w:val="008306CB"/>
    <w:rsid w:val="00866E02"/>
    <w:rsid w:val="00880EC4"/>
    <w:rsid w:val="009025CB"/>
    <w:rsid w:val="00926D89"/>
    <w:rsid w:val="009365E4"/>
    <w:rsid w:val="009F5ACD"/>
    <w:rsid w:val="00A025A7"/>
    <w:rsid w:val="00A24825"/>
    <w:rsid w:val="00A60D23"/>
    <w:rsid w:val="00A72271"/>
    <w:rsid w:val="00AD6E70"/>
    <w:rsid w:val="00AE1208"/>
    <w:rsid w:val="00AE3B43"/>
    <w:rsid w:val="00B07714"/>
    <w:rsid w:val="00B33232"/>
    <w:rsid w:val="00B8303D"/>
    <w:rsid w:val="00BD09D8"/>
    <w:rsid w:val="00C130D3"/>
    <w:rsid w:val="00C75279"/>
    <w:rsid w:val="00CB089F"/>
    <w:rsid w:val="00CE3DAB"/>
    <w:rsid w:val="00D27AF0"/>
    <w:rsid w:val="00D6434C"/>
    <w:rsid w:val="00D824EB"/>
    <w:rsid w:val="00D853E1"/>
    <w:rsid w:val="00D97DBF"/>
    <w:rsid w:val="00DB3896"/>
    <w:rsid w:val="00E058F9"/>
    <w:rsid w:val="00E10BCB"/>
    <w:rsid w:val="00E21318"/>
    <w:rsid w:val="00EB2951"/>
    <w:rsid w:val="00F40FB9"/>
    <w:rsid w:val="00F4219B"/>
    <w:rsid w:val="00F6667D"/>
    <w:rsid w:val="00F93BBD"/>
    <w:rsid w:val="00FA215B"/>
    <w:rsid w:val="00FC75DC"/>
    <w:rsid w:val="00FF3BB9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68DD34C-490D-4523-BEF6-394FC620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theme="minorBidi"/>
        <w:sz w:val="24"/>
        <w:szCs w:val="29"/>
        <w:lang w:val="en-GB" w:eastAsia="en-US" w:bidi="ar-SA"/>
      </w:rPr>
    </w:rPrDefault>
    <w:pPrDefault>
      <w:pPr>
        <w:spacing w:line="480" w:lineRule="auto"/>
        <w:ind w:firstLine="18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68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68E"/>
  </w:style>
  <w:style w:type="paragraph" w:styleId="Footer">
    <w:name w:val="footer"/>
    <w:basedOn w:val="Normal"/>
    <w:link w:val="FooterChar"/>
    <w:uiPriority w:val="99"/>
    <w:unhideWhenUsed/>
    <w:rsid w:val="000B568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68E"/>
  </w:style>
  <w:style w:type="paragraph" w:styleId="ListParagraph">
    <w:name w:val="List Paragraph"/>
    <w:basedOn w:val="Normal"/>
    <w:uiPriority w:val="34"/>
    <w:qFormat/>
    <w:rsid w:val="00256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user</cp:lastModifiedBy>
  <cp:revision>3</cp:revision>
  <dcterms:created xsi:type="dcterms:W3CDTF">2021-08-05T11:08:00Z</dcterms:created>
  <dcterms:modified xsi:type="dcterms:W3CDTF">2021-08-06T11:50:00Z</dcterms:modified>
</cp:coreProperties>
</file>