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FA3AC5" w:rsidRPr="003F0C98" w:rsidP="00043219" w14:paraId="6A554799" w14:textId="47651217">
      <w:pPr>
        <w:spacing w:line="480" w:lineRule="auto"/>
        <w:ind w:firstLine="720"/>
        <w:rPr>
          <w:rFonts w:ascii="Times New Roman" w:hAnsi="Times New Roman" w:cs="Times New Roman"/>
          <w:sz w:val="24"/>
          <w:szCs w:val="24"/>
        </w:rPr>
      </w:pPr>
      <w:r w:rsidRPr="003F0C98">
        <w:rPr>
          <w:rFonts w:ascii="Times New Roman" w:hAnsi="Times New Roman" w:cs="Times New Roman"/>
          <w:sz w:val="24"/>
          <w:szCs w:val="24"/>
        </w:rPr>
        <w:t>Mr C has experienced past medical health complications that correlate with obesity-related disease. Obesity is characterized by shortness of breath, commonly called dyspnoea, high blood pressure, back and or joint pain among patients. Past health history and medical information for Mr C shows that he has experienced the same symptoms with the addition of swollen ankles, pruritus</w:t>
      </w:r>
      <w:r w:rsidRPr="003F0C98" w:rsidR="001F30A6">
        <w:rPr>
          <w:rFonts w:ascii="Times New Roman" w:hAnsi="Times New Roman" w:cs="Times New Roman"/>
          <w:sz w:val="24"/>
          <w:szCs w:val="24"/>
        </w:rPr>
        <w:t xml:space="preserve"> and a high rate of weight gain for the last 2-3 years. Therefore, these symptoms prove a possible bariatric surgery for his obesity. </w:t>
      </w:r>
      <w:r w:rsidRPr="003F0C98" w:rsidR="004C3199">
        <w:rPr>
          <w:rFonts w:ascii="Times New Roman" w:hAnsi="Times New Roman" w:cs="Times New Roman"/>
          <w:sz w:val="24"/>
          <w:szCs w:val="24"/>
        </w:rPr>
        <w:t>In addition, the nature and type of work that a person has will also lead to obesity. A working environment that entails little movement</w:t>
      </w:r>
      <w:r w:rsidRPr="003F0C98" w:rsidR="00EF72AB">
        <w:rPr>
          <w:rFonts w:ascii="Times New Roman" w:hAnsi="Times New Roman" w:cs="Times New Roman"/>
          <w:sz w:val="24"/>
          <w:szCs w:val="24"/>
        </w:rPr>
        <w:t xml:space="preserve"> leads to minimum body movements leading to little workout. Mr C's role as a catalogue telephone centre operator is an example of a job contributing to little training. The patient's objective data shows that he has a weight of 134.5 Kg, BP of 172/98,</w:t>
      </w:r>
      <w:r w:rsidRPr="003F0C98">
        <w:rPr>
          <w:rFonts w:ascii="Times New Roman" w:hAnsi="Times New Roman" w:cs="Times New Roman"/>
          <w:sz w:val="24"/>
          <w:szCs w:val="24"/>
        </w:rPr>
        <w:t xml:space="preserve"> Fasting blood glucose 146 mg/dl, Triglycerides 312 mg/dl, BUN 32 mg/dl and</w:t>
      </w:r>
      <w:r w:rsidRPr="003F0C98" w:rsidR="00EF72AB">
        <w:rPr>
          <w:rFonts w:ascii="Times New Roman" w:hAnsi="Times New Roman" w:cs="Times New Roman"/>
          <w:sz w:val="24"/>
          <w:szCs w:val="24"/>
        </w:rPr>
        <w:t xml:space="preserve"> HR 88 and RR 26. Mr C is overweight at 134.5 Kg and has high blood pressure above </w:t>
      </w:r>
      <w:r w:rsidRPr="003F0C98">
        <w:rPr>
          <w:rFonts w:ascii="Times New Roman" w:hAnsi="Times New Roman" w:cs="Times New Roman"/>
          <w:sz w:val="24"/>
          <w:szCs w:val="24"/>
        </w:rPr>
        <w:t xml:space="preserve">the normal blood pressure. The patient has high total cholesterol of 250 mg/dl, above the average level. Therefore, these results have a high correlation with the probability of the patients having obesity. </w:t>
      </w:r>
    </w:p>
    <w:p w:rsidR="00666466" w:rsidRPr="003F0C98" w:rsidP="00043219" w14:paraId="7E332C96" w14:textId="1962D615">
      <w:pPr>
        <w:spacing w:line="480" w:lineRule="auto"/>
        <w:ind w:firstLine="720"/>
        <w:rPr>
          <w:rFonts w:ascii="Times New Roman" w:hAnsi="Times New Roman" w:cs="Times New Roman"/>
          <w:sz w:val="24"/>
          <w:szCs w:val="24"/>
        </w:rPr>
      </w:pPr>
      <w:r w:rsidRPr="003F0C98">
        <w:rPr>
          <w:rFonts w:ascii="Times New Roman" w:hAnsi="Times New Roman" w:cs="Times New Roman"/>
          <w:sz w:val="24"/>
          <w:szCs w:val="24"/>
        </w:rPr>
        <w:t xml:space="preserve"> </w:t>
      </w:r>
      <w:r w:rsidRPr="003F0C98" w:rsidR="00FA3AC5">
        <w:rPr>
          <w:rFonts w:ascii="Times New Roman" w:hAnsi="Times New Roman" w:cs="Times New Roman"/>
          <w:sz w:val="24"/>
          <w:szCs w:val="24"/>
        </w:rPr>
        <w:t xml:space="preserve">People diagnosed with obesity are </w:t>
      </w:r>
      <w:r w:rsidRPr="003F0C98" w:rsidR="001F05E7">
        <w:rPr>
          <w:rFonts w:ascii="Times New Roman" w:hAnsi="Times New Roman" w:cs="Times New Roman"/>
          <w:sz w:val="24"/>
          <w:szCs w:val="24"/>
        </w:rPr>
        <w:t>more likely to suffer complex health complications such as high blood pressure, high cholesterol levels, sleep disorders, diabetes, metabolic-related syndromes, heart diseases and cancers</w:t>
      </w:r>
      <w:r w:rsidR="003F0C98">
        <w:rPr>
          <w:rFonts w:ascii="Times New Roman" w:hAnsi="Times New Roman" w:cs="Times New Roman"/>
          <w:sz w:val="24"/>
          <w:szCs w:val="24"/>
        </w:rPr>
        <w:t xml:space="preserve"> (</w:t>
      </w:r>
      <w:r w:rsidRPr="003F0C98" w:rsidR="003F0C98">
        <w:rPr>
          <w:rFonts w:ascii="Times New Roman" w:eastAsia="Times New Roman" w:hAnsi="Times New Roman" w:cs="Times New Roman"/>
          <w:color w:val="000000"/>
          <w:sz w:val="24"/>
          <w:szCs w:val="24"/>
        </w:rPr>
        <w:t>Nadolsky, </w:t>
      </w:r>
      <w:r w:rsidR="003F0C98">
        <w:rPr>
          <w:rFonts w:ascii="Times New Roman" w:eastAsia="Times New Roman" w:hAnsi="Times New Roman" w:cs="Times New Roman"/>
          <w:color w:val="000000"/>
          <w:sz w:val="24"/>
          <w:szCs w:val="24"/>
        </w:rPr>
        <w:t>2020)</w:t>
      </w:r>
      <w:r w:rsidRPr="003F0C98" w:rsidR="001F05E7">
        <w:rPr>
          <w:rFonts w:ascii="Times New Roman" w:hAnsi="Times New Roman" w:cs="Times New Roman"/>
          <w:sz w:val="24"/>
          <w:szCs w:val="24"/>
        </w:rPr>
        <w:t xml:space="preserve">. The patient has a history of sleep apnea and high blood </w:t>
      </w:r>
      <w:r w:rsidRPr="003F0C98" w:rsidR="00C20579">
        <w:rPr>
          <w:rFonts w:ascii="Times New Roman" w:hAnsi="Times New Roman" w:cs="Times New Roman"/>
          <w:sz w:val="24"/>
          <w:szCs w:val="24"/>
        </w:rPr>
        <w:t>pressure;</w:t>
      </w:r>
      <w:r w:rsidRPr="003F0C98" w:rsidR="001F05E7">
        <w:rPr>
          <w:rFonts w:ascii="Times New Roman" w:hAnsi="Times New Roman" w:cs="Times New Roman"/>
          <w:sz w:val="24"/>
          <w:szCs w:val="24"/>
        </w:rPr>
        <w:t xml:space="preserve"> therefore, the patient has a risk of getting complex high blood pressure </w:t>
      </w:r>
      <w:r w:rsidRPr="003F0C98" w:rsidR="00C20579">
        <w:rPr>
          <w:rFonts w:ascii="Times New Roman" w:hAnsi="Times New Roman" w:cs="Times New Roman"/>
          <w:sz w:val="24"/>
          <w:szCs w:val="24"/>
        </w:rPr>
        <w:t xml:space="preserve">problems, leading to a high level of cholesterol. The patient has a record of 146 mg/dl as Fasting blood glucose; this means that the patient's body has been unable to lower sugar levels in the blood. The inability of the body to reduce the level of sugar in the body may lead to diabetes-related diseases. Bariatric surgery is the best and most effective means of dealing with </w:t>
      </w:r>
      <w:r w:rsidRPr="003F0C98" w:rsidR="00C20579">
        <w:rPr>
          <w:rFonts w:ascii="Times New Roman" w:hAnsi="Times New Roman" w:cs="Times New Roman"/>
          <w:sz w:val="24"/>
          <w:szCs w:val="24"/>
        </w:rPr>
        <w:t xml:space="preserve">the patient’s condition </w:t>
      </w:r>
      <w:r w:rsidRPr="003F0C98" w:rsidR="003E7304">
        <w:rPr>
          <w:rFonts w:ascii="Times New Roman" w:hAnsi="Times New Roman" w:cs="Times New Roman"/>
          <w:sz w:val="24"/>
          <w:szCs w:val="24"/>
        </w:rPr>
        <w:t xml:space="preserve">since it reduces the patient's weight. Reducing Mr C's weight will help lower cholesterol levels. </w:t>
      </w:r>
    </w:p>
    <w:p w:rsidR="00AA10A4" w:rsidRPr="003F0C98" w:rsidP="00043219" w14:paraId="0F581EE5" w14:textId="30218668">
      <w:pPr>
        <w:spacing w:line="480" w:lineRule="auto"/>
        <w:ind w:firstLine="720"/>
        <w:rPr>
          <w:rFonts w:ascii="Times New Roman" w:hAnsi="Times New Roman" w:cs="Times New Roman"/>
          <w:sz w:val="24"/>
          <w:szCs w:val="24"/>
        </w:rPr>
      </w:pPr>
      <w:r w:rsidRPr="003F0C98">
        <w:rPr>
          <w:rFonts w:ascii="Times New Roman" w:hAnsi="Times New Roman" w:cs="Times New Roman"/>
          <w:sz w:val="24"/>
          <w:szCs w:val="24"/>
        </w:rPr>
        <w:t xml:space="preserve">The lab results for Mr C provides a deep understanding of his pre-existing health conditions. From these </w:t>
      </w:r>
      <w:r w:rsidRPr="003F0C98" w:rsidR="00765199">
        <w:rPr>
          <w:rFonts w:ascii="Times New Roman" w:hAnsi="Times New Roman" w:cs="Times New Roman"/>
          <w:sz w:val="24"/>
          <w:szCs w:val="24"/>
        </w:rPr>
        <w:t>results, it is easy to assess functional health patterns. Mr C weighs 134.5 kg, which is considered overweight</w:t>
      </w:r>
      <w:r w:rsidR="003F0C98">
        <w:rPr>
          <w:rFonts w:ascii="Times New Roman" w:hAnsi="Times New Roman" w:cs="Times New Roman"/>
          <w:sz w:val="24"/>
          <w:szCs w:val="24"/>
        </w:rPr>
        <w:t xml:space="preserve"> (</w:t>
      </w:r>
      <w:r w:rsidRPr="003F0C98" w:rsidR="003F0C98">
        <w:rPr>
          <w:rFonts w:ascii="Times New Roman" w:eastAsia="Times New Roman" w:hAnsi="Times New Roman" w:cs="Times New Roman"/>
          <w:color w:val="000000"/>
          <w:sz w:val="24"/>
          <w:szCs w:val="24"/>
        </w:rPr>
        <w:t>Milano, </w:t>
      </w:r>
      <w:r w:rsidR="003F0C98">
        <w:rPr>
          <w:rFonts w:ascii="Times New Roman" w:eastAsia="Times New Roman" w:hAnsi="Times New Roman" w:cs="Times New Roman"/>
          <w:color w:val="000000"/>
          <w:sz w:val="24"/>
          <w:szCs w:val="24"/>
        </w:rPr>
        <w:t>2018)</w:t>
      </w:r>
      <w:r w:rsidRPr="003F0C98" w:rsidR="00765199">
        <w:rPr>
          <w:rFonts w:ascii="Times New Roman" w:hAnsi="Times New Roman" w:cs="Times New Roman"/>
          <w:sz w:val="24"/>
          <w:szCs w:val="24"/>
        </w:rPr>
        <w:t xml:space="preserve">. People who are overweight have a high probability of being obese. Therefore, lifestyle changes such as health- management nutrition can effectively help Mr C manage and reduce his weight. Secondly, obesity affects </w:t>
      </w:r>
      <w:r w:rsidRPr="003F0C98" w:rsidR="00854407">
        <w:rPr>
          <w:rFonts w:ascii="Times New Roman" w:hAnsi="Times New Roman" w:cs="Times New Roman"/>
          <w:sz w:val="24"/>
          <w:szCs w:val="24"/>
        </w:rPr>
        <w:t>the central nervous system, particularly cognitive perceptional functioning, making it difficult for the patient to make decisions and be attentive. In addition, the patient has a sleeping disorder, sleep apnea which can lead to high blood pressure. Sleeping disorders can lead to breathing difficulties among patients with obesity</w:t>
      </w:r>
      <w:r w:rsidRPr="003F0C98">
        <w:rPr>
          <w:rFonts w:ascii="Times New Roman" w:hAnsi="Times New Roman" w:cs="Times New Roman"/>
          <w:sz w:val="24"/>
          <w:szCs w:val="24"/>
        </w:rPr>
        <w:t xml:space="preserve">-related symptoms. Mr C has reported having sleeping apnea with high blood pressure. Sleep apnea can be treated managed using continuous positive airway pressure. </w:t>
      </w:r>
    </w:p>
    <w:p w:rsidR="003E7304" w:rsidRPr="003F0C98" w:rsidP="00043219" w14:paraId="3CABBE91" w14:textId="465EA4A9">
      <w:pPr>
        <w:spacing w:line="480" w:lineRule="auto"/>
        <w:ind w:firstLine="720"/>
        <w:rPr>
          <w:rFonts w:ascii="Times New Roman" w:hAnsi="Times New Roman" w:cs="Times New Roman"/>
          <w:sz w:val="24"/>
          <w:szCs w:val="24"/>
        </w:rPr>
      </w:pPr>
      <w:r w:rsidRPr="003F0C98">
        <w:rPr>
          <w:rFonts w:ascii="Times New Roman" w:hAnsi="Times New Roman" w:cs="Times New Roman"/>
          <w:sz w:val="24"/>
          <w:szCs w:val="24"/>
        </w:rPr>
        <w:t>Coping with stress tolerance is a factor that should be monitored among patients diagnosed with obesity. Mr C may experience stress-related from individuals body shaming and health-related stress</w:t>
      </w:r>
      <w:r w:rsidR="00876EE3">
        <w:rPr>
          <w:rFonts w:ascii="Times New Roman" w:hAnsi="Times New Roman" w:cs="Times New Roman"/>
          <w:sz w:val="24"/>
          <w:szCs w:val="24"/>
        </w:rPr>
        <w:t xml:space="preserve"> (</w:t>
      </w:r>
      <w:r w:rsidRPr="003F0C98" w:rsidR="00876EE3">
        <w:rPr>
          <w:rFonts w:ascii="Times New Roman" w:eastAsia="Times New Roman" w:hAnsi="Times New Roman" w:cs="Times New Roman"/>
          <w:color w:val="000000"/>
          <w:sz w:val="24"/>
          <w:szCs w:val="24"/>
        </w:rPr>
        <w:t>Berman</w:t>
      </w:r>
      <w:r w:rsidR="00876EE3">
        <w:rPr>
          <w:rFonts w:ascii="Times New Roman" w:eastAsia="Times New Roman" w:hAnsi="Times New Roman" w:cs="Times New Roman"/>
          <w:color w:val="000000"/>
          <w:sz w:val="24"/>
          <w:szCs w:val="24"/>
        </w:rPr>
        <w:t>, 2021)</w:t>
      </w:r>
      <w:r w:rsidRPr="003F0C98">
        <w:rPr>
          <w:rFonts w:ascii="Times New Roman" w:hAnsi="Times New Roman" w:cs="Times New Roman"/>
          <w:sz w:val="24"/>
          <w:szCs w:val="24"/>
        </w:rPr>
        <w:t xml:space="preserve">. </w:t>
      </w:r>
      <w:r w:rsidRPr="003F0C98" w:rsidR="006F3A03">
        <w:rPr>
          <w:rFonts w:ascii="Times New Roman" w:hAnsi="Times New Roman" w:cs="Times New Roman"/>
          <w:sz w:val="24"/>
          <w:szCs w:val="24"/>
        </w:rPr>
        <w:t xml:space="preserve">The focus will also contribute to the patients having less self-esteem around other people due to being overweight. Anxiety among obese patients such as Mr C may be managed by practising mindful eating, proper and healthy life habits. Lastly, self-perception </w:t>
      </w:r>
      <w:r w:rsidRPr="003F0C98" w:rsidR="004214A5">
        <w:rPr>
          <w:rFonts w:ascii="Times New Roman" w:hAnsi="Times New Roman" w:cs="Times New Roman"/>
          <w:sz w:val="24"/>
          <w:szCs w:val="24"/>
        </w:rPr>
        <w:t xml:space="preserve">on weight and body image perception contributes to the patient's functional health pattern. Being overweight, the patient may feel less secure, leading to a low self-perception of weight and body appearance. Mr C's self-perception may be increased by encouraging him to develop a </w:t>
      </w:r>
      <w:r w:rsidRPr="003F0C98" w:rsidR="00E45E76">
        <w:rPr>
          <w:rFonts w:ascii="Times New Roman" w:hAnsi="Times New Roman" w:cs="Times New Roman"/>
          <w:sz w:val="24"/>
          <w:szCs w:val="24"/>
        </w:rPr>
        <w:t>better and healthy living habit</w:t>
      </w:r>
      <w:r w:rsidRPr="003F0C98" w:rsidR="004214A5">
        <w:rPr>
          <w:rFonts w:ascii="Times New Roman" w:hAnsi="Times New Roman" w:cs="Times New Roman"/>
          <w:sz w:val="24"/>
          <w:szCs w:val="24"/>
        </w:rPr>
        <w:t xml:space="preserve">s. </w:t>
      </w:r>
    </w:p>
    <w:p w:rsidR="004214A5" w:rsidRPr="003F0C98" w:rsidP="00043219" w14:paraId="0A439492" w14:textId="39AB1A73">
      <w:pPr>
        <w:spacing w:line="480" w:lineRule="auto"/>
        <w:ind w:firstLine="720"/>
        <w:rPr>
          <w:rFonts w:ascii="Times New Roman" w:hAnsi="Times New Roman" w:cs="Times New Roman"/>
          <w:sz w:val="24"/>
          <w:szCs w:val="24"/>
        </w:rPr>
      </w:pPr>
      <w:r w:rsidRPr="003F0C98">
        <w:rPr>
          <w:rFonts w:ascii="Times New Roman" w:hAnsi="Times New Roman" w:cs="Times New Roman"/>
          <w:sz w:val="24"/>
          <w:szCs w:val="24"/>
        </w:rPr>
        <w:t xml:space="preserve">End-stage kidney </w:t>
      </w:r>
      <w:r w:rsidRPr="003F0C98" w:rsidR="00E45E76">
        <w:rPr>
          <w:rFonts w:ascii="Times New Roman" w:hAnsi="Times New Roman" w:cs="Times New Roman"/>
          <w:sz w:val="24"/>
          <w:szCs w:val="24"/>
        </w:rPr>
        <w:t xml:space="preserve">disease occurs when a patient's kidney operates between 10% and their average ability to function. End-stage kidney disease is caused by high blood pressure were. In the case of a patient with hypertension, the small vessels in the kidney get damaged due to increased stress. Among other causes of ESRD include; congenital abnormalities and glomerulonephritis. ESRD consists of five stages; the first stage </w:t>
      </w:r>
      <w:r w:rsidRPr="003F0C98" w:rsidR="00E45E76">
        <w:rPr>
          <w:rFonts w:ascii="Times New Roman" w:hAnsi="Times New Roman" w:cs="Times New Roman"/>
          <w:sz w:val="24"/>
          <w:szCs w:val="24"/>
        </w:rPr>
        <w:t>comprises a GFR greater or equal to 90</w:t>
      </w:r>
      <w:r w:rsidRPr="003F0C98" w:rsidR="00216839">
        <w:rPr>
          <w:rFonts w:ascii="Times New Roman" w:hAnsi="Times New Roman" w:cs="Times New Roman"/>
          <w:sz w:val="24"/>
          <w:szCs w:val="24"/>
        </w:rPr>
        <w:t xml:space="preserve"> ml/min/1.73m^2 with the kidneys functioning normally. The second stage consists of a GFR of 60-89 </w:t>
      </w:r>
      <w:r w:rsidRPr="003F0C98" w:rsidR="00216839">
        <w:rPr>
          <w:rFonts w:ascii="Times New Roman" w:hAnsi="Times New Roman" w:cs="Times New Roman"/>
          <w:sz w:val="24"/>
          <w:szCs w:val="24"/>
        </w:rPr>
        <w:t>ml/min/1.73m^2</w:t>
      </w:r>
      <w:r w:rsidRPr="003F0C98" w:rsidR="00216839">
        <w:rPr>
          <w:rFonts w:ascii="Times New Roman" w:hAnsi="Times New Roman" w:cs="Times New Roman"/>
          <w:sz w:val="24"/>
          <w:szCs w:val="24"/>
        </w:rPr>
        <w:t xml:space="preserve"> with reduced kidney functionality. The third stage involves having the kidney function noticeably decreased; the fourth stage includes highly reduced kidney work with a GFR of between 15 to 29. The last step occurs when the ESRD is eminent while the renal failure is experienced</w:t>
      </w:r>
      <w:r w:rsidR="003F0C98">
        <w:rPr>
          <w:rFonts w:ascii="Times New Roman" w:hAnsi="Times New Roman" w:cs="Times New Roman"/>
          <w:sz w:val="24"/>
          <w:szCs w:val="24"/>
        </w:rPr>
        <w:t xml:space="preserve"> (Taiwo, 2018)</w:t>
      </w:r>
      <w:r w:rsidRPr="003F0C98" w:rsidR="00216839">
        <w:rPr>
          <w:rFonts w:ascii="Times New Roman" w:hAnsi="Times New Roman" w:cs="Times New Roman"/>
          <w:sz w:val="24"/>
          <w:szCs w:val="24"/>
        </w:rPr>
        <w:t xml:space="preserve">. </w:t>
      </w:r>
    </w:p>
    <w:p w:rsidR="00381893" w:rsidRPr="003F0C98" w:rsidP="003F0C98" w14:paraId="404C6C0E" w14:textId="325AC944">
      <w:pPr>
        <w:spacing w:line="480" w:lineRule="auto"/>
        <w:ind w:firstLine="720"/>
        <w:rPr>
          <w:rFonts w:ascii="Times New Roman" w:hAnsi="Times New Roman" w:cs="Times New Roman"/>
          <w:sz w:val="24"/>
          <w:szCs w:val="24"/>
        </w:rPr>
      </w:pPr>
      <w:r w:rsidRPr="003F0C98">
        <w:rPr>
          <w:rFonts w:ascii="Times New Roman" w:hAnsi="Times New Roman" w:cs="Times New Roman"/>
          <w:sz w:val="24"/>
          <w:szCs w:val="24"/>
        </w:rPr>
        <w:t>The most effective preventive means for ESRD is advocating for lifestyle changes that involve healthy, although ESRD is not preven</w:t>
      </w:r>
      <w:r w:rsidRPr="003F0C98" w:rsidR="008D6942">
        <w:rPr>
          <w:rFonts w:ascii="Times New Roman" w:hAnsi="Times New Roman" w:cs="Times New Roman"/>
          <w:sz w:val="24"/>
          <w:szCs w:val="24"/>
        </w:rPr>
        <w:t xml:space="preserve">table in most cases. </w:t>
      </w:r>
      <w:r w:rsidRPr="003F0C98">
        <w:rPr>
          <w:rFonts w:ascii="Times New Roman" w:hAnsi="Times New Roman" w:cs="Times New Roman"/>
          <w:sz w:val="24"/>
          <w:szCs w:val="24"/>
        </w:rPr>
        <w:t>Therefore, Mr C should be educated on the importance of eating a balanced diet, exercising, losing weight, and avoiding unhealthy living standards such as smoking. To avoid kidney-related diseases, Mr C should control his sugar and salt intake. A high level of sugar intake will contribute to blood-related complexities</w:t>
      </w:r>
      <w:r w:rsidR="003F0C98">
        <w:rPr>
          <w:rFonts w:ascii="Times New Roman" w:hAnsi="Times New Roman" w:cs="Times New Roman"/>
          <w:sz w:val="24"/>
          <w:szCs w:val="24"/>
        </w:rPr>
        <w:t xml:space="preserve"> (</w:t>
      </w:r>
      <w:r w:rsidRPr="003F0C98" w:rsidR="003F0C98">
        <w:rPr>
          <w:rFonts w:ascii="Times New Roman" w:eastAsia="Times New Roman" w:hAnsi="Times New Roman" w:cs="Times New Roman"/>
          <w:color w:val="000000"/>
          <w:sz w:val="24"/>
          <w:szCs w:val="24"/>
        </w:rPr>
        <w:t>Taiwo</w:t>
      </w:r>
      <w:r w:rsidR="003F0C98">
        <w:rPr>
          <w:rFonts w:ascii="Times New Roman" w:eastAsia="Times New Roman" w:hAnsi="Times New Roman" w:cs="Times New Roman"/>
          <w:color w:val="000000"/>
          <w:sz w:val="24"/>
          <w:szCs w:val="24"/>
        </w:rPr>
        <w:t>, 2018).</w:t>
      </w:r>
    </w:p>
    <w:p w:rsidR="00216839" w:rsidRPr="003F0C98" w:rsidP="003F0C98" w14:paraId="4051FEB6" w14:textId="534D2E7D">
      <w:pPr>
        <w:spacing w:line="480" w:lineRule="auto"/>
        <w:ind w:firstLine="720"/>
        <w:rPr>
          <w:rFonts w:ascii="Times New Roman" w:hAnsi="Times New Roman" w:cs="Times New Roman"/>
          <w:sz w:val="24"/>
          <w:szCs w:val="24"/>
        </w:rPr>
      </w:pPr>
      <w:r w:rsidRPr="003F0C98">
        <w:rPr>
          <w:rFonts w:ascii="Times New Roman" w:hAnsi="Times New Roman" w:cs="Times New Roman"/>
          <w:sz w:val="24"/>
          <w:szCs w:val="24"/>
        </w:rPr>
        <w:t xml:space="preserve">The primary </w:t>
      </w:r>
      <w:r w:rsidRPr="003F0C98" w:rsidR="00393427">
        <w:rPr>
          <w:rFonts w:ascii="Times New Roman" w:hAnsi="Times New Roman" w:cs="Times New Roman"/>
          <w:sz w:val="24"/>
          <w:szCs w:val="24"/>
        </w:rPr>
        <w:t xml:space="preserve">type of resources available for ESRD patients for non-acute care includes; kidney transparency, dialysis and supportive care. A physical exam, blood tests, urine tests and imaging tests can help doctors test and detect ESRD. </w:t>
      </w:r>
      <w:r w:rsidRPr="003F0C98">
        <w:rPr>
          <w:rFonts w:ascii="Times New Roman" w:hAnsi="Times New Roman" w:cs="Times New Roman"/>
          <w:sz w:val="24"/>
          <w:szCs w:val="24"/>
        </w:rPr>
        <w:t xml:space="preserve"> </w:t>
      </w:r>
      <w:r w:rsidRPr="003F0C98" w:rsidR="009078F1">
        <w:rPr>
          <w:rFonts w:ascii="Times New Roman" w:hAnsi="Times New Roman" w:cs="Times New Roman"/>
          <w:sz w:val="24"/>
          <w:szCs w:val="24"/>
        </w:rPr>
        <w:t>Therefore, non-acute resources play a significant role in managing and preventing ESRD among patients like Mr C. Physician clinics offer</w:t>
      </w:r>
      <w:r w:rsidRPr="003F0C98" w:rsidR="00DF4225">
        <w:rPr>
          <w:rFonts w:ascii="Times New Roman" w:hAnsi="Times New Roman" w:cs="Times New Roman"/>
          <w:sz w:val="24"/>
          <w:szCs w:val="24"/>
        </w:rPr>
        <w:t xml:space="preserve"> </w:t>
      </w:r>
      <w:r w:rsidRPr="003F0C98" w:rsidR="009078F1">
        <w:rPr>
          <w:rFonts w:ascii="Times New Roman" w:hAnsi="Times New Roman" w:cs="Times New Roman"/>
          <w:sz w:val="24"/>
          <w:szCs w:val="24"/>
        </w:rPr>
        <w:t xml:space="preserve">educative </w:t>
      </w:r>
      <w:r w:rsidRPr="003F0C98" w:rsidR="00DF4225">
        <w:rPr>
          <w:rFonts w:ascii="Times New Roman" w:hAnsi="Times New Roman" w:cs="Times New Roman"/>
          <w:sz w:val="24"/>
          <w:szCs w:val="24"/>
        </w:rPr>
        <w:t>services to patients. Devices such as dialysis machines can play an essential role in managing patients diagnosed with ESRD. Patients diagnosed with ESRD or obesity</w:t>
      </w:r>
      <w:r w:rsidRPr="003F0C98" w:rsidR="003F0C98">
        <w:rPr>
          <w:rFonts w:ascii="Times New Roman" w:hAnsi="Times New Roman" w:cs="Times New Roman"/>
          <w:sz w:val="24"/>
          <w:szCs w:val="24"/>
        </w:rPr>
        <w:t xml:space="preserve"> </w:t>
      </w:r>
      <w:r w:rsidRPr="003F0C98" w:rsidR="00DF4225">
        <w:rPr>
          <w:rFonts w:ascii="Times New Roman" w:hAnsi="Times New Roman" w:cs="Times New Roman"/>
          <w:sz w:val="24"/>
          <w:szCs w:val="24"/>
        </w:rPr>
        <w:t>should be encouraged to walk more while going to the workplace</w:t>
      </w:r>
      <w:r w:rsidR="003F0C98">
        <w:rPr>
          <w:rFonts w:ascii="Times New Roman" w:hAnsi="Times New Roman" w:cs="Times New Roman"/>
          <w:sz w:val="24"/>
          <w:szCs w:val="24"/>
        </w:rPr>
        <w:t xml:space="preserve"> (</w:t>
      </w:r>
      <w:r w:rsidR="003F0C98">
        <w:rPr>
          <w:rFonts w:ascii="Times New Roman" w:eastAsia="Times New Roman" w:hAnsi="Times New Roman" w:cs="Times New Roman"/>
          <w:color w:val="000000"/>
          <w:sz w:val="24"/>
          <w:szCs w:val="24"/>
        </w:rPr>
        <w:t>Obi, 2018).</w:t>
      </w:r>
      <w:r w:rsidR="00A104EE">
        <w:rPr>
          <w:rFonts w:ascii="Times New Roman" w:hAnsi="Times New Roman" w:cs="Times New Roman"/>
          <w:sz w:val="24"/>
          <w:szCs w:val="24"/>
        </w:rPr>
        <w:t xml:space="preserve"> </w:t>
      </w:r>
      <w:r w:rsidRPr="003F0C98" w:rsidR="00DF4225">
        <w:rPr>
          <w:rFonts w:ascii="Times New Roman" w:hAnsi="Times New Roman" w:cs="Times New Roman"/>
          <w:sz w:val="24"/>
          <w:szCs w:val="24"/>
        </w:rPr>
        <w:t xml:space="preserve">These patients </w:t>
      </w:r>
      <w:r w:rsidRPr="003F0C98" w:rsidR="00DF4225">
        <w:rPr>
          <w:rFonts w:ascii="Times New Roman" w:hAnsi="Times New Roman" w:cs="Times New Roman"/>
          <w:sz w:val="24"/>
          <w:szCs w:val="24"/>
        </w:rPr>
        <w:t>should be encouraged to indulge more in transport activities that are body engaging, such as bicycle riding.</w:t>
      </w:r>
      <w:r w:rsidRPr="003F0C98" w:rsidR="00861918">
        <w:rPr>
          <w:rFonts w:ascii="Times New Roman" w:hAnsi="Times New Roman" w:cs="Times New Roman"/>
          <w:sz w:val="24"/>
          <w:szCs w:val="24"/>
        </w:rPr>
        <w:t xml:space="preserve"> Therefore, a better healthy lifestyle such as exercising and healthy eating habits will benefit the </w:t>
      </w:r>
      <w:r w:rsidRPr="003F0C98" w:rsidR="00043219">
        <w:rPr>
          <w:rFonts w:ascii="Times New Roman" w:hAnsi="Times New Roman" w:cs="Times New Roman"/>
          <w:sz w:val="24"/>
          <w:szCs w:val="24"/>
        </w:rPr>
        <w:t>patient’s</w:t>
      </w:r>
      <w:r w:rsidRPr="003F0C98" w:rsidR="00861918">
        <w:rPr>
          <w:rFonts w:ascii="Times New Roman" w:hAnsi="Times New Roman" w:cs="Times New Roman"/>
          <w:sz w:val="24"/>
          <w:szCs w:val="24"/>
        </w:rPr>
        <w:t xml:space="preserve"> lifestyle</w:t>
      </w:r>
      <w:r w:rsidR="003F0C98">
        <w:rPr>
          <w:rFonts w:ascii="Times New Roman" w:hAnsi="Times New Roman" w:cs="Times New Roman"/>
          <w:sz w:val="24"/>
          <w:szCs w:val="24"/>
        </w:rPr>
        <w:t xml:space="preserve"> (</w:t>
      </w:r>
      <w:r w:rsidRPr="003F0C98" w:rsidR="003F0C98">
        <w:rPr>
          <w:rFonts w:ascii="Times New Roman" w:eastAsia="Times New Roman" w:hAnsi="Times New Roman" w:cs="Times New Roman"/>
          <w:color w:val="000000"/>
          <w:sz w:val="24"/>
          <w:szCs w:val="24"/>
        </w:rPr>
        <w:t>Berman</w:t>
      </w:r>
      <w:r w:rsidR="003F0C98">
        <w:rPr>
          <w:rFonts w:ascii="Times New Roman" w:eastAsia="Times New Roman" w:hAnsi="Times New Roman" w:cs="Times New Roman"/>
          <w:color w:val="000000"/>
          <w:sz w:val="24"/>
          <w:szCs w:val="24"/>
        </w:rPr>
        <w:t>, 2021).</w:t>
      </w:r>
    </w:p>
    <w:p w:rsidR="003F0C98" w:rsidRPr="003F0C98" w:rsidP="003F0C98" w14:paraId="2A416AF6" w14:textId="2AB12AD2">
      <w:pPr>
        <w:spacing w:line="480" w:lineRule="auto"/>
        <w:ind w:firstLine="720"/>
        <w:rPr>
          <w:rFonts w:ascii="Times New Roman" w:hAnsi="Times New Roman" w:cs="Times New Roman"/>
          <w:sz w:val="24"/>
          <w:szCs w:val="24"/>
        </w:rPr>
      </w:pPr>
    </w:p>
    <w:p w:rsidR="003F0C98" w:rsidRPr="003F0C98" w:rsidP="003F0C98" w14:paraId="69C490C1" w14:textId="34F22D7B">
      <w:pPr>
        <w:spacing w:line="480" w:lineRule="auto"/>
        <w:ind w:firstLine="720"/>
        <w:rPr>
          <w:rFonts w:ascii="Times New Roman" w:hAnsi="Times New Roman" w:cs="Times New Roman"/>
          <w:sz w:val="24"/>
          <w:szCs w:val="24"/>
        </w:rPr>
      </w:pPr>
    </w:p>
    <w:p w:rsidR="003F0C98" w:rsidRPr="003F0C98" w:rsidP="003F0C98" w14:paraId="49C79AB4" w14:textId="0986CF20">
      <w:pPr>
        <w:spacing w:line="480" w:lineRule="auto"/>
        <w:ind w:firstLine="720"/>
        <w:rPr>
          <w:rFonts w:ascii="Times New Roman" w:hAnsi="Times New Roman" w:cs="Times New Roman"/>
          <w:sz w:val="24"/>
          <w:szCs w:val="24"/>
        </w:rPr>
      </w:pPr>
    </w:p>
    <w:p w:rsidR="003F0C98" w:rsidRPr="003F0C98" w:rsidP="003F0C98" w14:paraId="13C4A90A" w14:textId="7A9590C3">
      <w:pPr>
        <w:spacing w:line="480" w:lineRule="auto"/>
        <w:ind w:firstLine="720"/>
        <w:rPr>
          <w:rFonts w:ascii="Times New Roman" w:hAnsi="Times New Roman" w:cs="Times New Roman"/>
          <w:sz w:val="24"/>
          <w:szCs w:val="24"/>
        </w:rPr>
      </w:pPr>
    </w:p>
    <w:p w:rsidR="003F0C98" w:rsidRPr="003F0C98" w:rsidP="003F0C98" w14:paraId="56DF8884" w14:textId="58851D92">
      <w:pPr>
        <w:spacing w:line="480" w:lineRule="auto"/>
        <w:ind w:firstLine="720"/>
        <w:rPr>
          <w:rFonts w:ascii="Times New Roman" w:hAnsi="Times New Roman" w:cs="Times New Roman"/>
          <w:sz w:val="24"/>
          <w:szCs w:val="24"/>
        </w:rPr>
      </w:pPr>
    </w:p>
    <w:p w:rsidR="003F0C98" w:rsidRPr="003F0C98" w:rsidP="003F0C98" w14:paraId="05CC6048" w14:textId="0C964F66">
      <w:pPr>
        <w:spacing w:line="480" w:lineRule="auto"/>
        <w:ind w:firstLine="720"/>
        <w:rPr>
          <w:rFonts w:ascii="Times New Roman" w:hAnsi="Times New Roman" w:cs="Times New Roman"/>
          <w:sz w:val="24"/>
          <w:szCs w:val="24"/>
        </w:rPr>
      </w:pPr>
    </w:p>
    <w:p w:rsidR="003F0C98" w:rsidRPr="003F0C98" w:rsidP="003F0C98" w14:paraId="7D70BA18" w14:textId="68A013D7">
      <w:pPr>
        <w:spacing w:line="480" w:lineRule="auto"/>
        <w:ind w:firstLine="720"/>
        <w:rPr>
          <w:rFonts w:ascii="Times New Roman" w:hAnsi="Times New Roman" w:cs="Times New Roman"/>
          <w:sz w:val="24"/>
          <w:szCs w:val="24"/>
        </w:rPr>
      </w:pPr>
    </w:p>
    <w:p w:rsidR="003F0C98" w:rsidRPr="003F0C98" w:rsidP="003F0C98" w14:paraId="60261950" w14:textId="30A5F5B8">
      <w:pPr>
        <w:spacing w:line="480" w:lineRule="auto"/>
        <w:ind w:firstLine="720"/>
        <w:rPr>
          <w:rFonts w:ascii="Times New Roman" w:hAnsi="Times New Roman" w:cs="Times New Roman"/>
          <w:sz w:val="24"/>
          <w:szCs w:val="24"/>
        </w:rPr>
      </w:pPr>
    </w:p>
    <w:p w:rsidR="003F0C98" w:rsidRPr="003F0C98" w:rsidP="003F0C98" w14:paraId="69D05DA5" w14:textId="79A57FEB">
      <w:pPr>
        <w:spacing w:line="480" w:lineRule="auto"/>
        <w:ind w:firstLine="720"/>
        <w:rPr>
          <w:rFonts w:ascii="Times New Roman" w:hAnsi="Times New Roman" w:cs="Times New Roman"/>
          <w:sz w:val="24"/>
          <w:szCs w:val="24"/>
        </w:rPr>
      </w:pPr>
    </w:p>
    <w:p w:rsidR="003F0C98" w:rsidRPr="003F0C98" w:rsidP="003F0C98" w14:paraId="5D2959AC" w14:textId="16620CB4">
      <w:pPr>
        <w:spacing w:line="480" w:lineRule="auto"/>
        <w:ind w:firstLine="720"/>
        <w:rPr>
          <w:rFonts w:ascii="Times New Roman" w:hAnsi="Times New Roman" w:cs="Times New Roman"/>
          <w:sz w:val="24"/>
          <w:szCs w:val="24"/>
        </w:rPr>
      </w:pPr>
    </w:p>
    <w:p w:rsidR="003F0C98" w:rsidRPr="003F0C98" w:rsidP="003F0C98" w14:paraId="4A8E1A79" w14:textId="489A7FEE">
      <w:pPr>
        <w:spacing w:line="480" w:lineRule="auto"/>
        <w:ind w:firstLine="720"/>
        <w:rPr>
          <w:rFonts w:ascii="Times New Roman" w:hAnsi="Times New Roman" w:cs="Times New Roman"/>
          <w:sz w:val="24"/>
          <w:szCs w:val="24"/>
        </w:rPr>
      </w:pPr>
    </w:p>
    <w:p w:rsidR="003F0C98" w:rsidRPr="003F0C98" w:rsidP="003F0C98" w14:paraId="6A2A9D7B" w14:textId="7FE87795">
      <w:pPr>
        <w:spacing w:line="480" w:lineRule="auto"/>
        <w:ind w:firstLine="720"/>
        <w:rPr>
          <w:rFonts w:ascii="Times New Roman" w:hAnsi="Times New Roman" w:cs="Times New Roman"/>
          <w:sz w:val="24"/>
          <w:szCs w:val="24"/>
        </w:rPr>
      </w:pPr>
    </w:p>
    <w:p w:rsidR="003F0C98" w:rsidRPr="003F0C98" w:rsidP="003F0C98" w14:paraId="144091A8" w14:textId="0C209DB2">
      <w:pPr>
        <w:spacing w:line="480" w:lineRule="auto"/>
        <w:ind w:firstLine="720"/>
        <w:rPr>
          <w:rFonts w:ascii="Times New Roman" w:hAnsi="Times New Roman" w:cs="Times New Roman"/>
          <w:sz w:val="24"/>
          <w:szCs w:val="24"/>
        </w:rPr>
      </w:pPr>
    </w:p>
    <w:p w:rsidR="003F0C98" w:rsidRPr="003F0C98" w:rsidP="003F0C98" w14:paraId="5A4E69F6" w14:textId="0D43FA55">
      <w:pPr>
        <w:spacing w:line="480" w:lineRule="auto"/>
        <w:ind w:firstLine="720"/>
        <w:rPr>
          <w:rFonts w:ascii="Times New Roman" w:hAnsi="Times New Roman" w:cs="Times New Roman"/>
          <w:sz w:val="24"/>
          <w:szCs w:val="24"/>
        </w:rPr>
      </w:pPr>
    </w:p>
    <w:p w:rsidR="003F0C98" w:rsidRPr="003F0C98" w:rsidP="003F0C98" w14:paraId="03E73AF1" w14:textId="58CCDB88">
      <w:pPr>
        <w:spacing w:line="480" w:lineRule="auto"/>
        <w:ind w:firstLine="720"/>
        <w:rPr>
          <w:rFonts w:ascii="Times New Roman" w:hAnsi="Times New Roman" w:cs="Times New Roman"/>
          <w:sz w:val="24"/>
          <w:szCs w:val="24"/>
        </w:rPr>
      </w:pPr>
    </w:p>
    <w:p w:rsidR="003F0C98" w:rsidRPr="003F0C98" w:rsidP="003F0C98" w14:paraId="579323D7" w14:textId="42D2D47C">
      <w:pPr>
        <w:spacing w:line="480" w:lineRule="auto"/>
        <w:ind w:firstLine="720"/>
        <w:rPr>
          <w:rFonts w:ascii="Times New Roman" w:hAnsi="Times New Roman" w:cs="Times New Roman"/>
          <w:sz w:val="24"/>
          <w:szCs w:val="24"/>
        </w:rPr>
      </w:pPr>
    </w:p>
    <w:p w:rsidR="003F0C98" w:rsidRPr="003F0C98" w:rsidP="003F0C98" w14:paraId="27C81B3F" w14:textId="77777777">
      <w:pPr>
        <w:shd w:val="clear" w:color="auto" w:fill="FFFFFF"/>
        <w:spacing w:after="0" w:line="240" w:lineRule="auto"/>
        <w:jc w:val="center"/>
        <w:rPr>
          <w:rFonts w:ascii="Times New Roman" w:eastAsia="Times New Roman" w:hAnsi="Times New Roman" w:cs="Times New Roman"/>
          <w:b/>
          <w:bCs/>
          <w:color w:val="000000"/>
          <w:sz w:val="24"/>
          <w:szCs w:val="24"/>
        </w:rPr>
      </w:pPr>
      <w:r w:rsidRPr="003F0C98">
        <w:rPr>
          <w:rFonts w:ascii="Times New Roman" w:eastAsia="Times New Roman" w:hAnsi="Times New Roman" w:cs="Times New Roman"/>
          <w:b/>
          <w:bCs/>
          <w:color w:val="000000"/>
          <w:sz w:val="24"/>
          <w:szCs w:val="24"/>
        </w:rPr>
        <w:t>References</w:t>
      </w:r>
    </w:p>
    <w:p w:rsidR="003F0C98" w:rsidRPr="003F0C98" w:rsidP="003F0C98" w14:paraId="42C9F6F6" w14:textId="77777777">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3F0C98">
        <w:rPr>
          <w:rFonts w:ascii="Times New Roman" w:eastAsia="Times New Roman" w:hAnsi="Times New Roman" w:cs="Times New Roman"/>
          <w:color w:val="000000"/>
          <w:sz w:val="24"/>
          <w:szCs w:val="24"/>
        </w:rPr>
        <w:t>Berman, N., &amp; Varma, E. (2021). Palliative and end-of-life care in patients with ESRD. </w:t>
      </w:r>
      <w:r w:rsidRPr="003F0C98">
        <w:rPr>
          <w:rFonts w:ascii="Times New Roman" w:eastAsia="Times New Roman" w:hAnsi="Times New Roman" w:cs="Times New Roman"/>
          <w:i/>
          <w:iCs/>
          <w:color w:val="000000"/>
          <w:sz w:val="24"/>
          <w:szCs w:val="24"/>
        </w:rPr>
        <w:t>Psychosocial Aspects of Chronic Kidney Disease</w:t>
      </w:r>
      <w:r w:rsidRPr="003F0C98">
        <w:rPr>
          <w:rFonts w:ascii="Times New Roman" w:eastAsia="Times New Roman" w:hAnsi="Times New Roman" w:cs="Times New Roman"/>
          <w:color w:val="000000"/>
          <w:sz w:val="24"/>
          <w:szCs w:val="24"/>
        </w:rPr>
        <w:t>, 335-353. </w:t>
      </w:r>
      <w:hyperlink r:id="rId4" w:history="1">
        <w:r w:rsidRPr="003F0C98">
          <w:rPr>
            <w:rFonts w:ascii="Times New Roman" w:eastAsia="Times New Roman" w:hAnsi="Times New Roman" w:cs="Times New Roman"/>
            <w:color w:val="000000"/>
            <w:sz w:val="24"/>
            <w:szCs w:val="24"/>
            <w:u w:val="single"/>
          </w:rPr>
          <w:t>https://doi.org/10.1016/b978-0-12-817080-9.00016-6</w:t>
        </w:r>
      </w:hyperlink>
    </w:p>
    <w:p w:rsidR="003F0C98" w:rsidRPr="003F0C98" w:rsidP="003F0C98" w14:paraId="59140240" w14:textId="77777777">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3F0C98">
        <w:rPr>
          <w:rFonts w:ascii="Times New Roman" w:eastAsia="Times New Roman" w:hAnsi="Times New Roman" w:cs="Times New Roman"/>
          <w:color w:val="000000"/>
          <w:sz w:val="24"/>
          <w:szCs w:val="24"/>
        </w:rPr>
        <w:t>Milano, W., &amp; Capasso, A. (2018). Diseases and health risks associated with obesity. </w:t>
      </w:r>
      <w:r w:rsidRPr="003F0C98">
        <w:rPr>
          <w:rFonts w:ascii="Times New Roman" w:eastAsia="Times New Roman" w:hAnsi="Times New Roman" w:cs="Times New Roman"/>
          <w:i/>
          <w:iCs/>
          <w:color w:val="000000"/>
          <w:sz w:val="24"/>
          <w:szCs w:val="24"/>
        </w:rPr>
        <w:t>Integrative Obesity and Diabetes</w:t>
      </w:r>
      <w:r w:rsidRPr="003F0C98">
        <w:rPr>
          <w:rFonts w:ascii="Times New Roman" w:eastAsia="Times New Roman" w:hAnsi="Times New Roman" w:cs="Times New Roman"/>
          <w:color w:val="000000"/>
          <w:sz w:val="24"/>
          <w:szCs w:val="24"/>
        </w:rPr>
        <w:t>, </w:t>
      </w:r>
      <w:r w:rsidRPr="003F0C98">
        <w:rPr>
          <w:rFonts w:ascii="Times New Roman" w:eastAsia="Times New Roman" w:hAnsi="Times New Roman" w:cs="Times New Roman"/>
          <w:i/>
          <w:iCs/>
          <w:color w:val="000000"/>
          <w:sz w:val="24"/>
          <w:szCs w:val="24"/>
        </w:rPr>
        <w:t>4</w:t>
      </w:r>
      <w:r w:rsidRPr="003F0C98">
        <w:rPr>
          <w:rFonts w:ascii="Times New Roman" w:eastAsia="Times New Roman" w:hAnsi="Times New Roman" w:cs="Times New Roman"/>
          <w:color w:val="000000"/>
          <w:sz w:val="24"/>
          <w:szCs w:val="24"/>
        </w:rPr>
        <w:t>(1). </w:t>
      </w:r>
      <w:hyperlink r:id="rId5" w:history="1">
        <w:r w:rsidRPr="003F0C98">
          <w:rPr>
            <w:rFonts w:ascii="Times New Roman" w:eastAsia="Times New Roman" w:hAnsi="Times New Roman" w:cs="Times New Roman"/>
            <w:color w:val="000000"/>
            <w:sz w:val="24"/>
            <w:szCs w:val="24"/>
            <w:u w:val="single"/>
          </w:rPr>
          <w:t>https://doi.org/10.15761/iod.1000200</w:t>
        </w:r>
      </w:hyperlink>
    </w:p>
    <w:p w:rsidR="003F0C98" w:rsidRPr="003F0C98" w:rsidP="003F0C98" w14:paraId="6FA724A5" w14:textId="77777777">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3F0C98">
        <w:rPr>
          <w:rFonts w:ascii="Times New Roman" w:eastAsia="Times New Roman" w:hAnsi="Times New Roman" w:cs="Times New Roman"/>
          <w:color w:val="000000"/>
          <w:sz w:val="24"/>
          <w:szCs w:val="24"/>
        </w:rPr>
        <w:t>Nadolsky, K. (2020). Staging obesity severity delineates metabolic health risks. </w:t>
      </w:r>
      <w:r w:rsidRPr="003F0C98">
        <w:rPr>
          <w:rFonts w:ascii="Times New Roman" w:eastAsia="Times New Roman" w:hAnsi="Times New Roman" w:cs="Times New Roman"/>
          <w:i/>
          <w:iCs/>
          <w:color w:val="000000"/>
          <w:sz w:val="24"/>
          <w:szCs w:val="24"/>
        </w:rPr>
        <w:t>Obesity</w:t>
      </w:r>
      <w:r w:rsidRPr="003F0C98">
        <w:rPr>
          <w:rFonts w:ascii="Times New Roman" w:eastAsia="Times New Roman" w:hAnsi="Times New Roman" w:cs="Times New Roman"/>
          <w:color w:val="000000"/>
          <w:sz w:val="24"/>
          <w:szCs w:val="24"/>
        </w:rPr>
        <w:t>, </w:t>
      </w:r>
      <w:r w:rsidRPr="003F0C98">
        <w:rPr>
          <w:rFonts w:ascii="Times New Roman" w:eastAsia="Times New Roman" w:hAnsi="Times New Roman" w:cs="Times New Roman"/>
          <w:i/>
          <w:iCs/>
          <w:color w:val="000000"/>
          <w:sz w:val="24"/>
          <w:szCs w:val="24"/>
        </w:rPr>
        <w:t>28</w:t>
      </w:r>
      <w:r w:rsidRPr="003F0C98">
        <w:rPr>
          <w:rFonts w:ascii="Times New Roman" w:eastAsia="Times New Roman" w:hAnsi="Times New Roman" w:cs="Times New Roman"/>
          <w:color w:val="000000"/>
          <w:sz w:val="24"/>
          <w:szCs w:val="24"/>
        </w:rPr>
        <w:t>(10), 1783-1783. </w:t>
      </w:r>
      <w:hyperlink r:id="rId6" w:history="1">
        <w:r w:rsidRPr="003F0C98">
          <w:rPr>
            <w:rFonts w:ascii="Times New Roman" w:eastAsia="Times New Roman" w:hAnsi="Times New Roman" w:cs="Times New Roman"/>
            <w:color w:val="000000"/>
            <w:sz w:val="24"/>
            <w:szCs w:val="24"/>
            <w:u w:val="single"/>
          </w:rPr>
          <w:t>https://doi.org/10.1002/oby.22939</w:t>
        </w:r>
      </w:hyperlink>
    </w:p>
    <w:p w:rsidR="003F0C98" w:rsidRPr="003F0C98" w:rsidP="003F0C98" w14:paraId="7A35AE25" w14:textId="77777777">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3F0C98">
        <w:rPr>
          <w:rFonts w:ascii="Times New Roman" w:eastAsia="Times New Roman" w:hAnsi="Times New Roman" w:cs="Times New Roman"/>
          <w:color w:val="000000"/>
          <w:sz w:val="24"/>
          <w:szCs w:val="24"/>
        </w:rPr>
        <w:t xml:space="preserve">Obi, Y., Park, C., Soohoo, M., Sumida, K., Hamano, T., Rhee, C. M., </w:t>
      </w:r>
      <w:r w:rsidRPr="003F0C98">
        <w:rPr>
          <w:rFonts w:ascii="Times New Roman" w:eastAsia="Times New Roman" w:hAnsi="Times New Roman" w:cs="Times New Roman"/>
          <w:color w:val="000000"/>
          <w:sz w:val="24"/>
          <w:szCs w:val="24"/>
        </w:rPr>
        <w:t>Kovesdy</w:t>
      </w:r>
      <w:r w:rsidRPr="003F0C98">
        <w:rPr>
          <w:rFonts w:ascii="Times New Roman" w:eastAsia="Times New Roman" w:hAnsi="Times New Roman" w:cs="Times New Roman"/>
          <w:color w:val="000000"/>
          <w:sz w:val="24"/>
          <w:szCs w:val="24"/>
        </w:rPr>
        <w:t xml:space="preserve">, C. P., Kalantar-Zadeh, K., &amp; </w:t>
      </w:r>
      <w:r w:rsidRPr="003F0C98">
        <w:rPr>
          <w:rFonts w:ascii="Times New Roman" w:eastAsia="Times New Roman" w:hAnsi="Times New Roman" w:cs="Times New Roman"/>
          <w:color w:val="000000"/>
          <w:sz w:val="24"/>
          <w:szCs w:val="24"/>
        </w:rPr>
        <w:t>Streja</w:t>
      </w:r>
      <w:r w:rsidRPr="003F0C98">
        <w:rPr>
          <w:rFonts w:ascii="Times New Roman" w:eastAsia="Times New Roman" w:hAnsi="Times New Roman" w:cs="Times New Roman"/>
          <w:color w:val="000000"/>
          <w:sz w:val="24"/>
          <w:szCs w:val="24"/>
        </w:rPr>
        <w:t xml:space="preserve">, E. (2018). Association of Pre-ESRD serum calcium with </w:t>
      </w:r>
      <w:r w:rsidRPr="003F0C98">
        <w:rPr>
          <w:rFonts w:ascii="Times New Roman" w:eastAsia="Times New Roman" w:hAnsi="Times New Roman" w:cs="Times New Roman"/>
          <w:color w:val="000000"/>
          <w:sz w:val="24"/>
          <w:szCs w:val="24"/>
        </w:rPr>
        <w:t>Post-ESRD</w:t>
      </w:r>
      <w:r w:rsidRPr="003F0C98">
        <w:rPr>
          <w:rFonts w:ascii="Times New Roman" w:eastAsia="Times New Roman" w:hAnsi="Times New Roman" w:cs="Times New Roman"/>
          <w:color w:val="000000"/>
          <w:sz w:val="24"/>
          <w:szCs w:val="24"/>
        </w:rPr>
        <w:t xml:space="preserve"> mortality among incident ESRD patients: A cohort study. </w:t>
      </w:r>
      <w:r w:rsidRPr="003F0C98">
        <w:rPr>
          <w:rFonts w:ascii="Times New Roman" w:eastAsia="Times New Roman" w:hAnsi="Times New Roman" w:cs="Times New Roman"/>
          <w:i/>
          <w:iCs/>
          <w:color w:val="000000"/>
          <w:sz w:val="24"/>
          <w:szCs w:val="24"/>
        </w:rPr>
        <w:t>Journal of Bone and Mineral Research</w:t>
      </w:r>
      <w:r w:rsidRPr="003F0C98">
        <w:rPr>
          <w:rFonts w:ascii="Times New Roman" w:eastAsia="Times New Roman" w:hAnsi="Times New Roman" w:cs="Times New Roman"/>
          <w:color w:val="000000"/>
          <w:sz w:val="24"/>
          <w:szCs w:val="24"/>
        </w:rPr>
        <w:t>, </w:t>
      </w:r>
      <w:r w:rsidRPr="003F0C98">
        <w:rPr>
          <w:rFonts w:ascii="Times New Roman" w:eastAsia="Times New Roman" w:hAnsi="Times New Roman" w:cs="Times New Roman"/>
          <w:i/>
          <w:iCs/>
          <w:color w:val="000000"/>
          <w:sz w:val="24"/>
          <w:szCs w:val="24"/>
        </w:rPr>
        <w:t>33</w:t>
      </w:r>
      <w:r w:rsidRPr="003F0C98">
        <w:rPr>
          <w:rFonts w:ascii="Times New Roman" w:eastAsia="Times New Roman" w:hAnsi="Times New Roman" w:cs="Times New Roman"/>
          <w:color w:val="000000"/>
          <w:sz w:val="24"/>
          <w:szCs w:val="24"/>
        </w:rPr>
        <w:t>(6), 1027-1036. </w:t>
      </w:r>
      <w:hyperlink r:id="rId7" w:history="1">
        <w:r w:rsidRPr="003F0C98">
          <w:rPr>
            <w:rFonts w:ascii="Times New Roman" w:eastAsia="Times New Roman" w:hAnsi="Times New Roman" w:cs="Times New Roman"/>
            <w:color w:val="000000"/>
            <w:sz w:val="24"/>
            <w:szCs w:val="24"/>
            <w:u w:val="single"/>
          </w:rPr>
          <w:t>https://doi.org/10.1002/jbmr.3391</w:t>
        </w:r>
      </w:hyperlink>
    </w:p>
    <w:p w:rsidR="003F0C98" w:rsidRPr="003F0C98" w:rsidP="003F0C98" w14:paraId="7866CA55" w14:textId="77777777">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3F0C98">
        <w:rPr>
          <w:rFonts w:ascii="Times New Roman" w:eastAsia="Times New Roman" w:hAnsi="Times New Roman" w:cs="Times New Roman"/>
          <w:color w:val="000000"/>
          <w:sz w:val="24"/>
          <w:szCs w:val="24"/>
        </w:rPr>
        <w:t>Taiwo, A. (2018). Chronic and end-stage renal disease and indications for renal transplantation. </w:t>
      </w:r>
      <w:r w:rsidRPr="003F0C98">
        <w:rPr>
          <w:rFonts w:ascii="Times New Roman" w:eastAsia="Times New Roman" w:hAnsi="Times New Roman" w:cs="Times New Roman"/>
          <w:i/>
          <w:iCs/>
          <w:color w:val="000000"/>
          <w:sz w:val="24"/>
          <w:szCs w:val="24"/>
        </w:rPr>
        <w:t>Psychosocial Care of End-Stage Organ Disease and Transplant Patients</w:t>
      </w:r>
      <w:r w:rsidRPr="003F0C98">
        <w:rPr>
          <w:rFonts w:ascii="Times New Roman" w:eastAsia="Times New Roman" w:hAnsi="Times New Roman" w:cs="Times New Roman"/>
          <w:color w:val="000000"/>
          <w:sz w:val="24"/>
          <w:szCs w:val="24"/>
        </w:rPr>
        <w:t>, 63-71. </w:t>
      </w:r>
      <w:hyperlink r:id="rId8" w:history="1">
        <w:r w:rsidRPr="003F0C98">
          <w:rPr>
            <w:rFonts w:ascii="Times New Roman" w:eastAsia="Times New Roman" w:hAnsi="Times New Roman" w:cs="Times New Roman"/>
            <w:color w:val="000000"/>
            <w:sz w:val="24"/>
            <w:szCs w:val="24"/>
            <w:u w:val="single"/>
          </w:rPr>
          <w:t>https://doi.org/10.1007/978-3-319-94914-7_5</w:t>
        </w:r>
      </w:hyperlink>
    </w:p>
    <w:p w:rsidR="003F0C98" w:rsidRPr="003F0C98" w:rsidP="003F0C98" w14:paraId="2D2E69AC" w14:textId="77777777">
      <w:pPr>
        <w:spacing w:line="480" w:lineRule="auto"/>
        <w:ind w:firstLine="720"/>
        <w:rPr>
          <w:rFonts w:ascii="Times New Roman" w:hAnsi="Times New Roman" w:cs="Times New Roman"/>
          <w:sz w:val="24"/>
          <w:szCs w:val="24"/>
        </w:rPr>
      </w:pPr>
    </w:p>
    <w:sectPr>
      <w:headerReference w:type="defaul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3484808"/>
      <w:docPartObj>
        <w:docPartGallery w:val="Page Numbers (Top of Page)"/>
        <w:docPartUnique/>
      </w:docPartObj>
    </w:sdtPr>
    <w:sdtEndPr>
      <w:rPr>
        <w:noProof/>
      </w:rPr>
    </w:sdtEndPr>
    <w:sdtContent>
      <w:p w:rsidR="00876EE3" w14:paraId="67FC003B" w14:textId="5FC3866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876EE3" w14:paraId="4ABDE3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466"/>
    <w:rsid w:val="00043219"/>
    <w:rsid w:val="001F05E7"/>
    <w:rsid w:val="001F30A6"/>
    <w:rsid w:val="00216839"/>
    <w:rsid w:val="00273E33"/>
    <w:rsid w:val="002F2C36"/>
    <w:rsid w:val="00381893"/>
    <w:rsid w:val="00393427"/>
    <w:rsid w:val="003E7304"/>
    <w:rsid w:val="003F0C98"/>
    <w:rsid w:val="004214A5"/>
    <w:rsid w:val="004C3199"/>
    <w:rsid w:val="00514699"/>
    <w:rsid w:val="00666466"/>
    <w:rsid w:val="006F3A03"/>
    <w:rsid w:val="00765199"/>
    <w:rsid w:val="00854407"/>
    <w:rsid w:val="00861918"/>
    <w:rsid w:val="00876EE3"/>
    <w:rsid w:val="008D6942"/>
    <w:rsid w:val="009078F1"/>
    <w:rsid w:val="00A104EE"/>
    <w:rsid w:val="00AA10A4"/>
    <w:rsid w:val="00C20579"/>
    <w:rsid w:val="00DF4225"/>
    <w:rsid w:val="00E45E76"/>
    <w:rsid w:val="00EF72AB"/>
    <w:rsid w:val="00FA3AC5"/>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6EC1A5F6"/>
  <w15:chartTrackingRefBased/>
  <w15:docId w15:val="{F1E500D9-5893-43E0-AA77-9D788D668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0C9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F0C98"/>
    <w:rPr>
      <w:i/>
      <w:iCs/>
    </w:rPr>
  </w:style>
  <w:style w:type="character" w:styleId="Hyperlink">
    <w:name w:val="Hyperlink"/>
    <w:basedOn w:val="DefaultParagraphFont"/>
    <w:uiPriority w:val="99"/>
    <w:semiHidden/>
    <w:unhideWhenUsed/>
    <w:rsid w:val="003F0C98"/>
    <w:rPr>
      <w:color w:val="0000FF"/>
      <w:u w:val="single"/>
    </w:rPr>
  </w:style>
  <w:style w:type="paragraph" w:styleId="Header">
    <w:name w:val="header"/>
    <w:basedOn w:val="Normal"/>
    <w:link w:val="HeaderChar"/>
    <w:uiPriority w:val="99"/>
    <w:unhideWhenUsed/>
    <w:rsid w:val="00876E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EE3"/>
  </w:style>
  <w:style w:type="paragraph" w:styleId="Footer">
    <w:name w:val="footer"/>
    <w:basedOn w:val="Normal"/>
    <w:link w:val="FooterChar"/>
    <w:uiPriority w:val="99"/>
    <w:unhideWhenUsed/>
    <w:rsid w:val="00876E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E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oi.org/10.1016/b978-0-12-817080-9.00016-6" TargetMode="External" /><Relationship Id="rId5" Type="http://schemas.openxmlformats.org/officeDocument/2006/relationships/hyperlink" Target="https://doi.org/10.15761/iod.1000200" TargetMode="External" /><Relationship Id="rId6" Type="http://schemas.openxmlformats.org/officeDocument/2006/relationships/hyperlink" Target="https://doi.org/10.1002/oby.22939" TargetMode="External" /><Relationship Id="rId7" Type="http://schemas.openxmlformats.org/officeDocument/2006/relationships/hyperlink" Target="https://doi.org/10.1002/jbmr.3391" TargetMode="External" /><Relationship Id="rId8" Type="http://schemas.openxmlformats.org/officeDocument/2006/relationships/hyperlink" Target="https://doi.org/10.1007/978-3-319-94914-7_5" TargetMode="Externa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1130</Words>
  <Characters>6444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Lawrence Matano</dc:creator>
  <cp:lastModifiedBy>Lawrence Matano</cp:lastModifiedBy>
  <cp:revision>2</cp:revision>
  <dcterms:created xsi:type="dcterms:W3CDTF">2021-08-08T11:11:00Z</dcterms:created>
  <dcterms:modified xsi:type="dcterms:W3CDTF">2021-08-08T11:11:00Z</dcterms:modified>
</cp:coreProperties>
</file>