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A1D" w:rsidRPr="00FD1E0E" w:rsidRDefault="00954A1D" w:rsidP="00860DDD">
      <w:pPr>
        <w:pStyle w:val="Heading2"/>
        <w:spacing w:line="480" w:lineRule="auto"/>
      </w:pPr>
      <w:r w:rsidRPr="00954A1D">
        <w:t>Policy Proposal Presentation</w:t>
      </w:r>
    </w:p>
    <w:p w:rsidR="00954A1D" w:rsidRPr="00954A1D" w:rsidRDefault="00954A1D" w:rsidP="00860DDD">
      <w:pPr>
        <w:pStyle w:val="Heading2"/>
        <w:spacing w:line="480" w:lineRule="auto"/>
      </w:pPr>
      <w:r>
        <w:t>Introduction</w:t>
      </w:r>
    </w:p>
    <w:p w:rsidR="00954A1D" w:rsidRDefault="00954A1D" w:rsidP="00860DDD">
      <w:pPr>
        <w:spacing w:after="0" w:line="480" w:lineRule="auto"/>
        <w:ind w:firstLine="720"/>
        <w:rPr>
          <w:rFonts w:ascii="Times New Roman" w:hAnsi="Times New Roman" w:cs="Times New Roman"/>
          <w:sz w:val="24"/>
        </w:rPr>
      </w:pPr>
      <w:r w:rsidRPr="00954A1D">
        <w:rPr>
          <w:rFonts w:ascii="Times New Roman" w:hAnsi="Times New Roman" w:cs="Times New Roman"/>
          <w:sz w:val="24"/>
        </w:rPr>
        <w:t>Mercy Medical Center, an affiliate of Villa Health, is one of the most prestigious care providers in the US</w:t>
      </w:r>
      <w:r>
        <w:rPr>
          <w:rFonts w:ascii="Times New Roman" w:hAnsi="Times New Roman" w:cs="Times New Roman"/>
          <w:sz w:val="24"/>
        </w:rPr>
        <w:t>;</w:t>
      </w:r>
      <w:r w:rsidRPr="00954A1D">
        <w:rPr>
          <w:rFonts w:ascii="Times New Roman" w:hAnsi="Times New Roman" w:cs="Times New Roman"/>
          <w:sz w:val="24"/>
        </w:rPr>
        <w:t xml:space="preserve"> however, a review of the diabetes dashboard at the medical facility reveals underperforming metrics. The organization's diabetes performance against local, state, and federal policies is low according to assessments conducted on the hemoglobin A1c (Hgb A1c) screening metric. The organization posted significant low-performance Hgb A1c screening compliance compared to state and national benchmarks. This</w:t>
      </w:r>
      <w:r>
        <w:rPr>
          <w:rFonts w:ascii="Times New Roman" w:hAnsi="Times New Roman" w:cs="Times New Roman"/>
          <w:sz w:val="24"/>
        </w:rPr>
        <w:t xml:space="preserve"> presentation is a proposal to the Hospital administrator illustrating</w:t>
      </w:r>
      <w:r w:rsidRPr="00954A1D">
        <w:rPr>
          <w:rFonts w:ascii="Times New Roman" w:hAnsi="Times New Roman" w:cs="Times New Roman"/>
          <w:sz w:val="24"/>
        </w:rPr>
        <w:t xml:space="preserve"> the importance of initiating policy changes and creating new practice guidelines to meet the recommended benchmarks in Hgb A1c screening. </w:t>
      </w:r>
    </w:p>
    <w:p w:rsidR="00954A1D" w:rsidRDefault="00954A1D" w:rsidP="00860DDD">
      <w:pPr>
        <w:pStyle w:val="Heading2"/>
        <w:spacing w:line="480" w:lineRule="auto"/>
      </w:pPr>
      <w:r w:rsidRPr="00954A1D">
        <w:t>Current Performance and Shortfalls</w:t>
      </w:r>
    </w:p>
    <w:p w:rsidR="00954A1D" w:rsidRDefault="00954A1D" w:rsidP="00860DDD">
      <w:pPr>
        <w:spacing w:after="0" w:line="480" w:lineRule="auto"/>
        <w:ind w:firstLine="720"/>
        <w:rPr>
          <w:rFonts w:ascii="Times New Roman" w:hAnsi="Times New Roman" w:cs="Times New Roman"/>
          <w:sz w:val="24"/>
        </w:rPr>
      </w:pPr>
      <w:r>
        <w:rPr>
          <w:rFonts w:ascii="Times New Roman" w:hAnsi="Times New Roman" w:cs="Times New Roman"/>
          <w:sz w:val="24"/>
        </w:rPr>
        <w:t>According to the American Diabetes Association (ADA), hospitals and care providers should align diabetes management approaches with the chronic Care Model and ensure population-centered care. ADA also emphasizes that care p</w:t>
      </w:r>
      <w:r w:rsidRPr="00954A1D">
        <w:rPr>
          <w:rFonts w:ascii="Times New Roman" w:hAnsi="Times New Roman" w:cs="Times New Roman"/>
          <w:sz w:val="24"/>
        </w:rPr>
        <w:t xml:space="preserve">roviders </w:t>
      </w:r>
      <w:r>
        <w:rPr>
          <w:rFonts w:ascii="Times New Roman" w:hAnsi="Times New Roman" w:cs="Times New Roman"/>
          <w:sz w:val="24"/>
        </w:rPr>
        <w:t>with</w:t>
      </w:r>
      <w:r w:rsidRPr="00954A1D">
        <w:rPr>
          <w:rFonts w:ascii="Times New Roman" w:hAnsi="Times New Roman" w:cs="Times New Roman"/>
          <w:sz w:val="24"/>
        </w:rPr>
        <w:t xml:space="preserve"> non-English speakers should develop </w:t>
      </w:r>
      <w:r>
        <w:rPr>
          <w:rFonts w:ascii="Times New Roman" w:hAnsi="Times New Roman" w:cs="Times New Roman"/>
          <w:sz w:val="24"/>
        </w:rPr>
        <w:t>and avail educational programs/</w:t>
      </w:r>
      <w:r w:rsidRPr="00954A1D">
        <w:rPr>
          <w:rFonts w:ascii="Times New Roman" w:hAnsi="Times New Roman" w:cs="Times New Roman"/>
          <w:sz w:val="24"/>
        </w:rPr>
        <w:t xml:space="preserve">materials </w:t>
      </w:r>
      <w:r>
        <w:rPr>
          <w:rFonts w:ascii="Times New Roman" w:hAnsi="Times New Roman" w:cs="Times New Roman"/>
          <w:sz w:val="24"/>
        </w:rPr>
        <w:t xml:space="preserve">on diabetes management </w:t>
      </w:r>
      <w:r w:rsidRPr="00954A1D">
        <w:rPr>
          <w:rFonts w:ascii="Times New Roman" w:hAnsi="Times New Roman" w:cs="Times New Roman"/>
          <w:sz w:val="24"/>
        </w:rPr>
        <w:t>in multiple languages.</w:t>
      </w:r>
      <w:r>
        <w:rPr>
          <w:rFonts w:ascii="Times New Roman" w:hAnsi="Times New Roman" w:cs="Times New Roman"/>
          <w:sz w:val="24"/>
        </w:rPr>
        <w:t xml:space="preserve"> The Affordable Care Act of 2010 provides coverage for diabetic individuals and other people with preexisting conditions, thus making it easier to access healthcare. </w:t>
      </w:r>
    </w:p>
    <w:p w:rsidR="00954A1D" w:rsidRDefault="00954A1D" w:rsidP="00860DDD">
      <w:pPr>
        <w:spacing w:after="0" w:line="480" w:lineRule="auto"/>
        <w:ind w:firstLine="720"/>
        <w:rPr>
          <w:rFonts w:ascii="Times New Roman" w:hAnsi="Times New Roman" w:cs="Times New Roman"/>
          <w:sz w:val="24"/>
        </w:rPr>
      </w:pPr>
      <w:r w:rsidRPr="00954A1D">
        <w:rPr>
          <w:rFonts w:ascii="Times New Roman" w:hAnsi="Times New Roman" w:cs="Times New Roman"/>
          <w:sz w:val="24"/>
        </w:rPr>
        <w:t xml:space="preserve">HgbA1c screening is vital in the management of diabetes since it is crucial in diagnosing prediabetes and diabetes by measuring the average blood sugar levels. While the A1c goal for diabetic individuals is 7% or less, frequent measurement of average blood sugar levels allows patients to set individual goals, thus managing diabetes better (Sherwani et al., 2016). From the first quarter of 2018 up to the first quarter of 2019, Mercy Medical Center reported a steady increase, with the highest compliance rate being experienced in the first quarter of 2019 (123%). </w:t>
      </w:r>
      <w:r w:rsidRPr="00954A1D">
        <w:rPr>
          <w:rFonts w:ascii="Times New Roman" w:hAnsi="Times New Roman" w:cs="Times New Roman"/>
          <w:sz w:val="24"/>
        </w:rPr>
        <w:lastRenderedPageBreak/>
        <w:t>However, the compliance rate dropped to 32%, 13%, and 6% in the subsequent quarters. Considering the negative impacts of decreased compliance on diabetes management, there is a need for organizational policy changes to drive up HgbA1c screening.</w:t>
      </w:r>
    </w:p>
    <w:p w:rsidR="00954A1D" w:rsidRPr="00BF04C2" w:rsidRDefault="00954A1D" w:rsidP="00860DDD">
      <w:pPr>
        <w:widowControl w:val="0"/>
        <w:spacing w:after="0" w:line="480" w:lineRule="auto"/>
        <w:jc w:val="center"/>
        <w:rPr>
          <w:rFonts w:ascii="Times New Roman" w:hAnsi="Times New Roman" w:cs="Times New Roman"/>
          <w:b/>
          <w:sz w:val="24"/>
          <w:szCs w:val="24"/>
        </w:rPr>
      </w:pPr>
      <w:r w:rsidRPr="00BF04C2">
        <w:rPr>
          <w:rFonts w:ascii="Times New Roman" w:hAnsi="Times New Roman" w:cs="Times New Roman"/>
          <w:b/>
          <w:sz w:val="24"/>
          <w:szCs w:val="24"/>
        </w:rPr>
        <w:t>HgbA1c Screening Analysis</w:t>
      </w:r>
    </w:p>
    <w:p w:rsidR="00954A1D" w:rsidRDefault="00954A1D" w:rsidP="00860DDD">
      <w:pPr>
        <w:spacing w:after="0" w:line="480" w:lineRule="auto"/>
        <w:ind w:firstLine="720"/>
        <w:rPr>
          <w:rFonts w:ascii="Times New Roman" w:hAnsi="Times New Roman" w:cs="Times New Roman"/>
          <w:sz w:val="24"/>
        </w:rPr>
      </w:pPr>
      <w:r w:rsidRPr="00954A1D">
        <w:rPr>
          <w:rFonts w:ascii="Times New Roman" w:hAnsi="Times New Roman" w:cs="Times New Roman"/>
          <w:sz w:val="24"/>
        </w:rPr>
        <w:t>The organization is faced with two main challenges that contribute to diabetes performance quality non-compliance. One challenge was understaffing, where the organization lacked an adequate number of licensed practical nurses, registered nurses, and other personnel needed to perform HgbA1c screening. In quarters where the organization reported low compliance rates, most units were understaffed by 40%.</w:t>
      </w:r>
      <w:r>
        <w:rPr>
          <w:rFonts w:ascii="Times New Roman" w:hAnsi="Times New Roman" w:cs="Times New Roman"/>
          <w:sz w:val="24"/>
        </w:rPr>
        <w:t xml:space="preserve"> </w:t>
      </w:r>
    </w:p>
    <w:p w:rsidR="00954A1D" w:rsidRDefault="00954A1D" w:rsidP="00860DDD">
      <w:pPr>
        <w:spacing w:after="0" w:line="480" w:lineRule="auto"/>
        <w:ind w:firstLine="720"/>
        <w:rPr>
          <w:rFonts w:ascii="Times New Roman" w:hAnsi="Times New Roman" w:cs="Times New Roman"/>
          <w:sz w:val="24"/>
        </w:rPr>
      </w:pPr>
      <w:r w:rsidRPr="00954A1D">
        <w:rPr>
          <w:rFonts w:ascii="Times New Roman" w:hAnsi="Times New Roman" w:cs="Times New Roman"/>
          <w:sz w:val="24"/>
        </w:rPr>
        <w:t>Another challenge is cultural diversity in the community. The Shakopee demographic reveals that while Whites are the majority at 57%, other races such as Hispanics, Asians, and American Indians exist in the community. Language barriers and cultural challenges are significant challenges towards healthcare access since this community does not share a native language with most healthcare professionals at Mercy Medical Center.</w:t>
      </w:r>
      <w:r>
        <w:rPr>
          <w:rFonts w:ascii="Times New Roman" w:hAnsi="Times New Roman" w:cs="Times New Roman"/>
          <w:sz w:val="24"/>
        </w:rPr>
        <w:t xml:space="preserve"> N</w:t>
      </w:r>
      <w:r w:rsidRPr="00954A1D">
        <w:rPr>
          <w:rFonts w:ascii="Times New Roman" w:hAnsi="Times New Roman" w:cs="Times New Roman"/>
          <w:sz w:val="24"/>
        </w:rPr>
        <w:t xml:space="preserve">urses experience challenges in comprehending what patients </w:t>
      </w:r>
      <w:r w:rsidR="00FD1E0E">
        <w:rPr>
          <w:rFonts w:ascii="Times New Roman" w:hAnsi="Times New Roman" w:cs="Times New Roman"/>
          <w:sz w:val="24"/>
        </w:rPr>
        <w:t>communicate</w:t>
      </w:r>
      <w:r w:rsidRPr="00954A1D">
        <w:rPr>
          <w:rFonts w:ascii="Times New Roman" w:hAnsi="Times New Roman" w:cs="Times New Roman"/>
          <w:sz w:val="24"/>
        </w:rPr>
        <w:t>, leading to wrong diagnoses and medication treatments (Gillani et al., 2017).</w:t>
      </w:r>
    </w:p>
    <w:p w:rsidR="00954A1D" w:rsidRPr="00BF04C2" w:rsidRDefault="00954A1D" w:rsidP="00860DDD">
      <w:pPr>
        <w:pStyle w:val="Heading2"/>
        <w:spacing w:line="480" w:lineRule="auto"/>
        <w:rPr>
          <w:rFonts w:cs="Times New Roman"/>
          <w:color w:val="auto"/>
        </w:rPr>
      </w:pPr>
      <w:r w:rsidRPr="00BF04C2">
        <w:rPr>
          <w:rFonts w:cs="Times New Roman"/>
          <w:color w:val="auto"/>
        </w:rPr>
        <w:t>Policy and Practice Guidelines for Increasing HgbA1c Screening</w:t>
      </w:r>
    </w:p>
    <w:p w:rsidR="00954A1D" w:rsidRPr="00954A1D" w:rsidRDefault="00954A1D" w:rsidP="00860DDD">
      <w:pPr>
        <w:spacing w:after="0" w:line="480" w:lineRule="auto"/>
        <w:rPr>
          <w:rFonts w:ascii="Times New Roman" w:hAnsi="Times New Roman" w:cs="Times New Roman"/>
          <w:b/>
          <w:sz w:val="24"/>
        </w:rPr>
      </w:pPr>
      <w:r w:rsidRPr="00954A1D">
        <w:rPr>
          <w:rFonts w:ascii="Times New Roman" w:hAnsi="Times New Roman" w:cs="Times New Roman"/>
          <w:b/>
          <w:sz w:val="24"/>
        </w:rPr>
        <w:t>Po</w:t>
      </w:r>
      <w:r w:rsidR="00FD1E0E">
        <w:rPr>
          <w:rFonts w:ascii="Times New Roman" w:hAnsi="Times New Roman" w:cs="Times New Roman"/>
          <w:b/>
          <w:sz w:val="24"/>
        </w:rPr>
        <w:t>licy S</w:t>
      </w:r>
      <w:r w:rsidRPr="00954A1D">
        <w:rPr>
          <w:rFonts w:ascii="Times New Roman" w:hAnsi="Times New Roman" w:cs="Times New Roman"/>
          <w:b/>
          <w:sz w:val="24"/>
        </w:rPr>
        <w:t>tatement</w:t>
      </w:r>
    </w:p>
    <w:p w:rsidR="00954A1D" w:rsidRPr="00954A1D" w:rsidRDefault="00954A1D" w:rsidP="00860DDD">
      <w:pPr>
        <w:spacing w:after="0" w:line="480" w:lineRule="auto"/>
        <w:ind w:firstLine="720"/>
        <w:rPr>
          <w:rFonts w:ascii="Times New Roman" w:hAnsi="Times New Roman" w:cs="Times New Roman"/>
          <w:sz w:val="24"/>
        </w:rPr>
      </w:pPr>
      <w:r w:rsidRPr="00954A1D">
        <w:rPr>
          <w:rFonts w:ascii="Times New Roman" w:hAnsi="Times New Roman" w:cs="Times New Roman"/>
          <w:sz w:val="24"/>
        </w:rPr>
        <w:t xml:space="preserve">Reduced compliance in HgbA1c Screening poses a risk to diabetes management and control. This policy will guide healthcare workers on overcoming the challenges contributing to non-compliance, thus increasing the screening numbers. On the other hand, the practice guidelines and recommendations provide a framework to avail holistic and patient-centered care in the organization. </w:t>
      </w:r>
    </w:p>
    <w:p w:rsidR="00954A1D" w:rsidRDefault="00954A1D" w:rsidP="00860DDD">
      <w:pPr>
        <w:pStyle w:val="Heading2"/>
        <w:spacing w:line="480" w:lineRule="auto"/>
      </w:pPr>
      <w:r w:rsidRPr="00954A1D">
        <w:lastRenderedPageBreak/>
        <w:t>Proposed Practice Guidelines</w:t>
      </w:r>
    </w:p>
    <w:p w:rsidR="00954A1D" w:rsidRDefault="00954A1D" w:rsidP="00860DDD">
      <w:pPr>
        <w:spacing w:after="0" w:line="480" w:lineRule="auto"/>
        <w:ind w:firstLine="720"/>
        <w:rPr>
          <w:rFonts w:ascii="Times New Roman" w:hAnsi="Times New Roman" w:cs="Times New Roman"/>
          <w:bCs/>
          <w:sz w:val="24"/>
        </w:rPr>
      </w:pPr>
      <w:r w:rsidRPr="00954A1D">
        <w:rPr>
          <w:rFonts w:ascii="Times New Roman" w:hAnsi="Times New Roman" w:cs="Times New Roman"/>
          <w:bCs/>
          <w:sz w:val="24"/>
        </w:rPr>
        <w:t>For Mercy Medical Center to address underperformance in HgbA1c measurement and screening, an integrated team of diabetes specialist nurses and diabetes physicians should be formed. Furman et al. (2019) suggest that Mercy Medical Center can improve HgbA1c screening by implementing a patient outreach program. The hospital’s nurse navigators and patient care coordinators should assess diabetic populations and initiate mail</w:t>
      </w:r>
      <w:r>
        <w:rPr>
          <w:rFonts w:ascii="Times New Roman" w:hAnsi="Times New Roman" w:cs="Times New Roman"/>
          <w:bCs/>
          <w:sz w:val="24"/>
        </w:rPr>
        <w:t xml:space="preserve"> and telephone call reminders</w:t>
      </w:r>
      <w:r w:rsidRPr="00954A1D">
        <w:rPr>
          <w:rFonts w:ascii="Times New Roman" w:hAnsi="Times New Roman" w:cs="Times New Roman"/>
          <w:bCs/>
          <w:sz w:val="24"/>
        </w:rPr>
        <w:t>. New practice guidelines should be developed to increase compliance with the patient outreach program intervention.</w:t>
      </w:r>
    </w:p>
    <w:p w:rsidR="00954A1D" w:rsidRDefault="00954A1D" w:rsidP="00860DDD">
      <w:pPr>
        <w:spacing w:after="0" w:line="480" w:lineRule="auto"/>
        <w:ind w:firstLine="720"/>
        <w:rPr>
          <w:rFonts w:ascii="Times New Roman" w:hAnsi="Times New Roman" w:cs="Times New Roman"/>
          <w:sz w:val="24"/>
          <w:szCs w:val="24"/>
        </w:rPr>
      </w:pPr>
      <w:r w:rsidRPr="00BF04C2">
        <w:rPr>
          <w:rFonts w:ascii="Times New Roman" w:hAnsi="Times New Roman" w:cs="Times New Roman"/>
          <w:sz w:val="24"/>
          <w:szCs w:val="24"/>
        </w:rPr>
        <w:t xml:space="preserve">The critical practice is patient education, where written and verbal information should be </w:t>
      </w:r>
      <w:r>
        <w:rPr>
          <w:rFonts w:ascii="Times New Roman" w:hAnsi="Times New Roman" w:cs="Times New Roman"/>
          <w:sz w:val="24"/>
          <w:szCs w:val="24"/>
        </w:rPr>
        <w:t xml:space="preserve">given to </w:t>
      </w:r>
      <w:r w:rsidRPr="00BF04C2">
        <w:rPr>
          <w:rFonts w:ascii="Times New Roman" w:hAnsi="Times New Roman" w:cs="Times New Roman"/>
          <w:sz w:val="24"/>
          <w:szCs w:val="24"/>
        </w:rPr>
        <w:t>the public. Other practices include peer support, family health support, glycemic control, blood pressure control, lipidaemia control, and lifestyle changes</w:t>
      </w:r>
      <w:r w:rsidR="00FD1E0E">
        <w:rPr>
          <w:rFonts w:ascii="Times New Roman" w:hAnsi="Times New Roman" w:cs="Times New Roman"/>
          <w:sz w:val="24"/>
          <w:szCs w:val="24"/>
        </w:rPr>
        <w:t>. To achieve</w:t>
      </w:r>
      <w:r w:rsidRPr="00BF04C2">
        <w:rPr>
          <w:rFonts w:ascii="Times New Roman" w:hAnsi="Times New Roman" w:cs="Times New Roman"/>
          <w:sz w:val="24"/>
          <w:szCs w:val="24"/>
        </w:rPr>
        <w:t xml:space="preserve"> all these changes, there is a need for guidelines to drive the change. These guidelines include respecting evidence-based practices, emphasizing quality care, fostering collaboration and communication among key stakeholders, and respect</w:t>
      </w:r>
      <w:r w:rsidR="00FD1E0E">
        <w:rPr>
          <w:rFonts w:ascii="Times New Roman" w:hAnsi="Times New Roman" w:cs="Times New Roman"/>
          <w:sz w:val="24"/>
          <w:szCs w:val="24"/>
        </w:rPr>
        <w:t>ing</w:t>
      </w:r>
      <w:r w:rsidRPr="00BF04C2">
        <w:rPr>
          <w:rFonts w:ascii="Times New Roman" w:hAnsi="Times New Roman" w:cs="Times New Roman"/>
          <w:sz w:val="24"/>
          <w:szCs w:val="24"/>
        </w:rPr>
        <w:t xml:space="preserve"> all involved parties, especially patients. There should also be a flexible format that accommodates individual-specific needs and transparency to enhance confidence in the process (Imai et al., 2021).</w:t>
      </w:r>
    </w:p>
    <w:p w:rsidR="00954A1D" w:rsidRDefault="00954A1D" w:rsidP="00860DDD">
      <w:pPr>
        <w:pStyle w:val="Heading2"/>
        <w:spacing w:line="480" w:lineRule="auto"/>
      </w:pPr>
      <w:r>
        <w:t>How The Proposed Policy and Practice Guidelines Will Improve Care Outcomes</w:t>
      </w:r>
    </w:p>
    <w:p w:rsidR="00954A1D" w:rsidRDefault="00954A1D" w:rsidP="00860DDD">
      <w:pPr>
        <w:spacing w:after="0" w:line="480" w:lineRule="auto"/>
        <w:ind w:firstLine="720"/>
        <w:rPr>
          <w:rFonts w:ascii="Times New Roman" w:hAnsi="Times New Roman" w:cs="Times New Roman"/>
          <w:sz w:val="24"/>
          <w:szCs w:val="24"/>
        </w:rPr>
      </w:pPr>
      <w:r w:rsidRPr="00954A1D">
        <w:rPr>
          <w:rFonts w:ascii="Times New Roman" w:hAnsi="Times New Roman" w:cs="Times New Roman"/>
          <w:sz w:val="24"/>
        </w:rPr>
        <w:t xml:space="preserve">An integrated team of specialists should implement specific interventions developed by the team, champion for </w:t>
      </w:r>
      <w:r w:rsidR="00FD1E0E">
        <w:rPr>
          <w:rFonts w:ascii="Times New Roman" w:hAnsi="Times New Roman" w:cs="Times New Roman"/>
          <w:sz w:val="24"/>
        </w:rPr>
        <w:t>implementing</w:t>
      </w:r>
      <w:r w:rsidRPr="00954A1D">
        <w:rPr>
          <w:rFonts w:ascii="Times New Roman" w:hAnsi="Times New Roman" w:cs="Times New Roman"/>
          <w:sz w:val="24"/>
        </w:rPr>
        <w:t xml:space="preserve"> these interventions in the organization</w:t>
      </w:r>
      <w:r w:rsidR="00FD1E0E">
        <w:rPr>
          <w:rFonts w:ascii="Times New Roman" w:hAnsi="Times New Roman" w:cs="Times New Roman"/>
          <w:sz w:val="24"/>
        </w:rPr>
        <w:t>,</w:t>
      </w:r>
      <w:r w:rsidRPr="00954A1D">
        <w:rPr>
          <w:rFonts w:ascii="Times New Roman" w:hAnsi="Times New Roman" w:cs="Times New Roman"/>
          <w:sz w:val="24"/>
        </w:rPr>
        <w:t xml:space="preserve"> and collaborate with community health workers in reaching out to patients (Gillani et al., 2017). This approach will address the issues of cultural diversity since the team formed will be diverse or culturally competent to provide culturally congruent care. </w:t>
      </w:r>
      <w:r w:rsidR="00FD1E0E">
        <w:rPr>
          <w:rFonts w:ascii="Times New Roman" w:hAnsi="Times New Roman" w:cs="Times New Roman"/>
          <w:sz w:val="24"/>
        </w:rPr>
        <w:t>The stakeholders can take ethical action to support and champion</w:t>
      </w:r>
      <w:r w:rsidRPr="00954A1D">
        <w:rPr>
          <w:rFonts w:ascii="Times New Roman" w:hAnsi="Times New Roman" w:cs="Times New Roman"/>
          <w:sz w:val="24"/>
        </w:rPr>
        <w:t xml:space="preserve"> change in guideline implementations to improve compliance.</w:t>
      </w:r>
      <w:r w:rsidRPr="00954A1D">
        <w:rPr>
          <w:rFonts w:ascii="Times New Roman" w:hAnsi="Times New Roman" w:cs="Times New Roman"/>
          <w:sz w:val="24"/>
          <w:szCs w:val="24"/>
        </w:rPr>
        <w:t xml:space="preserve"> </w:t>
      </w:r>
    </w:p>
    <w:p w:rsidR="00954A1D" w:rsidRPr="00954A1D" w:rsidRDefault="00954A1D" w:rsidP="00860DDD">
      <w:pPr>
        <w:spacing w:after="0" w:line="480" w:lineRule="auto"/>
        <w:ind w:firstLine="720"/>
        <w:rPr>
          <w:rFonts w:ascii="Times New Roman" w:hAnsi="Times New Roman" w:cs="Times New Roman"/>
          <w:sz w:val="24"/>
          <w:szCs w:val="24"/>
        </w:rPr>
      </w:pPr>
      <w:r w:rsidRPr="00BF04C2">
        <w:rPr>
          <w:rFonts w:ascii="Times New Roman" w:hAnsi="Times New Roman" w:cs="Times New Roman"/>
          <w:sz w:val="24"/>
          <w:szCs w:val="24"/>
        </w:rPr>
        <w:lastRenderedPageBreak/>
        <w:t>The hospital’s nurse navigators and patient care coordinators should assess diabetic populations and initiate mail and telephone call reminders to drive follow-up visits. This intervention will reduce HgbA1c under testing and decrease the percentage of patients with poor glycemic control by informing them of the importance of</w:t>
      </w:r>
      <w:r>
        <w:rPr>
          <w:rFonts w:ascii="Times New Roman" w:hAnsi="Times New Roman" w:cs="Times New Roman"/>
          <w:sz w:val="24"/>
          <w:szCs w:val="24"/>
        </w:rPr>
        <w:t xml:space="preserve"> </w:t>
      </w:r>
      <w:r w:rsidRPr="00BF04C2">
        <w:rPr>
          <w:rFonts w:ascii="Times New Roman" w:hAnsi="Times New Roman" w:cs="Times New Roman"/>
          <w:sz w:val="24"/>
          <w:szCs w:val="24"/>
        </w:rPr>
        <w:t>screening to control diabetes.</w:t>
      </w:r>
      <w:r w:rsidRPr="00954A1D">
        <w:rPr>
          <w:rFonts w:ascii="Times New Roman" w:hAnsi="Times New Roman" w:cs="Times New Roman"/>
          <w:sz w:val="24"/>
          <w:szCs w:val="24"/>
        </w:rPr>
        <w:t xml:space="preserve"> </w:t>
      </w:r>
      <w:r w:rsidRPr="00BF04C2">
        <w:rPr>
          <w:rFonts w:ascii="Times New Roman" w:hAnsi="Times New Roman" w:cs="Times New Roman"/>
          <w:sz w:val="24"/>
          <w:szCs w:val="24"/>
        </w:rPr>
        <w:t>The primary focus should be on optimizing glycemic control. This control can be achieved through self-management programs, a healthy diet, strict adherence to treatment, and physical activity.</w:t>
      </w:r>
    </w:p>
    <w:p w:rsidR="00954A1D" w:rsidRDefault="00954A1D" w:rsidP="00860DDD">
      <w:pPr>
        <w:pStyle w:val="Heading2"/>
        <w:spacing w:line="480" w:lineRule="auto"/>
      </w:pPr>
      <w:r w:rsidRPr="00954A1D">
        <w:t>Effects of The Proposed Policy and Practice Guidelines</w:t>
      </w:r>
    </w:p>
    <w:p w:rsidR="00954A1D" w:rsidRDefault="00954A1D" w:rsidP="00860DDD">
      <w:pPr>
        <w:spacing w:after="0" w:line="480" w:lineRule="auto"/>
        <w:ind w:firstLine="720"/>
        <w:rPr>
          <w:rFonts w:ascii="Times New Roman" w:hAnsi="Times New Roman" w:cs="Times New Roman"/>
          <w:sz w:val="24"/>
          <w:szCs w:val="24"/>
        </w:rPr>
      </w:pPr>
      <w:r w:rsidRPr="00954A1D">
        <w:rPr>
          <w:rFonts w:ascii="Times New Roman" w:hAnsi="Times New Roman" w:cs="Times New Roman"/>
          <w:sz w:val="24"/>
          <w:szCs w:val="24"/>
        </w:rPr>
        <w:t xml:space="preserve">The hospital should include key stakeholders, including the hospital’s administrator, the integrated team of diabetes specialists, and community health services staff. </w:t>
      </w:r>
      <w:r>
        <w:rPr>
          <w:rFonts w:ascii="Times New Roman" w:hAnsi="Times New Roman" w:cs="Times New Roman"/>
          <w:sz w:val="24"/>
          <w:szCs w:val="24"/>
        </w:rPr>
        <w:t xml:space="preserve">This inclusion will have financial implications on the organization as more staff will be hired. </w:t>
      </w:r>
      <w:r w:rsidRPr="00954A1D">
        <w:rPr>
          <w:rFonts w:ascii="Times New Roman" w:hAnsi="Times New Roman" w:cs="Times New Roman"/>
          <w:sz w:val="24"/>
          <w:szCs w:val="24"/>
        </w:rPr>
        <w:t xml:space="preserve">The hospital’s administrator should lead the integrated team in implementing the intervention. In contrast, the integrated team should champion the implementation of the intervention in the organization and collaborate with community health workers in reaching out to patients (Gillani et al., 2017). </w:t>
      </w:r>
    </w:p>
    <w:p w:rsidR="00954A1D" w:rsidRDefault="00954A1D" w:rsidP="00860DDD">
      <w:pPr>
        <w:spacing w:after="0" w:line="480" w:lineRule="auto"/>
        <w:ind w:firstLine="720"/>
        <w:rPr>
          <w:rFonts w:ascii="Times New Roman" w:hAnsi="Times New Roman" w:cs="Times New Roman"/>
          <w:sz w:val="24"/>
          <w:szCs w:val="24"/>
        </w:rPr>
      </w:pPr>
      <w:r w:rsidRPr="00954A1D">
        <w:rPr>
          <w:rFonts w:ascii="Times New Roman" w:hAnsi="Times New Roman" w:cs="Times New Roman"/>
          <w:sz w:val="24"/>
          <w:szCs w:val="24"/>
        </w:rPr>
        <w:t xml:space="preserve">Key administrative personnel such as the chief executive officer, head of operations, or director of nursing can also be called upon to ensure the success of these policy changes. These individuals can form a quality committee to share their expertise and monitor the effective implementation of the proposed strategies. </w:t>
      </w:r>
      <w:r w:rsidRPr="00BF04C2">
        <w:rPr>
          <w:rFonts w:ascii="Times New Roman" w:hAnsi="Times New Roman" w:cs="Times New Roman"/>
          <w:sz w:val="24"/>
          <w:szCs w:val="24"/>
        </w:rPr>
        <w:t>The hospital’s administrator should lead the integrated team in implementing the intervention. In contrast, the integrated team should champion the implementation of the intervention in the organization and collaborate with community health workers in reaching out to patients (Gillani et al., 2017).</w:t>
      </w:r>
    </w:p>
    <w:p w:rsidR="00954A1D" w:rsidRPr="00954A1D" w:rsidRDefault="00954A1D" w:rsidP="00860DDD">
      <w:pPr>
        <w:pStyle w:val="Heading2"/>
        <w:spacing w:line="480" w:lineRule="auto"/>
      </w:pPr>
      <w:r w:rsidRPr="00954A1D">
        <w:t>Conclusion</w:t>
      </w:r>
    </w:p>
    <w:p w:rsidR="00954A1D" w:rsidRDefault="00954A1D" w:rsidP="00860DDD">
      <w:pPr>
        <w:spacing w:after="0" w:line="480" w:lineRule="auto"/>
        <w:ind w:firstLine="720"/>
        <w:rPr>
          <w:rFonts w:ascii="Times New Roman" w:hAnsi="Times New Roman" w:cs="Times New Roman"/>
          <w:sz w:val="24"/>
          <w:szCs w:val="24"/>
        </w:rPr>
      </w:pPr>
      <w:r w:rsidRPr="00954A1D">
        <w:rPr>
          <w:rFonts w:ascii="Times New Roman" w:hAnsi="Times New Roman" w:cs="Times New Roman"/>
          <w:sz w:val="24"/>
          <w:szCs w:val="24"/>
        </w:rPr>
        <w:t xml:space="preserve">HgbA1c screening is vital to the management of diabetes since it is crucial in diagnosing prediabetes and diabetes by measuring the average blood sugar levels. Understaffing and cultural </w:t>
      </w:r>
      <w:r w:rsidRPr="00954A1D">
        <w:rPr>
          <w:rFonts w:ascii="Times New Roman" w:hAnsi="Times New Roman" w:cs="Times New Roman"/>
          <w:sz w:val="24"/>
          <w:szCs w:val="24"/>
        </w:rPr>
        <w:lastRenderedPageBreak/>
        <w:t xml:space="preserve">differences are some of the main challenges that hinder HgbA1c screening, thus requiring policy changes to address the issue. Implementing HgbA1c screening analysis can </w:t>
      </w:r>
      <w:r w:rsidR="00FD1E0E">
        <w:rPr>
          <w:rFonts w:ascii="Times New Roman" w:hAnsi="Times New Roman" w:cs="Times New Roman"/>
          <w:sz w:val="24"/>
          <w:szCs w:val="24"/>
        </w:rPr>
        <w:t>complement</w:t>
      </w:r>
      <w:r w:rsidRPr="00954A1D">
        <w:rPr>
          <w:rFonts w:ascii="Times New Roman" w:hAnsi="Times New Roman" w:cs="Times New Roman"/>
          <w:sz w:val="24"/>
          <w:szCs w:val="24"/>
        </w:rPr>
        <w:t xml:space="preserve"> specific practice guidelines to ensure strict compliance with the set local, state, and federal thresholds.</w:t>
      </w:r>
    </w:p>
    <w:p w:rsidR="00954A1D" w:rsidRDefault="00954A1D" w:rsidP="00860DDD">
      <w:pPr>
        <w:spacing w:after="0" w:line="480" w:lineRule="auto"/>
        <w:rPr>
          <w:rFonts w:ascii="Times New Roman" w:hAnsi="Times New Roman" w:cs="Times New Roman"/>
          <w:sz w:val="24"/>
          <w:szCs w:val="24"/>
        </w:rPr>
      </w:pPr>
    </w:p>
    <w:p w:rsidR="00954A1D" w:rsidRDefault="00954A1D" w:rsidP="00860DDD">
      <w:pPr>
        <w:spacing w:after="0" w:line="480" w:lineRule="auto"/>
        <w:rPr>
          <w:rFonts w:ascii="Times New Roman" w:hAnsi="Times New Roman" w:cs="Times New Roman"/>
          <w:sz w:val="24"/>
          <w:szCs w:val="24"/>
        </w:rPr>
      </w:pPr>
    </w:p>
    <w:p w:rsidR="00954A1D" w:rsidRDefault="00954A1D" w:rsidP="00860DDD">
      <w:pPr>
        <w:spacing w:after="0" w:line="480" w:lineRule="auto"/>
        <w:rPr>
          <w:rFonts w:ascii="Times New Roman" w:hAnsi="Times New Roman" w:cs="Times New Roman"/>
          <w:sz w:val="24"/>
          <w:szCs w:val="24"/>
        </w:rPr>
      </w:pPr>
    </w:p>
    <w:p w:rsidR="00954A1D" w:rsidRDefault="00954A1D" w:rsidP="00860DDD">
      <w:pPr>
        <w:spacing w:after="0" w:line="480" w:lineRule="auto"/>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954A1D" w:rsidRDefault="00954A1D" w:rsidP="00954A1D">
      <w:pPr>
        <w:ind w:left="720" w:hanging="720"/>
        <w:rPr>
          <w:rFonts w:ascii="Times New Roman" w:hAnsi="Times New Roman" w:cs="Times New Roman"/>
          <w:sz w:val="24"/>
          <w:szCs w:val="24"/>
        </w:rPr>
      </w:pPr>
    </w:p>
    <w:p w:rsidR="00860DDD" w:rsidRDefault="00860DDD" w:rsidP="00860DDD">
      <w:pPr>
        <w:pStyle w:val="Heading2"/>
        <w:jc w:val="left"/>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954A1D">
      <w:pPr>
        <w:pStyle w:val="Heading2"/>
      </w:pPr>
    </w:p>
    <w:p w:rsidR="00860DDD" w:rsidRDefault="00860DDD" w:rsidP="00860DDD">
      <w:pPr>
        <w:spacing w:after="0" w:line="480" w:lineRule="auto"/>
        <w:ind w:left="720" w:hanging="720"/>
        <w:rPr>
          <w:rFonts w:ascii="Times New Roman" w:hAnsi="Times New Roman" w:cs="Times New Roman"/>
          <w:sz w:val="24"/>
          <w:szCs w:val="24"/>
        </w:rPr>
      </w:pPr>
    </w:p>
    <w:p w:rsidR="00860DDD" w:rsidRDefault="00860DDD" w:rsidP="00860DDD">
      <w:pPr>
        <w:spacing w:after="0" w:line="480" w:lineRule="auto"/>
        <w:ind w:left="720" w:hanging="720"/>
        <w:rPr>
          <w:rFonts w:ascii="Times New Roman" w:hAnsi="Times New Roman" w:cs="Times New Roman"/>
          <w:sz w:val="24"/>
          <w:szCs w:val="24"/>
        </w:rPr>
      </w:pPr>
    </w:p>
    <w:p w:rsidR="00860DDD" w:rsidRDefault="00860DDD" w:rsidP="00860DDD">
      <w:pPr>
        <w:spacing w:after="0" w:line="480" w:lineRule="auto"/>
        <w:ind w:left="720" w:hanging="720"/>
        <w:rPr>
          <w:rFonts w:ascii="Times New Roman" w:hAnsi="Times New Roman" w:cs="Times New Roman"/>
          <w:sz w:val="24"/>
          <w:szCs w:val="24"/>
        </w:rPr>
      </w:pPr>
    </w:p>
    <w:p w:rsidR="00860DDD" w:rsidRDefault="00860DDD" w:rsidP="00860DDD">
      <w:pPr>
        <w:spacing w:after="0" w:line="480" w:lineRule="auto"/>
        <w:ind w:left="720" w:hanging="720"/>
        <w:jc w:val="center"/>
        <w:rPr>
          <w:rFonts w:ascii="Times New Roman" w:hAnsi="Times New Roman" w:cs="Times New Roman"/>
          <w:b/>
          <w:sz w:val="24"/>
          <w:szCs w:val="24"/>
        </w:rPr>
      </w:pPr>
    </w:p>
    <w:p w:rsidR="00860DDD" w:rsidRPr="00860DDD" w:rsidRDefault="00860DDD" w:rsidP="00860DDD">
      <w:pPr>
        <w:spacing w:after="0" w:line="480" w:lineRule="auto"/>
        <w:ind w:left="720" w:hanging="720"/>
        <w:jc w:val="center"/>
        <w:rPr>
          <w:rFonts w:ascii="Times New Roman" w:hAnsi="Times New Roman" w:cs="Times New Roman"/>
          <w:b/>
          <w:sz w:val="24"/>
          <w:szCs w:val="24"/>
        </w:rPr>
      </w:pPr>
      <w:bookmarkStart w:id="0" w:name="_GoBack"/>
      <w:bookmarkEnd w:id="0"/>
      <w:r w:rsidRPr="00860DDD">
        <w:rPr>
          <w:rFonts w:ascii="Times New Roman" w:hAnsi="Times New Roman" w:cs="Times New Roman"/>
          <w:b/>
          <w:sz w:val="24"/>
          <w:szCs w:val="24"/>
        </w:rPr>
        <w:lastRenderedPageBreak/>
        <w:t>References</w:t>
      </w:r>
    </w:p>
    <w:p w:rsidR="00954A1D" w:rsidRPr="00954A1D" w:rsidRDefault="00954A1D" w:rsidP="00860DDD">
      <w:pPr>
        <w:spacing w:after="0" w:line="480" w:lineRule="auto"/>
        <w:ind w:left="720" w:hanging="720"/>
        <w:rPr>
          <w:rFonts w:ascii="Times New Roman" w:hAnsi="Times New Roman" w:cs="Times New Roman"/>
          <w:sz w:val="24"/>
          <w:szCs w:val="24"/>
        </w:rPr>
      </w:pPr>
      <w:r w:rsidRPr="00954A1D">
        <w:rPr>
          <w:rFonts w:ascii="Times New Roman" w:hAnsi="Times New Roman" w:cs="Times New Roman"/>
          <w:sz w:val="24"/>
          <w:szCs w:val="24"/>
        </w:rPr>
        <w:t>Furman, R., Harlan, T., LeBlanc, L., Furman, E., Liptak, G., &amp; Fonseca, V. (2019). Diabetes INSIDE: Improving Population HbA1c testing and targets in primary care with a quality initiative. </w:t>
      </w:r>
      <w:r w:rsidRPr="00954A1D">
        <w:rPr>
          <w:rFonts w:ascii="Times New Roman" w:hAnsi="Times New Roman" w:cs="Times New Roman"/>
          <w:i/>
          <w:iCs/>
          <w:sz w:val="24"/>
          <w:szCs w:val="24"/>
        </w:rPr>
        <w:t>Diabetes Care</w:t>
      </w:r>
      <w:r w:rsidRPr="00954A1D">
        <w:rPr>
          <w:rFonts w:ascii="Times New Roman" w:hAnsi="Times New Roman" w:cs="Times New Roman"/>
          <w:sz w:val="24"/>
          <w:szCs w:val="24"/>
        </w:rPr>
        <w:t>, </w:t>
      </w:r>
      <w:r w:rsidRPr="00954A1D">
        <w:rPr>
          <w:rFonts w:ascii="Times New Roman" w:hAnsi="Times New Roman" w:cs="Times New Roman"/>
          <w:i/>
          <w:iCs/>
          <w:sz w:val="24"/>
          <w:szCs w:val="24"/>
        </w:rPr>
        <w:t>43</w:t>
      </w:r>
      <w:r w:rsidRPr="00954A1D">
        <w:rPr>
          <w:rFonts w:ascii="Times New Roman" w:hAnsi="Times New Roman" w:cs="Times New Roman"/>
          <w:sz w:val="24"/>
          <w:szCs w:val="24"/>
        </w:rPr>
        <w:t>(2). https://doi.org/10.2337/dc19-0454</w:t>
      </w:r>
    </w:p>
    <w:p w:rsidR="00954A1D" w:rsidRPr="00954A1D" w:rsidRDefault="00954A1D" w:rsidP="00860DDD">
      <w:pPr>
        <w:spacing w:after="0" w:line="480" w:lineRule="auto"/>
        <w:ind w:left="720" w:hanging="720"/>
        <w:rPr>
          <w:rFonts w:ascii="Times New Roman" w:hAnsi="Times New Roman" w:cs="Times New Roman"/>
          <w:sz w:val="24"/>
          <w:szCs w:val="24"/>
        </w:rPr>
      </w:pPr>
      <w:r w:rsidRPr="00954A1D">
        <w:rPr>
          <w:rFonts w:ascii="Times New Roman" w:hAnsi="Times New Roman" w:cs="Times New Roman"/>
          <w:sz w:val="24"/>
          <w:szCs w:val="24"/>
        </w:rPr>
        <w:t>Gillani, A., Usman, M., Batool, N., Mohamed Ibrahim, M., &amp; Fang, Y. (2017). Assessment of diet compliance and factors affecting compliance among diabetes patients in Pakistan. </w:t>
      </w:r>
      <w:r w:rsidRPr="00954A1D">
        <w:rPr>
          <w:rFonts w:ascii="Times New Roman" w:hAnsi="Times New Roman" w:cs="Times New Roman"/>
          <w:i/>
          <w:iCs/>
          <w:sz w:val="24"/>
          <w:szCs w:val="24"/>
        </w:rPr>
        <w:t>Primary Care Diabetes</w:t>
      </w:r>
      <w:r w:rsidRPr="00954A1D">
        <w:rPr>
          <w:rFonts w:ascii="Times New Roman" w:hAnsi="Times New Roman" w:cs="Times New Roman"/>
          <w:sz w:val="24"/>
          <w:szCs w:val="24"/>
        </w:rPr>
        <w:t>, </w:t>
      </w:r>
      <w:r w:rsidRPr="00954A1D">
        <w:rPr>
          <w:rFonts w:ascii="Times New Roman" w:hAnsi="Times New Roman" w:cs="Times New Roman"/>
          <w:i/>
          <w:iCs/>
          <w:sz w:val="24"/>
          <w:szCs w:val="24"/>
        </w:rPr>
        <w:t>11</w:t>
      </w:r>
      <w:r w:rsidRPr="00954A1D">
        <w:rPr>
          <w:rFonts w:ascii="Times New Roman" w:hAnsi="Times New Roman" w:cs="Times New Roman"/>
          <w:sz w:val="24"/>
          <w:szCs w:val="24"/>
        </w:rPr>
        <w:t>. https://doi.org/10.1016/j.pcd.2017.10.008</w:t>
      </w:r>
    </w:p>
    <w:p w:rsidR="00954A1D" w:rsidRPr="00954A1D" w:rsidRDefault="00954A1D" w:rsidP="00860DDD">
      <w:pPr>
        <w:spacing w:after="0" w:line="480" w:lineRule="auto"/>
        <w:ind w:left="720" w:hanging="720"/>
        <w:rPr>
          <w:rFonts w:ascii="Times New Roman" w:hAnsi="Times New Roman" w:cs="Times New Roman"/>
          <w:sz w:val="24"/>
          <w:szCs w:val="24"/>
        </w:rPr>
      </w:pPr>
      <w:r w:rsidRPr="00954A1D">
        <w:rPr>
          <w:rFonts w:ascii="Times New Roman" w:hAnsi="Times New Roman" w:cs="Times New Roman"/>
          <w:sz w:val="24"/>
          <w:szCs w:val="24"/>
        </w:rPr>
        <w:t>Imai, C., Li, L., Hardie, R., &amp; Georgiou, A. (2021). Adherence to guideline-recommended HbA1c testing frequency and better outcomes in patients with type 2 diabetes: a 5-year retrospective cohort study in Australian general practice. </w:t>
      </w:r>
      <w:r w:rsidRPr="00954A1D">
        <w:rPr>
          <w:rFonts w:ascii="Times New Roman" w:hAnsi="Times New Roman" w:cs="Times New Roman"/>
          <w:i/>
          <w:iCs/>
          <w:sz w:val="24"/>
          <w:szCs w:val="24"/>
        </w:rPr>
        <w:t>BMJ Quality &amp; Safety</w:t>
      </w:r>
      <w:r w:rsidRPr="00954A1D">
        <w:rPr>
          <w:rFonts w:ascii="Times New Roman" w:hAnsi="Times New Roman" w:cs="Times New Roman"/>
          <w:sz w:val="24"/>
          <w:szCs w:val="24"/>
        </w:rPr>
        <w:t>. https://doi.org/10.1136/bmjqs-2020-012026</w:t>
      </w:r>
    </w:p>
    <w:p w:rsidR="00954A1D" w:rsidRPr="00954A1D" w:rsidRDefault="00954A1D" w:rsidP="00860DDD">
      <w:pPr>
        <w:spacing w:after="0" w:line="480" w:lineRule="auto"/>
        <w:ind w:left="720" w:hanging="720"/>
        <w:rPr>
          <w:rFonts w:ascii="Times New Roman" w:hAnsi="Times New Roman" w:cs="Times New Roman"/>
          <w:sz w:val="24"/>
          <w:szCs w:val="24"/>
        </w:rPr>
      </w:pPr>
      <w:r w:rsidRPr="00954A1D">
        <w:rPr>
          <w:rFonts w:ascii="Times New Roman" w:hAnsi="Times New Roman" w:cs="Times New Roman"/>
          <w:sz w:val="24"/>
          <w:szCs w:val="24"/>
        </w:rPr>
        <w:t>Sherwani, S., Khan, H., Ekhzaimy, A., Masood, A., &amp; Sakharkar, M. (2016). Significance of HbA1c test in diagnosis and prognosis of diabetic patients. </w:t>
      </w:r>
      <w:r w:rsidRPr="00954A1D">
        <w:rPr>
          <w:rFonts w:ascii="Times New Roman" w:hAnsi="Times New Roman" w:cs="Times New Roman"/>
          <w:i/>
          <w:iCs/>
          <w:sz w:val="24"/>
          <w:szCs w:val="24"/>
        </w:rPr>
        <w:t>Biomarker Insights</w:t>
      </w:r>
      <w:r w:rsidRPr="00954A1D">
        <w:rPr>
          <w:rFonts w:ascii="Times New Roman" w:hAnsi="Times New Roman" w:cs="Times New Roman"/>
          <w:sz w:val="24"/>
          <w:szCs w:val="24"/>
        </w:rPr>
        <w:t>, </w:t>
      </w:r>
      <w:r w:rsidRPr="00954A1D">
        <w:rPr>
          <w:rFonts w:ascii="Times New Roman" w:hAnsi="Times New Roman" w:cs="Times New Roman"/>
          <w:i/>
          <w:iCs/>
          <w:sz w:val="24"/>
          <w:szCs w:val="24"/>
        </w:rPr>
        <w:t>11</w:t>
      </w:r>
      <w:r w:rsidRPr="00954A1D">
        <w:rPr>
          <w:rFonts w:ascii="Times New Roman" w:hAnsi="Times New Roman" w:cs="Times New Roman"/>
          <w:sz w:val="24"/>
          <w:szCs w:val="24"/>
        </w:rPr>
        <w:t>. https://doi.org/10.4137/bmi.s38440</w:t>
      </w:r>
    </w:p>
    <w:p w:rsidR="00954A1D" w:rsidRPr="00954A1D" w:rsidRDefault="00954A1D" w:rsidP="00954A1D">
      <w:pPr>
        <w:ind w:firstLine="720"/>
        <w:rPr>
          <w:rFonts w:ascii="Times New Roman" w:hAnsi="Times New Roman" w:cs="Times New Roman"/>
          <w:sz w:val="24"/>
          <w:szCs w:val="24"/>
        </w:rPr>
      </w:pPr>
    </w:p>
    <w:sectPr w:rsidR="00954A1D" w:rsidRPr="00954A1D">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703" w:rsidRDefault="00556703" w:rsidP="00954A1D">
      <w:pPr>
        <w:spacing w:after="0" w:line="240" w:lineRule="auto"/>
      </w:pPr>
      <w:r>
        <w:separator/>
      </w:r>
    </w:p>
  </w:endnote>
  <w:endnote w:type="continuationSeparator" w:id="0">
    <w:p w:rsidR="00556703" w:rsidRDefault="00556703" w:rsidP="00954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703" w:rsidRDefault="00556703" w:rsidP="00954A1D">
      <w:pPr>
        <w:spacing w:after="0" w:line="240" w:lineRule="auto"/>
      </w:pPr>
      <w:r>
        <w:separator/>
      </w:r>
    </w:p>
  </w:footnote>
  <w:footnote w:type="continuationSeparator" w:id="0">
    <w:p w:rsidR="00556703" w:rsidRDefault="00556703" w:rsidP="00954A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A1D" w:rsidRPr="00954A1D" w:rsidRDefault="00954A1D">
    <w:pPr>
      <w:pStyle w:val="Header"/>
      <w:rPr>
        <w:rFonts w:ascii="Times New Roman" w:hAnsi="Times New Roman" w:cs="Times New Roman"/>
        <w:sz w:val="24"/>
      </w:rPr>
    </w:pPr>
    <w:r w:rsidRPr="00954A1D">
      <w:rPr>
        <w:rFonts w:ascii="Times New Roman" w:hAnsi="Times New Roman" w:cs="Times New Roman"/>
        <w:sz w:val="24"/>
      </w:rPr>
      <w:tab/>
    </w:r>
    <w:r w:rsidRPr="00954A1D">
      <w:rPr>
        <w:rFonts w:ascii="Times New Roman" w:hAnsi="Times New Roman" w:cs="Times New Roman"/>
        <w:sz w:val="24"/>
      </w:rPr>
      <w:tab/>
    </w:r>
    <w:r w:rsidRPr="00954A1D">
      <w:rPr>
        <w:rFonts w:ascii="Times New Roman" w:hAnsi="Times New Roman" w:cs="Times New Roman"/>
        <w:sz w:val="24"/>
      </w:rPr>
      <w:fldChar w:fldCharType="begin"/>
    </w:r>
    <w:r w:rsidRPr="00954A1D">
      <w:rPr>
        <w:rFonts w:ascii="Times New Roman" w:hAnsi="Times New Roman" w:cs="Times New Roman"/>
        <w:sz w:val="24"/>
      </w:rPr>
      <w:instrText xml:space="preserve"> PAGE   \* MERGEFORMAT </w:instrText>
    </w:r>
    <w:r w:rsidRPr="00954A1D">
      <w:rPr>
        <w:rFonts w:ascii="Times New Roman" w:hAnsi="Times New Roman" w:cs="Times New Roman"/>
        <w:sz w:val="24"/>
      </w:rPr>
      <w:fldChar w:fldCharType="separate"/>
    </w:r>
    <w:r w:rsidR="00860DDD">
      <w:rPr>
        <w:rFonts w:ascii="Times New Roman" w:hAnsi="Times New Roman" w:cs="Times New Roman"/>
        <w:noProof/>
        <w:sz w:val="24"/>
      </w:rPr>
      <w:t>5</w:t>
    </w:r>
    <w:r w:rsidRPr="00954A1D">
      <w:rPr>
        <w:rFonts w:ascii="Times New Roman" w:hAnsi="Times New Roman" w:cs="Times New Roman"/>
        <w:noProo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I0szAwMTUwNzY3MjJW0lEKTi0uzszPAykwqgUAnW8adCwAAAA="/>
  </w:docVars>
  <w:rsids>
    <w:rsidRoot w:val="00954A1D"/>
    <w:rsid w:val="00103BFC"/>
    <w:rsid w:val="00114D26"/>
    <w:rsid w:val="004222ED"/>
    <w:rsid w:val="00556703"/>
    <w:rsid w:val="006E5747"/>
    <w:rsid w:val="00860DDD"/>
    <w:rsid w:val="00954A1D"/>
    <w:rsid w:val="00C34CA1"/>
    <w:rsid w:val="00DA285D"/>
    <w:rsid w:val="00E1314E"/>
    <w:rsid w:val="00FD1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0B04A"/>
  <w15:chartTrackingRefBased/>
  <w15:docId w15:val="{B0CBAE31-50B0-44FF-B65D-A6BFE4542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C34CA1"/>
    <w:pPr>
      <w:keepNext/>
      <w:keepLines/>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autoRedefine/>
    <w:uiPriority w:val="9"/>
    <w:unhideWhenUsed/>
    <w:qFormat/>
    <w:rsid w:val="004222ED"/>
    <w:pPr>
      <w:keepNext/>
      <w:keepLines/>
      <w:spacing w:after="0"/>
      <w:jc w:val="center"/>
      <w:outlineLvl w:val="1"/>
    </w:pPr>
    <w:rPr>
      <w:rFonts w:ascii="Times New Roman" w:eastAsiaTheme="majorEastAsia" w:hAnsi="Times New Roman" w:cstheme="majorBidi"/>
      <w:b/>
      <w:color w:val="000000" w:themeColor="text1"/>
      <w:sz w:val="24"/>
      <w:szCs w:val="26"/>
    </w:rPr>
  </w:style>
  <w:style w:type="paragraph" w:styleId="Heading3">
    <w:name w:val="heading 3"/>
    <w:basedOn w:val="Normal"/>
    <w:next w:val="Normal"/>
    <w:link w:val="Heading3Char"/>
    <w:autoRedefine/>
    <w:uiPriority w:val="9"/>
    <w:semiHidden/>
    <w:unhideWhenUsed/>
    <w:qFormat/>
    <w:rsid w:val="00103BFC"/>
    <w:pPr>
      <w:keepNext/>
      <w:keepLines/>
      <w:spacing w:before="40" w:after="0"/>
      <w:outlineLvl w:val="2"/>
    </w:pPr>
    <w:rPr>
      <w:rFonts w:ascii="Times New Roman" w:eastAsiaTheme="majorEastAsia" w:hAnsi="Times New Roman" w:cstheme="majorBidi"/>
      <w:b/>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22ED"/>
    <w:rPr>
      <w:rFonts w:ascii="Times New Roman" w:eastAsiaTheme="majorEastAsia" w:hAnsi="Times New Roman" w:cstheme="majorBidi"/>
      <w:b/>
      <w:color w:val="000000" w:themeColor="text1"/>
      <w:sz w:val="24"/>
      <w:szCs w:val="26"/>
    </w:rPr>
  </w:style>
  <w:style w:type="character" w:customStyle="1" w:styleId="Heading1Char">
    <w:name w:val="Heading 1 Char"/>
    <w:basedOn w:val="DefaultParagraphFont"/>
    <w:link w:val="Heading1"/>
    <w:uiPriority w:val="9"/>
    <w:rsid w:val="00C34CA1"/>
    <w:rPr>
      <w:rFonts w:ascii="Times New Roman" w:eastAsiaTheme="majorEastAsia" w:hAnsi="Times New Roman" w:cstheme="majorBidi"/>
      <w:b/>
      <w:sz w:val="24"/>
      <w:szCs w:val="32"/>
    </w:rPr>
  </w:style>
  <w:style w:type="character" w:customStyle="1" w:styleId="Heading3Char">
    <w:name w:val="Heading 3 Char"/>
    <w:basedOn w:val="DefaultParagraphFont"/>
    <w:link w:val="Heading3"/>
    <w:uiPriority w:val="9"/>
    <w:semiHidden/>
    <w:rsid w:val="00103BFC"/>
    <w:rPr>
      <w:rFonts w:ascii="Times New Roman" w:eastAsiaTheme="majorEastAsia" w:hAnsi="Times New Roman" w:cstheme="majorBidi"/>
      <w:b/>
      <w:color w:val="000000" w:themeColor="text1"/>
      <w:sz w:val="24"/>
      <w:szCs w:val="24"/>
    </w:rPr>
  </w:style>
  <w:style w:type="paragraph" w:styleId="Header">
    <w:name w:val="header"/>
    <w:basedOn w:val="Normal"/>
    <w:link w:val="HeaderChar"/>
    <w:uiPriority w:val="99"/>
    <w:unhideWhenUsed/>
    <w:rsid w:val="00954A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4A1D"/>
  </w:style>
  <w:style w:type="paragraph" w:styleId="Footer">
    <w:name w:val="footer"/>
    <w:basedOn w:val="Normal"/>
    <w:link w:val="FooterChar"/>
    <w:uiPriority w:val="99"/>
    <w:unhideWhenUsed/>
    <w:rsid w:val="00954A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4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2021-08-10T06:17:00Z</dcterms:created>
  <dcterms:modified xsi:type="dcterms:W3CDTF">2021-08-10T06:17:00Z</dcterms:modified>
</cp:coreProperties>
</file>