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Pr="007F3CE9" w:rsidRDefault="007F3CE9" w:rsidP="007F3CE9">
      <w:pPr>
        <w:spacing w:after="0" w:line="480" w:lineRule="auto"/>
        <w:rPr>
          <w:rFonts w:ascii="Times New Roman" w:hAnsi="Times New Roman" w:cs="Times New Roman"/>
          <w:sz w:val="24"/>
          <w:szCs w:val="24"/>
        </w:rPr>
      </w:pPr>
    </w:p>
    <w:p w:rsidR="007F3CE9" w:rsidRPr="007F3CE9" w:rsidRDefault="007F3CE9" w:rsidP="007F3CE9">
      <w:pPr>
        <w:spacing w:after="0" w:line="480" w:lineRule="auto"/>
        <w:rPr>
          <w:rFonts w:ascii="Times New Roman" w:hAnsi="Times New Roman" w:cs="Times New Roman"/>
          <w:sz w:val="24"/>
          <w:szCs w:val="24"/>
        </w:rPr>
      </w:pPr>
    </w:p>
    <w:p w:rsidR="007F3CE9" w:rsidRPr="007F3CE9" w:rsidRDefault="007F3CE9" w:rsidP="007F3CE9">
      <w:pPr>
        <w:spacing w:after="0" w:line="480" w:lineRule="auto"/>
        <w:jc w:val="center"/>
        <w:rPr>
          <w:rFonts w:ascii="Times New Roman" w:hAnsi="Times New Roman" w:cs="Times New Roman"/>
          <w:sz w:val="24"/>
          <w:szCs w:val="24"/>
        </w:rPr>
      </w:pPr>
      <w:r w:rsidRPr="007F3CE9">
        <w:rPr>
          <w:rFonts w:ascii="Times New Roman" w:hAnsi="Times New Roman" w:cs="Times New Roman"/>
          <w:sz w:val="24"/>
          <w:szCs w:val="24"/>
        </w:rPr>
        <w:t>Policy Proposal</w:t>
      </w:r>
    </w:p>
    <w:p w:rsidR="007F3CE9" w:rsidRPr="007F3CE9" w:rsidRDefault="007F3CE9" w:rsidP="007F3CE9">
      <w:pPr>
        <w:spacing w:after="0" w:line="480" w:lineRule="auto"/>
        <w:jc w:val="center"/>
        <w:rPr>
          <w:rFonts w:ascii="Times New Roman" w:hAnsi="Times New Roman" w:cs="Times New Roman"/>
          <w:sz w:val="24"/>
          <w:szCs w:val="24"/>
        </w:rPr>
      </w:pPr>
      <w:r w:rsidRPr="007F3CE9">
        <w:rPr>
          <w:rFonts w:ascii="Times New Roman" w:hAnsi="Times New Roman" w:cs="Times New Roman"/>
          <w:sz w:val="24"/>
          <w:szCs w:val="24"/>
        </w:rPr>
        <w:t>Name:</w:t>
      </w:r>
    </w:p>
    <w:p w:rsidR="007F3CE9" w:rsidRPr="007F3CE9" w:rsidRDefault="007F3CE9" w:rsidP="007F3CE9">
      <w:pPr>
        <w:spacing w:after="0" w:line="480" w:lineRule="auto"/>
        <w:jc w:val="center"/>
        <w:rPr>
          <w:rFonts w:ascii="Times New Roman" w:hAnsi="Times New Roman" w:cs="Times New Roman"/>
          <w:sz w:val="24"/>
          <w:szCs w:val="24"/>
        </w:rPr>
      </w:pPr>
      <w:r w:rsidRPr="007F3CE9">
        <w:rPr>
          <w:rFonts w:ascii="Times New Roman" w:hAnsi="Times New Roman" w:cs="Times New Roman"/>
          <w:sz w:val="24"/>
          <w:szCs w:val="24"/>
        </w:rPr>
        <w:t>Capella University</w:t>
      </w:r>
    </w:p>
    <w:p w:rsidR="007F3CE9" w:rsidRPr="007F3CE9" w:rsidRDefault="007F3CE9" w:rsidP="007F3CE9">
      <w:pPr>
        <w:spacing w:after="0" w:line="480" w:lineRule="auto"/>
        <w:jc w:val="center"/>
        <w:rPr>
          <w:rFonts w:ascii="Times New Roman" w:hAnsi="Times New Roman" w:cs="Times New Roman"/>
          <w:sz w:val="24"/>
          <w:szCs w:val="24"/>
        </w:rPr>
      </w:pPr>
      <w:r w:rsidRPr="007F3CE9">
        <w:rPr>
          <w:rFonts w:ascii="Times New Roman" w:hAnsi="Times New Roman" w:cs="Times New Roman"/>
          <w:sz w:val="24"/>
          <w:szCs w:val="24"/>
        </w:rPr>
        <w:t>NHS-FPX6004: Health Care Law and Policy</w:t>
      </w:r>
    </w:p>
    <w:p w:rsidR="007F3CE9" w:rsidRPr="007F3CE9" w:rsidRDefault="007F3CE9" w:rsidP="007F3CE9">
      <w:pPr>
        <w:spacing w:after="0" w:line="480" w:lineRule="auto"/>
        <w:jc w:val="center"/>
        <w:rPr>
          <w:rFonts w:ascii="Times New Roman" w:hAnsi="Times New Roman" w:cs="Times New Roman"/>
          <w:sz w:val="24"/>
          <w:szCs w:val="24"/>
        </w:rPr>
      </w:pPr>
      <w:r w:rsidRPr="007F3CE9">
        <w:rPr>
          <w:rFonts w:ascii="Times New Roman" w:hAnsi="Times New Roman" w:cs="Times New Roman"/>
          <w:sz w:val="24"/>
          <w:szCs w:val="24"/>
        </w:rPr>
        <w:t>Professor:</w:t>
      </w:r>
    </w:p>
    <w:p w:rsidR="007F3CE9" w:rsidRPr="007F3CE9" w:rsidRDefault="007F3CE9" w:rsidP="007F3CE9">
      <w:pPr>
        <w:spacing w:after="0" w:line="480" w:lineRule="auto"/>
        <w:jc w:val="center"/>
        <w:rPr>
          <w:rFonts w:ascii="Times New Roman" w:hAnsi="Times New Roman" w:cs="Times New Roman"/>
          <w:sz w:val="24"/>
          <w:szCs w:val="24"/>
        </w:rPr>
      </w:pPr>
      <w:r w:rsidRPr="007F3CE9">
        <w:rPr>
          <w:rFonts w:ascii="Times New Roman" w:hAnsi="Times New Roman" w:cs="Times New Roman"/>
          <w:sz w:val="24"/>
          <w:szCs w:val="24"/>
        </w:rPr>
        <w:t>Date:</w:t>
      </w: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Pr="007F3CE9" w:rsidRDefault="007F3CE9" w:rsidP="007F3CE9">
      <w:pPr>
        <w:spacing w:after="0" w:line="480" w:lineRule="auto"/>
        <w:rPr>
          <w:rFonts w:ascii="Times New Roman" w:hAnsi="Times New Roman" w:cs="Times New Roman"/>
          <w:sz w:val="24"/>
          <w:szCs w:val="24"/>
        </w:rPr>
      </w:pPr>
    </w:p>
    <w:p w:rsidR="00051AFF" w:rsidRPr="007F3CE9" w:rsidRDefault="000C395D" w:rsidP="007F3CE9">
      <w:pPr>
        <w:pStyle w:val="Heading2"/>
        <w:spacing w:line="480" w:lineRule="auto"/>
      </w:pPr>
      <w:r w:rsidRPr="007F3CE9">
        <w:lastRenderedPageBreak/>
        <w:t>Policy Proposal</w:t>
      </w:r>
    </w:p>
    <w:p w:rsidR="000A13BB" w:rsidRPr="007F3CE9" w:rsidRDefault="00051AFF"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Mercy Medical Center, an affiliate of Villa Health, is one of the notable care providers in the US. However, a review of the diabetes dashboard at the medical facility reveals underperforming metrics. The organization's diabetes performance against local, state, and federal policies is too low according to assessments conducted on the hemoglobin A1c (Hgb A1c) screening metric. The organization posted significant low-performance Hgb A1c screening compliance compared to state and national benchmarks. This paper illustrates the importance of initiating policy changes and creating new practice guidelines to meet the recommended benchmarks in Hgb A1c screening. The paper also outlines environmental factors, their influence on the policy changes implementation, and the role of key stakeholders in ensuring the success of these changes.</w:t>
      </w:r>
    </w:p>
    <w:p w:rsidR="000A13BB" w:rsidRPr="007F3CE9" w:rsidRDefault="00051AFF" w:rsidP="007F3CE9">
      <w:pPr>
        <w:pStyle w:val="Heading2"/>
        <w:spacing w:line="480" w:lineRule="auto"/>
      </w:pPr>
      <w:r w:rsidRPr="007F3CE9">
        <w:t>Need for Policy and Practice Guidelines</w:t>
      </w:r>
    </w:p>
    <w:p w:rsidR="00051AFF" w:rsidRPr="007F3CE9" w:rsidRDefault="000A13BB"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 xml:space="preserve">HgbA1c screening is vital to the management of diabetes since it </w:t>
      </w:r>
      <w:r w:rsidR="00954140" w:rsidRPr="007F3CE9">
        <w:rPr>
          <w:rFonts w:ascii="Times New Roman" w:hAnsi="Times New Roman" w:cs="Times New Roman"/>
          <w:sz w:val="24"/>
          <w:szCs w:val="24"/>
        </w:rPr>
        <w:t>is crucial in diagnosing prediabetes</w:t>
      </w:r>
      <w:r w:rsidRPr="007F3CE9">
        <w:rPr>
          <w:rFonts w:ascii="Times New Roman" w:hAnsi="Times New Roman" w:cs="Times New Roman"/>
          <w:sz w:val="24"/>
          <w:szCs w:val="24"/>
        </w:rPr>
        <w:t xml:space="preserve"> and diabetes by measuring the average blood sugar levels. While the A1c goal for diabetic individuals is 7% or less, frequent measurement of average blood sugar levels allows patients to set individuals goals, thus managing diabetes better (Sherwani et al., 2016). From the first quarter of 2018 up to the first quarter of 2019, Mercy Medical Center reported a steady increase, with the highest compliance rate being experienced in the first quarter of 2019 (123%). However, the compliance rate dropped to 32%, 13%, and 6% in the </w:t>
      </w:r>
      <w:r w:rsidR="007F3CE9" w:rsidRPr="007F3CE9">
        <w:rPr>
          <w:rFonts w:ascii="Times New Roman" w:hAnsi="Times New Roman" w:cs="Times New Roman"/>
          <w:sz w:val="24"/>
          <w:szCs w:val="24"/>
        </w:rPr>
        <w:t xml:space="preserve">subsequent </w:t>
      </w:r>
      <w:r w:rsidRPr="007F3CE9">
        <w:rPr>
          <w:rFonts w:ascii="Times New Roman" w:hAnsi="Times New Roman" w:cs="Times New Roman"/>
          <w:sz w:val="24"/>
          <w:szCs w:val="24"/>
        </w:rPr>
        <w:t>quarter</w:t>
      </w:r>
      <w:r w:rsidR="007F3CE9" w:rsidRPr="007F3CE9">
        <w:rPr>
          <w:rFonts w:ascii="Times New Roman" w:hAnsi="Times New Roman" w:cs="Times New Roman"/>
          <w:sz w:val="24"/>
          <w:szCs w:val="24"/>
        </w:rPr>
        <w:t>s</w:t>
      </w:r>
      <w:r w:rsidRPr="007F3CE9">
        <w:rPr>
          <w:rFonts w:ascii="Times New Roman" w:hAnsi="Times New Roman" w:cs="Times New Roman"/>
          <w:sz w:val="24"/>
          <w:szCs w:val="24"/>
        </w:rPr>
        <w:t>. Considering the negative impacts of decreasing compliance on diabetes management, there is a need for organizational policy changes to drive up HgbA1c screening.</w:t>
      </w:r>
    </w:p>
    <w:p w:rsidR="000A13BB" w:rsidRPr="007F3CE9" w:rsidRDefault="000A13BB" w:rsidP="007F3CE9">
      <w:pPr>
        <w:spacing w:after="0" w:line="480" w:lineRule="auto"/>
        <w:rPr>
          <w:rFonts w:ascii="Times New Roman" w:hAnsi="Times New Roman" w:cs="Times New Roman"/>
          <w:b/>
          <w:sz w:val="24"/>
          <w:szCs w:val="24"/>
        </w:rPr>
      </w:pPr>
      <w:r w:rsidRPr="007F3CE9">
        <w:rPr>
          <w:rFonts w:ascii="Times New Roman" w:hAnsi="Times New Roman" w:cs="Times New Roman"/>
          <w:b/>
          <w:sz w:val="24"/>
          <w:szCs w:val="24"/>
        </w:rPr>
        <w:t>HgbA1c Screening Analysis</w:t>
      </w:r>
    </w:p>
    <w:p w:rsidR="0008442F" w:rsidRPr="007F3CE9" w:rsidRDefault="0008442F"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lastRenderedPageBreak/>
        <w:t xml:space="preserve">The organization is faced with two main challenges that contribute to diabetes performance quality non-compliance. These challenges are understaffing and Cultural diversifications. The first challenge is understaffing, where the organization lacked an adequate number of licensed practical nurses, registered nurses, and other personnel needed to perform HgbA1c screening. In quarters where the organization reported low compliance rates, most units were understaffed by 40%. </w:t>
      </w:r>
    </w:p>
    <w:p w:rsidR="0008442F" w:rsidRPr="007F3CE9" w:rsidRDefault="0008442F"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The supply of diabetes specialist nurses was inadequate to meet the high demand for diabetic care (Gillani et al., 2017). This demand was a significant problem because the available number of nurses in the specialist clinic could not provide rapid assessments of problems among individuals with diabetes.  The organization did not implement mandatory overtime due to burnout and shortage associated with working 12-hour shifts. The solution to this challenge is hiring more diabetes specialist nurses to effectively run the diabetes center in the organization. However, implementing this solution will require financial resources if the hospital needs to overcome the underperformances experienced in 2018 and 2019.</w:t>
      </w:r>
    </w:p>
    <w:p w:rsidR="00EB4DED" w:rsidRPr="007F3CE9" w:rsidRDefault="00EB4DED" w:rsidP="007F3CE9">
      <w:pPr>
        <w:spacing w:after="0" w:line="480" w:lineRule="auto"/>
        <w:rPr>
          <w:rFonts w:ascii="Times New Roman" w:hAnsi="Times New Roman" w:cs="Times New Roman"/>
          <w:b/>
          <w:sz w:val="24"/>
          <w:szCs w:val="24"/>
        </w:rPr>
      </w:pPr>
      <w:r w:rsidRPr="007F3CE9">
        <w:rPr>
          <w:rFonts w:ascii="Times New Roman" w:hAnsi="Times New Roman" w:cs="Times New Roman"/>
          <w:b/>
          <w:sz w:val="24"/>
          <w:szCs w:val="24"/>
        </w:rPr>
        <w:t>Cultural Challenges</w:t>
      </w:r>
    </w:p>
    <w:p w:rsidR="0008442F" w:rsidRPr="007F3CE9" w:rsidRDefault="0008442F"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 xml:space="preserve">The second challenge is cultural diversity in the community. The Shakopee demographic reveal that while Whites are the majority at 57%, other races such as Hispanics, Asians, and American Indians exist in the community. Language barriers and cultural challenges are significant challenges towards healthcare access since this community does not share a native language with most healthcare professionals at Mercy Medical Center. This barrier reduces patient and provider satisfaction during the assessment as Hispanic patients have difficulties understanding instructions. At the same time, nurses experience challenges in comprehending </w:t>
      </w:r>
      <w:r w:rsidRPr="007F3CE9">
        <w:rPr>
          <w:rFonts w:ascii="Times New Roman" w:hAnsi="Times New Roman" w:cs="Times New Roman"/>
          <w:sz w:val="24"/>
          <w:szCs w:val="24"/>
        </w:rPr>
        <w:lastRenderedPageBreak/>
        <w:t xml:space="preserve">what patients are communicating, leading to wrong diagnoses and medication (Gillani et al., 2017). </w:t>
      </w:r>
    </w:p>
    <w:p w:rsidR="000A13BB" w:rsidRPr="007F3CE9" w:rsidRDefault="0008442F"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Consequently, many patients do not seek healthcare services for fear of being misunderstood, contributing to low eye exams, foot exams, and HgbA1c screening. To overcome this challenge and increase access to diabetic care, the organization needs to provide interpreter services or hire culturally competent nurses.</w:t>
      </w:r>
    </w:p>
    <w:p w:rsidR="000F5878" w:rsidRPr="007F3CE9" w:rsidRDefault="000F5878" w:rsidP="007F3CE9">
      <w:pPr>
        <w:pStyle w:val="Heading2"/>
        <w:spacing w:line="480" w:lineRule="auto"/>
      </w:pPr>
      <w:r w:rsidRPr="007F3CE9">
        <w:t>Policy and Practice Guidelines for Increasing HgbA1c Screening</w:t>
      </w:r>
    </w:p>
    <w:p w:rsidR="00506B92" w:rsidRPr="007F3CE9" w:rsidRDefault="00506B92" w:rsidP="007F3CE9">
      <w:pPr>
        <w:spacing w:after="0" w:line="480" w:lineRule="auto"/>
        <w:rPr>
          <w:rFonts w:ascii="Times New Roman" w:hAnsi="Times New Roman" w:cs="Times New Roman"/>
          <w:b/>
          <w:sz w:val="24"/>
          <w:szCs w:val="24"/>
        </w:rPr>
      </w:pPr>
      <w:r w:rsidRPr="007F3CE9">
        <w:rPr>
          <w:rFonts w:ascii="Times New Roman" w:hAnsi="Times New Roman" w:cs="Times New Roman"/>
          <w:b/>
          <w:sz w:val="24"/>
          <w:szCs w:val="24"/>
        </w:rPr>
        <w:t>Policy statement</w:t>
      </w:r>
    </w:p>
    <w:p w:rsidR="0059488C" w:rsidRPr="007F3CE9" w:rsidRDefault="0059488C"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 xml:space="preserve">Reduced compliance in HgbA1c Screening poses a risk to diabetes management and control. This policy will guide healthcare workers on overcoming the challenges contributing to non-compliance, thus increasing the screening numbers. On the other hand, the practice guidelines and recommendations provide a framework to avail holistic and patient-centered care in the organization. </w:t>
      </w:r>
    </w:p>
    <w:p w:rsidR="0059488C" w:rsidRPr="007F3CE9" w:rsidRDefault="0059488C" w:rsidP="007F3CE9">
      <w:pPr>
        <w:spacing w:after="0" w:line="480" w:lineRule="auto"/>
        <w:rPr>
          <w:rFonts w:ascii="Times New Roman" w:hAnsi="Times New Roman" w:cs="Times New Roman"/>
          <w:b/>
          <w:sz w:val="24"/>
          <w:szCs w:val="24"/>
        </w:rPr>
      </w:pPr>
      <w:r w:rsidRPr="007F3CE9">
        <w:rPr>
          <w:rFonts w:ascii="Times New Roman" w:hAnsi="Times New Roman" w:cs="Times New Roman"/>
          <w:b/>
          <w:sz w:val="24"/>
          <w:szCs w:val="24"/>
        </w:rPr>
        <w:t>Scope</w:t>
      </w:r>
    </w:p>
    <w:p w:rsidR="00506B92" w:rsidRPr="007F3CE9" w:rsidRDefault="0059488C"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This policy applies to diabetes specialist nurses, physicians, nutritionists, and allied care workers who are involved in diabetes management programs. Other stakeholders include the hospital’s administrator, diabetes specialists, and community health workers who will work together to increase compliance with the patient outreach program intervention.</w:t>
      </w:r>
    </w:p>
    <w:p w:rsidR="0059488C" w:rsidRPr="007F3CE9" w:rsidRDefault="0059488C" w:rsidP="007F3CE9">
      <w:pPr>
        <w:spacing w:after="0" w:line="480" w:lineRule="auto"/>
        <w:rPr>
          <w:rFonts w:ascii="Times New Roman" w:hAnsi="Times New Roman" w:cs="Times New Roman"/>
          <w:b/>
          <w:sz w:val="24"/>
          <w:szCs w:val="24"/>
        </w:rPr>
      </w:pPr>
      <w:r w:rsidRPr="007F3CE9">
        <w:rPr>
          <w:rFonts w:ascii="Times New Roman" w:hAnsi="Times New Roman" w:cs="Times New Roman"/>
          <w:b/>
          <w:sz w:val="24"/>
          <w:szCs w:val="24"/>
        </w:rPr>
        <w:t>Practice Guidelines</w:t>
      </w:r>
    </w:p>
    <w:p w:rsidR="00F87645" w:rsidRPr="007F3CE9" w:rsidRDefault="00F87645"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 xml:space="preserve">For Mercy Medical Center to address underperformance in HgbA1c measurement and screening, an integrated team of diabetes specialist nurses and diabetes physicians should be formed. Furman et al. (2019) suggest that Mercy Medical Center can improve HgbA1c screening by implementing a patient outreach program. The hospital’s nurse navigators and patient care </w:t>
      </w:r>
      <w:r w:rsidRPr="007F3CE9">
        <w:rPr>
          <w:rFonts w:ascii="Times New Roman" w:hAnsi="Times New Roman" w:cs="Times New Roman"/>
          <w:sz w:val="24"/>
          <w:szCs w:val="24"/>
        </w:rPr>
        <w:lastRenderedPageBreak/>
        <w:t xml:space="preserve">coordinators should assess diabetic populations and initiate mail and telephone call reminders to drive follow-up visits. This intervention will reduce HgbA1c under testing and decrease the percentage of patients with poor glycemic control by informing them of the importance of screening to control diabetes. New practice guidelines should be developed to increase compliance with the patient outreach program intervention. </w:t>
      </w:r>
    </w:p>
    <w:p w:rsidR="00F87645" w:rsidRPr="007F3CE9" w:rsidRDefault="00F87645"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The primary focus should be on optimizing glycemic control. This control can be achieved through self-management programs, adopting a healthy diet, strict adherence to treatment, and physical activity. The critical practice is patient education, where written and verbal information should be pros and the general public. Other practices include peer support, family health support, glycemic control, blood pressure control, lipidaemia control, and lifestyle changes. In driving for all these changes, there is a need for guidelines to drive the change. These guidelines include respecting evidence-based practices, emphasizing quality care, fostering collaboration and communication among key stakeholders, and respect for all involved parties, especially patients. There should also be a flexible format that accommodates individual-specific needs and transparency to enhance confidence in the process</w:t>
      </w:r>
      <w:r w:rsidRPr="007F3CE9">
        <w:rPr>
          <w:sz w:val="24"/>
          <w:szCs w:val="24"/>
        </w:rPr>
        <w:t xml:space="preserve"> </w:t>
      </w:r>
      <w:r w:rsidRPr="007F3CE9">
        <w:rPr>
          <w:rFonts w:ascii="Times New Roman" w:hAnsi="Times New Roman" w:cs="Times New Roman"/>
          <w:sz w:val="24"/>
          <w:szCs w:val="24"/>
        </w:rPr>
        <w:t xml:space="preserve">(Imai et al., 2021). </w:t>
      </w:r>
    </w:p>
    <w:p w:rsidR="00215116" w:rsidRPr="007F3CE9" w:rsidRDefault="00215116"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An integrated team of specialists should implement specific interventions developed by the team, champion for the implementation of these interventions in the organization, and collaborate with community health workers in reaching out to patients (Gillani et al., 2017). This approach will address the issues of cultural diversity since the team formed will be diverse or culturally competent to provide culturally congruent care. An ethical action that the stakeholders can take is supporting and championing for change in guidelines implementation to improve compliance.</w:t>
      </w:r>
    </w:p>
    <w:p w:rsidR="00F87645" w:rsidRPr="007F3CE9" w:rsidRDefault="00F87645" w:rsidP="007F3CE9">
      <w:pPr>
        <w:pStyle w:val="Heading2"/>
        <w:spacing w:line="480" w:lineRule="auto"/>
      </w:pPr>
      <w:r w:rsidRPr="007F3CE9">
        <w:lastRenderedPageBreak/>
        <w:t>Effects of Environmental Factors</w:t>
      </w:r>
    </w:p>
    <w:p w:rsidR="00076A4A" w:rsidRPr="007F3CE9" w:rsidRDefault="00076A4A"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Implementing the HgbA1c screening analysis and practice guidelines often depends on several environmental factors. The efficacy of the screening analysis is significantly affected by a rapid increase in cases of diabetes or a reduced number of hospital visits, consequently resulting in less screening</w:t>
      </w:r>
      <w:r w:rsidRPr="0001558B">
        <w:rPr>
          <w:rFonts w:ascii="Times New Roman" w:hAnsi="Times New Roman" w:cs="Times New Roman"/>
          <w:sz w:val="24"/>
          <w:szCs w:val="24"/>
          <w:highlight w:val="yellow"/>
        </w:rPr>
        <w:t xml:space="preserve">. </w:t>
      </w:r>
      <w:r w:rsidR="002124D9" w:rsidRPr="0001558B">
        <w:rPr>
          <w:rFonts w:ascii="Times New Roman" w:hAnsi="Times New Roman" w:cs="Times New Roman"/>
          <w:sz w:val="24"/>
          <w:szCs w:val="24"/>
          <w:highlight w:val="yellow"/>
        </w:rPr>
        <w:t>Shakopee is a small community in Minnesota with a very small population. This environmental factor coupled with Shakopee’s built environment makes it difficult for Mercy Medical Center to have adequate staffing numbers for their various departments.</w:t>
      </w:r>
      <w:r w:rsidR="002124D9" w:rsidRPr="002124D9">
        <w:rPr>
          <w:rFonts w:ascii="Times New Roman" w:hAnsi="Times New Roman" w:cs="Times New Roman"/>
          <w:sz w:val="24"/>
          <w:szCs w:val="24"/>
        </w:rPr>
        <w:t xml:space="preserve"> </w:t>
      </w:r>
      <w:r w:rsidRPr="007F3CE9">
        <w:rPr>
          <w:rFonts w:ascii="Times New Roman" w:hAnsi="Times New Roman" w:cs="Times New Roman"/>
          <w:sz w:val="24"/>
          <w:szCs w:val="24"/>
        </w:rPr>
        <w:t>Factors such as understaffing imply that the organization has inadequate licensed practical nurses, registered nurses, and other personnel needed to conduct HgbA1c screening. Other factors include social determinants of health such as socioeconomic factors, language, and inadequate access to care, which significantly contribute to non-compliance to the set thresholds</w:t>
      </w:r>
      <w:r w:rsidRPr="007F3CE9">
        <w:rPr>
          <w:sz w:val="24"/>
          <w:szCs w:val="24"/>
        </w:rPr>
        <w:t xml:space="preserve"> </w:t>
      </w:r>
      <w:r w:rsidRPr="007F3CE9">
        <w:rPr>
          <w:rFonts w:ascii="Times New Roman" w:hAnsi="Times New Roman" w:cs="Times New Roman"/>
          <w:sz w:val="24"/>
          <w:szCs w:val="24"/>
        </w:rPr>
        <w:t>(Furman et al., 2019).</w:t>
      </w:r>
    </w:p>
    <w:p w:rsidR="00076A4A" w:rsidRPr="007F3CE9" w:rsidRDefault="00076A4A" w:rsidP="007F3CE9">
      <w:pPr>
        <w:pStyle w:val="Heading2"/>
        <w:spacing w:line="480" w:lineRule="auto"/>
      </w:pPr>
      <w:r w:rsidRPr="007F3CE9">
        <w:t>Stakeholder Involvement in Implementing Proposed Strategies</w:t>
      </w:r>
    </w:p>
    <w:p w:rsidR="00954140" w:rsidRDefault="00954140"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The hospital should include key stakeholders, including the hospital’s administrator, the integrated team of diabetes specialists, and community health services staff. The hospital’s administrator should lead the integrated team in implementing the intervention. In contrast, the integrated team should champion the implementation of the intervention in the organization and collaborate with community health workers in reaching out to patients (Gillani et al., 2017). Key administrative personnel such as the chief executive officer, head of operations, or director of nursing can also be called upon to ensure the success of these policy changes. These individuals can form a quality committee to share their expertise and monitor the effective implementation of the proposed strategies.</w:t>
      </w:r>
    </w:p>
    <w:p w:rsidR="002124D9" w:rsidRPr="007F3CE9" w:rsidRDefault="002124D9" w:rsidP="007F3CE9">
      <w:pPr>
        <w:spacing w:after="0" w:line="480" w:lineRule="auto"/>
        <w:ind w:firstLine="720"/>
        <w:rPr>
          <w:rFonts w:ascii="Times New Roman" w:hAnsi="Times New Roman" w:cs="Times New Roman"/>
          <w:sz w:val="24"/>
          <w:szCs w:val="24"/>
        </w:rPr>
      </w:pPr>
      <w:r w:rsidRPr="0001558B">
        <w:rPr>
          <w:rFonts w:ascii="Times New Roman" w:hAnsi="Times New Roman" w:cs="Times New Roman"/>
          <w:sz w:val="24"/>
          <w:szCs w:val="24"/>
        </w:rPr>
        <w:lastRenderedPageBreak/>
        <w:t>The m</w:t>
      </w:r>
      <w:r w:rsidR="00A13636" w:rsidRPr="0001558B">
        <w:rPr>
          <w:rFonts w:ascii="Times New Roman" w:hAnsi="Times New Roman" w:cs="Times New Roman"/>
          <w:sz w:val="24"/>
          <w:szCs w:val="24"/>
        </w:rPr>
        <w:t>a</w:t>
      </w:r>
      <w:r w:rsidRPr="0001558B">
        <w:rPr>
          <w:rFonts w:ascii="Times New Roman" w:hAnsi="Times New Roman" w:cs="Times New Roman"/>
          <w:sz w:val="24"/>
          <w:szCs w:val="24"/>
        </w:rPr>
        <w:t xml:space="preserve">in stakeholders are the hospital administrator, </w:t>
      </w:r>
      <w:r w:rsidR="00A13636" w:rsidRPr="0001558B">
        <w:rPr>
          <w:rFonts w:ascii="Times New Roman" w:hAnsi="Times New Roman" w:cs="Times New Roman"/>
          <w:sz w:val="24"/>
          <w:szCs w:val="24"/>
        </w:rPr>
        <w:t xml:space="preserve">and the integrated team of diabetes specialist made up of nurses and physicians. </w:t>
      </w:r>
      <w:r w:rsidR="00BF0761" w:rsidRPr="006B74A3">
        <w:rPr>
          <w:rFonts w:ascii="Times New Roman" w:hAnsi="Times New Roman" w:cs="Times New Roman"/>
          <w:sz w:val="24"/>
          <w:szCs w:val="24"/>
          <w:highlight w:val="yellow"/>
        </w:rPr>
        <w:t>Apart from patients, other stakeholders include the integrated team of diabetes specialists</w:t>
      </w:r>
      <w:r w:rsidR="006B74A3" w:rsidRPr="006B74A3">
        <w:rPr>
          <w:rFonts w:ascii="Times New Roman" w:hAnsi="Times New Roman" w:cs="Times New Roman"/>
          <w:sz w:val="24"/>
          <w:szCs w:val="24"/>
          <w:highlight w:val="yellow"/>
        </w:rPr>
        <w:t xml:space="preserve"> (nurses and physicians), </w:t>
      </w:r>
      <w:r w:rsidR="00BF0761" w:rsidRPr="006B74A3">
        <w:rPr>
          <w:rFonts w:ascii="Times New Roman" w:hAnsi="Times New Roman" w:cs="Times New Roman"/>
          <w:sz w:val="24"/>
          <w:szCs w:val="24"/>
          <w:highlight w:val="yellow"/>
        </w:rPr>
        <w:t xml:space="preserve">community health </w:t>
      </w:r>
      <w:r w:rsidR="006B74A3" w:rsidRPr="006B74A3">
        <w:rPr>
          <w:rFonts w:ascii="Times New Roman" w:hAnsi="Times New Roman" w:cs="Times New Roman"/>
          <w:sz w:val="24"/>
          <w:szCs w:val="24"/>
          <w:highlight w:val="yellow"/>
        </w:rPr>
        <w:t>worker, and key</w:t>
      </w:r>
      <w:r w:rsidR="00BF0761" w:rsidRPr="006B74A3">
        <w:rPr>
          <w:rFonts w:ascii="Times New Roman" w:hAnsi="Times New Roman" w:cs="Times New Roman"/>
          <w:sz w:val="24"/>
          <w:szCs w:val="24"/>
          <w:highlight w:val="yellow"/>
        </w:rPr>
        <w:t xml:space="preserve"> administrative personnel such as the chief executive </w:t>
      </w:r>
      <w:r w:rsidR="006B74A3" w:rsidRPr="006B74A3">
        <w:rPr>
          <w:rFonts w:ascii="Times New Roman" w:hAnsi="Times New Roman" w:cs="Times New Roman"/>
          <w:sz w:val="24"/>
          <w:szCs w:val="24"/>
          <w:highlight w:val="yellow"/>
        </w:rPr>
        <w:t xml:space="preserve">officer, head of operations, and the </w:t>
      </w:r>
      <w:r w:rsidR="006B74A3">
        <w:rPr>
          <w:rFonts w:ascii="Times New Roman" w:hAnsi="Times New Roman" w:cs="Times New Roman"/>
          <w:sz w:val="24"/>
          <w:szCs w:val="24"/>
          <w:highlight w:val="yellow"/>
        </w:rPr>
        <w:t xml:space="preserve">director of nursing. </w:t>
      </w:r>
      <w:r w:rsidR="00A13636" w:rsidRPr="006B74A3">
        <w:rPr>
          <w:rFonts w:ascii="Times New Roman" w:hAnsi="Times New Roman" w:cs="Times New Roman"/>
          <w:sz w:val="24"/>
          <w:szCs w:val="24"/>
          <w:highlight w:val="yellow"/>
        </w:rPr>
        <w:t>To increase stakeholder e</w:t>
      </w:r>
      <w:r w:rsidR="00A13636" w:rsidRPr="00655C4E">
        <w:rPr>
          <w:rFonts w:ascii="Times New Roman" w:hAnsi="Times New Roman" w:cs="Times New Roman"/>
          <w:sz w:val="24"/>
          <w:szCs w:val="24"/>
          <w:highlight w:val="yellow"/>
        </w:rPr>
        <w:t>ngagement, it is crucial to foster effective communication among them and enhance collaboration. The communication should be timely, consistent, scheduled, and honest. The best strategy is to involve rather than inform them.</w:t>
      </w:r>
      <w:r w:rsidR="00760989" w:rsidRPr="00655C4E">
        <w:rPr>
          <w:rFonts w:ascii="Times New Roman" w:hAnsi="Times New Roman" w:cs="Times New Roman"/>
          <w:sz w:val="24"/>
          <w:szCs w:val="24"/>
          <w:highlight w:val="yellow"/>
        </w:rPr>
        <w:t xml:space="preserve"> Identifying and prioritizing key stakeholders and aligning</w:t>
      </w:r>
      <w:r w:rsidR="00E54E22" w:rsidRPr="00655C4E">
        <w:rPr>
          <w:rFonts w:ascii="Times New Roman" w:hAnsi="Times New Roman" w:cs="Times New Roman"/>
          <w:sz w:val="24"/>
          <w:szCs w:val="24"/>
          <w:highlight w:val="yellow"/>
        </w:rPr>
        <w:t xml:space="preserve"> all </w:t>
      </w:r>
      <w:r w:rsidR="00E54E22" w:rsidRPr="00D3219F">
        <w:rPr>
          <w:rFonts w:ascii="Times New Roman" w:hAnsi="Times New Roman" w:cs="Times New Roman"/>
          <w:sz w:val="24"/>
          <w:szCs w:val="24"/>
          <w:highlight w:val="yellow"/>
        </w:rPr>
        <w:t>stake</w:t>
      </w:r>
      <w:r w:rsidR="00760989" w:rsidRPr="00D3219F">
        <w:rPr>
          <w:rFonts w:ascii="Times New Roman" w:hAnsi="Times New Roman" w:cs="Times New Roman"/>
          <w:sz w:val="24"/>
          <w:szCs w:val="24"/>
          <w:highlight w:val="yellow"/>
        </w:rPr>
        <w:t xml:space="preserve">holder expectations </w:t>
      </w:r>
      <w:r w:rsidR="00E54E22" w:rsidRPr="00D3219F">
        <w:rPr>
          <w:rFonts w:ascii="Times New Roman" w:hAnsi="Times New Roman" w:cs="Times New Roman"/>
          <w:sz w:val="24"/>
          <w:szCs w:val="24"/>
          <w:highlight w:val="yellow"/>
        </w:rPr>
        <w:t xml:space="preserve">to </w:t>
      </w:r>
      <w:r w:rsidR="00B31DCA" w:rsidRPr="00D3219F">
        <w:rPr>
          <w:rFonts w:ascii="Times New Roman" w:hAnsi="Times New Roman" w:cs="Times New Roman"/>
          <w:sz w:val="24"/>
          <w:szCs w:val="24"/>
          <w:highlight w:val="yellow"/>
        </w:rPr>
        <w:t xml:space="preserve">the proposes </w:t>
      </w:r>
      <w:r w:rsidR="00706F30" w:rsidRPr="00D3219F">
        <w:rPr>
          <w:rFonts w:ascii="Times New Roman" w:hAnsi="Times New Roman" w:cs="Times New Roman"/>
          <w:sz w:val="24"/>
          <w:szCs w:val="24"/>
          <w:highlight w:val="yellow"/>
        </w:rPr>
        <w:t>guidelines</w:t>
      </w:r>
      <w:r w:rsidR="00B31DCA" w:rsidRPr="00D3219F">
        <w:rPr>
          <w:rFonts w:ascii="Times New Roman" w:hAnsi="Times New Roman" w:cs="Times New Roman"/>
          <w:sz w:val="24"/>
          <w:szCs w:val="24"/>
          <w:highlight w:val="yellow"/>
        </w:rPr>
        <w:t xml:space="preserve"> are key to increasing </w:t>
      </w:r>
      <w:r w:rsidR="00706F30" w:rsidRPr="00D3219F">
        <w:rPr>
          <w:rFonts w:ascii="Times New Roman" w:hAnsi="Times New Roman" w:cs="Times New Roman"/>
          <w:sz w:val="24"/>
          <w:szCs w:val="24"/>
          <w:highlight w:val="yellow"/>
        </w:rPr>
        <w:t>stakeholder collaboration</w:t>
      </w:r>
      <w:r w:rsidR="00D3219F">
        <w:rPr>
          <w:rFonts w:ascii="Times New Roman" w:hAnsi="Times New Roman" w:cs="Times New Roman"/>
          <w:sz w:val="24"/>
          <w:szCs w:val="24"/>
          <w:highlight w:val="yellow"/>
        </w:rPr>
        <w:t xml:space="preserve"> </w:t>
      </w:r>
      <w:r w:rsidR="00D3219F" w:rsidRPr="00D3219F">
        <w:rPr>
          <w:rFonts w:ascii="Times New Roman" w:hAnsi="Times New Roman" w:cs="Times New Roman"/>
          <w:sz w:val="24"/>
          <w:szCs w:val="24"/>
          <w:highlight w:val="yellow"/>
        </w:rPr>
        <w:t>(Gillani et al., 2017).</w:t>
      </w:r>
      <w:r w:rsidR="00706F30">
        <w:rPr>
          <w:rFonts w:ascii="Times New Roman" w:hAnsi="Times New Roman" w:cs="Times New Roman"/>
          <w:sz w:val="24"/>
          <w:szCs w:val="24"/>
        </w:rPr>
        <w:t xml:space="preserve"> </w:t>
      </w:r>
    </w:p>
    <w:p w:rsidR="00954140" w:rsidRPr="007F3CE9" w:rsidRDefault="00954140" w:rsidP="007F3CE9">
      <w:pPr>
        <w:pStyle w:val="Heading2"/>
        <w:spacing w:line="480" w:lineRule="auto"/>
      </w:pPr>
      <w:r w:rsidRPr="007F3CE9">
        <w:t>Conclusion</w:t>
      </w:r>
    </w:p>
    <w:p w:rsidR="00954140" w:rsidRPr="007F3CE9" w:rsidRDefault="00577B2B" w:rsidP="007F3CE9">
      <w:pPr>
        <w:spacing w:after="0" w:line="480" w:lineRule="auto"/>
        <w:ind w:firstLine="720"/>
        <w:rPr>
          <w:rFonts w:ascii="Times New Roman" w:hAnsi="Times New Roman" w:cs="Times New Roman"/>
          <w:sz w:val="24"/>
          <w:szCs w:val="24"/>
        </w:rPr>
      </w:pPr>
      <w:r w:rsidRPr="007F3CE9">
        <w:rPr>
          <w:rFonts w:ascii="Times New Roman" w:hAnsi="Times New Roman" w:cs="Times New Roman"/>
          <w:sz w:val="24"/>
          <w:szCs w:val="24"/>
        </w:rPr>
        <w:t>HgbA1c screening is vital to the management of diabetes since it is crucial in diagnosing prediabetes and diabetes by measuring the average blood sugar levels. Understaffing and cultural differences are some of the main challenges that hinder HgbA1c screening, thus requiring policy changes to address the issue. Implementing HgbA1c screening analysis can be complemented by specific practice guidelines to ensure strict compliance with the set local, state, and federal thresholds.</w:t>
      </w:r>
      <w:r w:rsidR="00760989">
        <w:rPr>
          <w:rFonts w:ascii="Times New Roman" w:hAnsi="Times New Roman" w:cs="Times New Roman"/>
          <w:sz w:val="24"/>
          <w:szCs w:val="24"/>
        </w:rPr>
        <w:t xml:space="preserve"> </w:t>
      </w:r>
    </w:p>
    <w:p w:rsidR="00954140" w:rsidRDefault="00954140"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Default="007F3CE9" w:rsidP="007F3CE9">
      <w:pPr>
        <w:spacing w:after="0" w:line="480" w:lineRule="auto"/>
        <w:rPr>
          <w:rFonts w:ascii="Times New Roman" w:hAnsi="Times New Roman" w:cs="Times New Roman"/>
          <w:sz w:val="24"/>
          <w:szCs w:val="24"/>
        </w:rPr>
      </w:pPr>
    </w:p>
    <w:p w:rsidR="007F3CE9" w:rsidRPr="007F3CE9" w:rsidRDefault="007F3CE9" w:rsidP="007F3CE9">
      <w:pPr>
        <w:spacing w:after="0" w:line="480" w:lineRule="auto"/>
        <w:rPr>
          <w:rFonts w:ascii="Times New Roman" w:hAnsi="Times New Roman" w:cs="Times New Roman"/>
          <w:sz w:val="24"/>
          <w:szCs w:val="24"/>
        </w:rPr>
      </w:pPr>
    </w:p>
    <w:p w:rsidR="007F3CE9" w:rsidRPr="007F3CE9" w:rsidRDefault="007F3CE9" w:rsidP="007F3CE9">
      <w:pPr>
        <w:pStyle w:val="Heading2"/>
        <w:spacing w:line="480" w:lineRule="auto"/>
      </w:pPr>
      <w:r w:rsidRPr="007F3CE9">
        <w:lastRenderedPageBreak/>
        <w:t>References</w:t>
      </w:r>
    </w:p>
    <w:p w:rsidR="007F3CE9" w:rsidRPr="007F3CE9" w:rsidRDefault="007F3CE9" w:rsidP="007F3CE9">
      <w:pPr>
        <w:pStyle w:val="NormalWeb"/>
        <w:spacing w:before="0" w:beforeAutospacing="0" w:after="0" w:afterAutospacing="0" w:line="480" w:lineRule="auto"/>
        <w:ind w:left="450" w:hanging="450"/>
        <w:rPr>
          <w:color w:val="000000"/>
        </w:rPr>
      </w:pPr>
      <w:r w:rsidRPr="007F3CE9">
        <w:rPr>
          <w:color w:val="000000"/>
        </w:rPr>
        <w:t xml:space="preserve">Furman, R., Harlan, T., LeBlanc, L., Furman, E., Liptak, G., &amp; Fonseca, V. (2019). Diabetes INSIDE: </w:t>
      </w:r>
      <w:r w:rsidR="0005541D">
        <w:rPr>
          <w:color w:val="000000"/>
        </w:rPr>
        <w:t>Improving topulation HbA1c testing and targets in primary care with a quality i</w:t>
      </w:r>
      <w:r w:rsidRPr="007F3CE9">
        <w:rPr>
          <w:color w:val="000000"/>
        </w:rPr>
        <w:t>nitiative. </w:t>
      </w:r>
      <w:r w:rsidRPr="007F3CE9">
        <w:rPr>
          <w:i/>
          <w:iCs/>
          <w:color w:val="000000"/>
        </w:rPr>
        <w:t>Diabetes Care</w:t>
      </w:r>
      <w:r w:rsidRPr="007F3CE9">
        <w:rPr>
          <w:color w:val="000000"/>
        </w:rPr>
        <w:t>, </w:t>
      </w:r>
      <w:r w:rsidRPr="007F3CE9">
        <w:rPr>
          <w:i/>
          <w:iCs/>
          <w:color w:val="000000"/>
        </w:rPr>
        <w:t>43</w:t>
      </w:r>
      <w:r w:rsidRPr="007F3CE9">
        <w:rPr>
          <w:color w:val="000000"/>
        </w:rPr>
        <w:t>(2). https://doi.org/10.2337/dc19-0454</w:t>
      </w:r>
    </w:p>
    <w:p w:rsidR="007F3CE9" w:rsidRPr="007F3CE9" w:rsidRDefault="007F3CE9" w:rsidP="007F3CE9">
      <w:pPr>
        <w:pStyle w:val="NormalWeb"/>
        <w:spacing w:before="0" w:beforeAutospacing="0" w:after="0" w:afterAutospacing="0" w:line="480" w:lineRule="auto"/>
        <w:ind w:left="450" w:hanging="450"/>
        <w:rPr>
          <w:color w:val="000000"/>
        </w:rPr>
      </w:pPr>
      <w:r w:rsidRPr="007F3CE9">
        <w:rPr>
          <w:color w:val="000000"/>
        </w:rPr>
        <w:t>Gillani, A., Usman, M., Batool, N., Mohamed Ibrahim, M., &amp; Fang, Y. (2017). Assessment of diet compliance and factors affecting compliance among diabetes patients in Pakistan. </w:t>
      </w:r>
      <w:r w:rsidRPr="007F3CE9">
        <w:rPr>
          <w:i/>
          <w:iCs/>
          <w:color w:val="000000"/>
        </w:rPr>
        <w:t>Primary Care Diabetes</w:t>
      </w:r>
      <w:r w:rsidRPr="007F3CE9">
        <w:rPr>
          <w:color w:val="000000"/>
        </w:rPr>
        <w:t>, </w:t>
      </w:r>
      <w:r w:rsidRPr="007F3CE9">
        <w:rPr>
          <w:i/>
          <w:iCs/>
          <w:color w:val="000000"/>
        </w:rPr>
        <w:t>11</w:t>
      </w:r>
      <w:r w:rsidRPr="007F3CE9">
        <w:rPr>
          <w:color w:val="000000"/>
        </w:rPr>
        <w:t>. https://doi.org/10.1016/j.pcd.2017.10.008</w:t>
      </w:r>
    </w:p>
    <w:p w:rsidR="007F3CE9" w:rsidRPr="007F3CE9" w:rsidRDefault="007F3CE9" w:rsidP="007F3CE9">
      <w:pPr>
        <w:pStyle w:val="NormalWeb"/>
        <w:spacing w:before="0" w:beforeAutospacing="0" w:after="0" w:afterAutospacing="0" w:line="480" w:lineRule="auto"/>
        <w:ind w:left="450" w:hanging="450"/>
        <w:rPr>
          <w:color w:val="000000"/>
        </w:rPr>
      </w:pPr>
      <w:r w:rsidRPr="007F3CE9">
        <w:rPr>
          <w:color w:val="000000"/>
        </w:rPr>
        <w:t>Imai, C., Li, L., Hardie, R., &amp; Georgiou, A. (2021). Adherence to guideline-recommended HbA1c testing frequency and better outcomes in patients with type 2 diabetes: a 5-year retrospective cohort study in Australian general practice. </w:t>
      </w:r>
      <w:r w:rsidRPr="007F3CE9">
        <w:rPr>
          <w:i/>
          <w:iCs/>
          <w:color w:val="000000"/>
        </w:rPr>
        <w:t>BMJ Quality &amp; Safety</w:t>
      </w:r>
      <w:r w:rsidRPr="007F3CE9">
        <w:rPr>
          <w:color w:val="000000"/>
        </w:rPr>
        <w:t>. https://doi.org/10.1136/bmjqs-2020-012026</w:t>
      </w:r>
    </w:p>
    <w:p w:rsidR="007F3CE9" w:rsidRPr="007F3CE9" w:rsidRDefault="007F3CE9" w:rsidP="007F3CE9">
      <w:pPr>
        <w:pStyle w:val="NormalWeb"/>
        <w:spacing w:before="0" w:beforeAutospacing="0" w:after="0" w:afterAutospacing="0" w:line="480" w:lineRule="auto"/>
        <w:ind w:left="450" w:hanging="450"/>
        <w:rPr>
          <w:color w:val="000000"/>
        </w:rPr>
      </w:pPr>
      <w:r w:rsidRPr="007F3CE9">
        <w:rPr>
          <w:color w:val="000000"/>
        </w:rPr>
        <w:t>Sherwani, S., Khan, H., Ekhzaimy, A., Masood, A., &amp; Sakharkar, M.</w:t>
      </w:r>
      <w:r w:rsidR="0005541D">
        <w:rPr>
          <w:color w:val="000000"/>
        </w:rPr>
        <w:t xml:space="preserve"> (2016). Significance of HbA1c t</w:t>
      </w:r>
      <w:r w:rsidR="007B01B4">
        <w:rPr>
          <w:color w:val="000000"/>
        </w:rPr>
        <w:t>est in diagnosis and prognosis of diabetic p</w:t>
      </w:r>
      <w:bookmarkStart w:id="0" w:name="_GoBack"/>
      <w:bookmarkEnd w:id="0"/>
      <w:r w:rsidRPr="007F3CE9">
        <w:rPr>
          <w:color w:val="000000"/>
        </w:rPr>
        <w:t>atients. </w:t>
      </w:r>
      <w:r w:rsidRPr="007F3CE9">
        <w:rPr>
          <w:i/>
          <w:iCs/>
          <w:color w:val="000000"/>
        </w:rPr>
        <w:t>Biomarker Insights</w:t>
      </w:r>
      <w:r w:rsidRPr="007F3CE9">
        <w:rPr>
          <w:color w:val="000000"/>
        </w:rPr>
        <w:t>, </w:t>
      </w:r>
      <w:r w:rsidRPr="007F3CE9">
        <w:rPr>
          <w:i/>
          <w:iCs/>
          <w:color w:val="000000"/>
        </w:rPr>
        <w:t>11</w:t>
      </w:r>
      <w:r w:rsidRPr="007F3CE9">
        <w:rPr>
          <w:color w:val="000000"/>
        </w:rPr>
        <w:t>. https://doi.org/10.4137/bmi.s38440</w:t>
      </w:r>
    </w:p>
    <w:p w:rsidR="00954140" w:rsidRPr="00577B2B" w:rsidRDefault="00954140" w:rsidP="007F3CE9">
      <w:pPr>
        <w:spacing w:after="0" w:line="480" w:lineRule="auto"/>
        <w:rPr>
          <w:rFonts w:ascii="Times New Roman" w:hAnsi="Times New Roman" w:cs="Times New Roman"/>
          <w:sz w:val="24"/>
          <w:szCs w:val="24"/>
        </w:rPr>
      </w:pPr>
    </w:p>
    <w:sectPr w:rsidR="00954140" w:rsidRPr="00577B2B">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B23" w:rsidRDefault="00780B23" w:rsidP="000C395D">
      <w:pPr>
        <w:spacing w:after="0" w:line="240" w:lineRule="auto"/>
      </w:pPr>
      <w:r>
        <w:separator/>
      </w:r>
    </w:p>
  </w:endnote>
  <w:endnote w:type="continuationSeparator" w:id="0">
    <w:p w:rsidR="00780B23" w:rsidRDefault="00780B23" w:rsidP="000C3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B23" w:rsidRDefault="00780B23" w:rsidP="000C395D">
      <w:pPr>
        <w:spacing w:after="0" w:line="240" w:lineRule="auto"/>
      </w:pPr>
      <w:r>
        <w:separator/>
      </w:r>
    </w:p>
  </w:footnote>
  <w:footnote w:type="continuationSeparator" w:id="0">
    <w:p w:rsidR="00780B23" w:rsidRDefault="00780B23" w:rsidP="000C39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95D" w:rsidRPr="000C395D" w:rsidRDefault="000C395D">
    <w:pPr>
      <w:pStyle w:val="Header"/>
      <w:rPr>
        <w:rFonts w:ascii="Times New Roman" w:hAnsi="Times New Roman" w:cs="Times New Roman"/>
        <w:sz w:val="24"/>
      </w:rPr>
    </w:pPr>
    <w:r w:rsidRPr="000C395D">
      <w:rPr>
        <w:rFonts w:ascii="Times New Roman" w:hAnsi="Times New Roman" w:cs="Times New Roman"/>
        <w:sz w:val="24"/>
      </w:rPr>
      <w:tab/>
    </w:r>
    <w:r w:rsidRPr="000C395D">
      <w:rPr>
        <w:rFonts w:ascii="Times New Roman" w:hAnsi="Times New Roman" w:cs="Times New Roman"/>
        <w:sz w:val="24"/>
      </w:rPr>
      <w:tab/>
    </w:r>
    <w:r w:rsidRPr="000C395D">
      <w:rPr>
        <w:rFonts w:ascii="Times New Roman" w:hAnsi="Times New Roman" w:cs="Times New Roman"/>
        <w:sz w:val="24"/>
      </w:rPr>
      <w:fldChar w:fldCharType="begin"/>
    </w:r>
    <w:r w:rsidRPr="000C395D">
      <w:rPr>
        <w:rFonts w:ascii="Times New Roman" w:hAnsi="Times New Roman" w:cs="Times New Roman"/>
        <w:sz w:val="24"/>
      </w:rPr>
      <w:instrText xml:space="preserve"> PAGE   \* MERGEFORMAT </w:instrText>
    </w:r>
    <w:r w:rsidRPr="000C395D">
      <w:rPr>
        <w:rFonts w:ascii="Times New Roman" w:hAnsi="Times New Roman" w:cs="Times New Roman"/>
        <w:sz w:val="24"/>
      </w:rPr>
      <w:fldChar w:fldCharType="separate"/>
    </w:r>
    <w:r w:rsidR="007B01B4">
      <w:rPr>
        <w:rFonts w:ascii="Times New Roman" w:hAnsi="Times New Roman" w:cs="Times New Roman"/>
        <w:noProof/>
        <w:sz w:val="24"/>
      </w:rPr>
      <w:t>1</w:t>
    </w:r>
    <w:r w:rsidRPr="000C395D">
      <w:rPr>
        <w:rFonts w:ascii="Times New Roman" w:hAnsi="Times New Roman" w:cs="Times New Roman"/>
        <w:noProof/>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EwMjI0MzQ0NrA0MDRV0lEKTi0uzszPAykwqgUACe+BqywAAAA="/>
  </w:docVars>
  <w:rsids>
    <w:rsidRoot w:val="000C395D"/>
    <w:rsid w:val="00002C00"/>
    <w:rsid w:val="0001558B"/>
    <w:rsid w:val="00051AFF"/>
    <w:rsid w:val="0005541D"/>
    <w:rsid w:val="00076A4A"/>
    <w:rsid w:val="0008442F"/>
    <w:rsid w:val="00086321"/>
    <w:rsid w:val="000A13BB"/>
    <w:rsid w:val="000C395D"/>
    <w:rsid w:val="000F5878"/>
    <w:rsid w:val="002124D9"/>
    <w:rsid w:val="00215116"/>
    <w:rsid w:val="002C1C53"/>
    <w:rsid w:val="00387FEB"/>
    <w:rsid w:val="003B3690"/>
    <w:rsid w:val="00506B92"/>
    <w:rsid w:val="00577B2B"/>
    <w:rsid w:val="0059488C"/>
    <w:rsid w:val="00655C4E"/>
    <w:rsid w:val="006B74A3"/>
    <w:rsid w:val="006C1F6B"/>
    <w:rsid w:val="006D6C3A"/>
    <w:rsid w:val="006E2E7F"/>
    <w:rsid w:val="00706F30"/>
    <w:rsid w:val="00760989"/>
    <w:rsid w:val="00780B23"/>
    <w:rsid w:val="007B01B4"/>
    <w:rsid w:val="007F3CE9"/>
    <w:rsid w:val="00954140"/>
    <w:rsid w:val="00A13636"/>
    <w:rsid w:val="00A153CA"/>
    <w:rsid w:val="00AD61CE"/>
    <w:rsid w:val="00B31DCA"/>
    <w:rsid w:val="00BF0761"/>
    <w:rsid w:val="00C636A8"/>
    <w:rsid w:val="00CC71F8"/>
    <w:rsid w:val="00D3219F"/>
    <w:rsid w:val="00DF7371"/>
    <w:rsid w:val="00E54E22"/>
    <w:rsid w:val="00EB4DED"/>
    <w:rsid w:val="00F8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5BEF4"/>
  <w15:chartTrackingRefBased/>
  <w15:docId w15:val="{25377465-72E9-427D-A8A7-1DF5A07C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F3CE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7F3CE9"/>
    <w:pPr>
      <w:keepNext/>
      <w:keepLines/>
      <w:spacing w:after="0"/>
      <w:jc w:val="center"/>
      <w:outlineLvl w:val="1"/>
    </w:pPr>
    <w:rPr>
      <w:rFonts w:ascii="Times New Roman" w:eastAsiaTheme="majorEastAsia" w:hAnsi="Times New Roman" w:cstheme="majorBidi"/>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F3CE9"/>
    <w:rPr>
      <w:rFonts w:ascii="Times New Roman" w:eastAsiaTheme="majorEastAsia" w:hAnsi="Times New Roman" w:cstheme="majorBidi"/>
      <w:b/>
      <w:bCs/>
      <w:color w:val="000000"/>
      <w:sz w:val="24"/>
      <w:szCs w:val="24"/>
    </w:rPr>
  </w:style>
  <w:style w:type="paragraph" w:styleId="Header">
    <w:name w:val="header"/>
    <w:basedOn w:val="Normal"/>
    <w:link w:val="HeaderChar"/>
    <w:uiPriority w:val="99"/>
    <w:unhideWhenUsed/>
    <w:rsid w:val="000C39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95D"/>
  </w:style>
  <w:style w:type="paragraph" w:styleId="Footer">
    <w:name w:val="footer"/>
    <w:basedOn w:val="Normal"/>
    <w:link w:val="FooterChar"/>
    <w:uiPriority w:val="99"/>
    <w:unhideWhenUsed/>
    <w:rsid w:val="000C39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95D"/>
  </w:style>
  <w:style w:type="paragraph" w:styleId="NormalWeb">
    <w:name w:val="Normal (Web)"/>
    <w:basedOn w:val="Normal"/>
    <w:uiPriority w:val="99"/>
    <w:semiHidden/>
    <w:unhideWhenUsed/>
    <w:rsid w:val="007F3C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F3CE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38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1703</Words>
  <Characters>9712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dc:creator>
  <cp:keywords/>
  <dc:description/>
  <cp:lastModifiedBy>user</cp:lastModifiedBy>
  <cp:revision>2</cp:revision>
  <dcterms:created xsi:type="dcterms:W3CDTF">2021-08-21T17:57:00Z</dcterms:created>
  <dcterms:modified xsi:type="dcterms:W3CDTF">2021-08-21T17:57:00Z</dcterms:modified>
</cp:coreProperties>
</file>