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276BE" w14:textId="77777777" w:rsidR="00AF00AC" w:rsidRPr="003E2849" w:rsidRDefault="00AF00AC" w:rsidP="003E2849">
      <w:pPr>
        <w:ind w:firstLine="720"/>
        <w:jc w:val="center"/>
        <w:rPr>
          <w:b/>
          <w:color w:val="auto"/>
          <w:shd w:val="clear" w:color="auto" w:fill="FFFFFF"/>
        </w:rPr>
      </w:pPr>
    </w:p>
    <w:p w14:paraId="600239A1" w14:textId="77777777" w:rsidR="00AF00AC" w:rsidRPr="003E2849" w:rsidRDefault="00AF00AC" w:rsidP="003E2849">
      <w:pPr>
        <w:ind w:firstLine="720"/>
        <w:jc w:val="center"/>
        <w:rPr>
          <w:b/>
          <w:color w:val="auto"/>
          <w:shd w:val="clear" w:color="auto" w:fill="FFFFFF"/>
        </w:rPr>
      </w:pPr>
    </w:p>
    <w:p w14:paraId="5069B0D3" w14:textId="77777777" w:rsidR="00AF00AC" w:rsidRPr="003E2849" w:rsidRDefault="00AF00AC" w:rsidP="003E2849">
      <w:pPr>
        <w:ind w:firstLine="720"/>
        <w:jc w:val="center"/>
        <w:rPr>
          <w:b/>
          <w:color w:val="auto"/>
          <w:shd w:val="clear" w:color="auto" w:fill="FFFFFF"/>
        </w:rPr>
      </w:pPr>
    </w:p>
    <w:p w14:paraId="01B1789B" w14:textId="77777777" w:rsidR="00AF00AC" w:rsidRPr="003E2849" w:rsidRDefault="00AF00AC" w:rsidP="003E2849">
      <w:pPr>
        <w:ind w:firstLine="720"/>
        <w:jc w:val="center"/>
        <w:rPr>
          <w:b/>
          <w:color w:val="auto"/>
          <w:shd w:val="clear" w:color="auto" w:fill="FFFFFF"/>
        </w:rPr>
      </w:pPr>
    </w:p>
    <w:p w14:paraId="2D698C4D" w14:textId="77777777" w:rsidR="00AF00AC" w:rsidRPr="003E2849" w:rsidRDefault="00AF00AC" w:rsidP="0073409F">
      <w:pPr>
        <w:rPr>
          <w:b/>
          <w:color w:val="auto"/>
          <w:shd w:val="clear" w:color="auto" w:fill="FFFFFF"/>
        </w:rPr>
      </w:pPr>
    </w:p>
    <w:p w14:paraId="453828A9" w14:textId="77777777" w:rsidR="00AF00AC" w:rsidRPr="003E2849" w:rsidRDefault="00761FD2" w:rsidP="003E2849">
      <w:pPr>
        <w:ind w:firstLine="720"/>
        <w:jc w:val="center"/>
        <w:rPr>
          <w:b/>
          <w:color w:val="auto"/>
          <w:shd w:val="clear" w:color="auto" w:fill="FFFFFF"/>
        </w:rPr>
      </w:pPr>
      <w:r w:rsidRPr="003E2849">
        <w:rPr>
          <w:b/>
          <w:color w:val="auto"/>
          <w:shd w:val="clear" w:color="auto" w:fill="FFFFFF"/>
        </w:rPr>
        <w:t>Management Information Systems</w:t>
      </w:r>
    </w:p>
    <w:p w14:paraId="167CA833" w14:textId="77777777" w:rsidR="00AF00AC" w:rsidRPr="003E2849" w:rsidRDefault="00AF00AC" w:rsidP="003E2849">
      <w:pPr>
        <w:ind w:firstLine="720"/>
        <w:jc w:val="center"/>
        <w:rPr>
          <w:color w:val="auto"/>
          <w:shd w:val="clear" w:color="auto" w:fill="FFFFFF"/>
        </w:rPr>
      </w:pPr>
    </w:p>
    <w:p w14:paraId="474D66F9" w14:textId="77777777" w:rsidR="00AF00AC" w:rsidRPr="003E2849" w:rsidRDefault="00761FD2" w:rsidP="003E2849">
      <w:pPr>
        <w:ind w:firstLine="720"/>
        <w:jc w:val="center"/>
        <w:rPr>
          <w:color w:val="auto"/>
          <w:shd w:val="clear" w:color="auto" w:fill="FFFFFF"/>
        </w:rPr>
      </w:pPr>
      <w:r w:rsidRPr="003E2849">
        <w:rPr>
          <w:color w:val="auto"/>
          <w:shd w:val="clear" w:color="auto" w:fill="FFFFFF"/>
        </w:rPr>
        <w:t>Student’s Name</w:t>
      </w:r>
    </w:p>
    <w:p w14:paraId="7F742C01" w14:textId="77777777" w:rsidR="00AF00AC" w:rsidRPr="003E2849" w:rsidRDefault="00761FD2" w:rsidP="003E2849">
      <w:pPr>
        <w:ind w:firstLine="720"/>
        <w:jc w:val="center"/>
        <w:rPr>
          <w:color w:val="auto"/>
          <w:shd w:val="clear" w:color="auto" w:fill="FFFFFF"/>
        </w:rPr>
      </w:pPr>
      <w:r w:rsidRPr="003E2849">
        <w:rPr>
          <w:color w:val="auto"/>
          <w:shd w:val="clear" w:color="auto" w:fill="FFFFFF"/>
        </w:rPr>
        <w:t>Institutional Affiliation</w:t>
      </w:r>
    </w:p>
    <w:p w14:paraId="26C9227E" w14:textId="77777777" w:rsidR="00AF00AC" w:rsidRPr="003E2849" w:rsidRDefault="00761FD2" w:rsidP="003E2849">
      <w:pPr>
        <w:ind w:firstLine="720"/>
        <w:jc w:val="center"/>
        <w:rPr>
          <w:color w:val="auto"/>
          <w:shd w:val="clear" w:color="auto" w:fill="FFFFFF"/>
        </w:rPr>
      </w:pPr>
      <w:r w:rsidRPr="003E2849">
        <w:rPr>
          <w:color w:val="auto"/>
          <w:shd w:val="clear" w:color="auto" w:fill="FFFFFF"/>
        </w:rPr>
        <w:t>Course</w:t>
      </w:r>
    </w:p>
    <w:p w14:paraId="0D3D06A1" w14:textId="77777777" w:rsidR="00AF00AC" w:rsidRPr="003E2849" w:rsidRDefault="00761FD2" w:rsidP="003E2849">
      <w:pPr>
        <w:ind w:firstLine="720"/>
        <w:jc w:val="center"/>
        <w:rPr>
          <w:color w:val="auto"/>
          <w:shd w:val="clear" w:color="auto" w:fill="FFFFFF"/>
        </w:rPr>
      </w:pPr>
      <w:r w:rsidRPr="003E2849">
        <w:rPr>
          <w:color w:val="auto"/>
          <w:shd w:val="clear" w:color="auto" w:fill="FFFFFF"/>
        </w:rPr>
        <w:t>Tutor</w:t>
      </w:r>
    </w:p>
    <w:p w14:paraId="79341392" w14:textId="77777777" w:rsidR="00AF00AC" w:rsidRPr="003E2849" w:rsidRDefault="00761FD2" w:rsidP="003E2849">
      <w:pPr>
        <w:ind w:firstLine="720"/>
        <w:jc w:val="center"/>
        <w:rPr>
          <w:color w:val="auto"/>
          <w:shd w:val="clear" w:color="auto" w:fill="FFFFFF"/>
        </w:rPr>
      </w:pPr>
      <w:r w:rsidRPr="003E2849">
        <w:rPr>
          <w:color w:val="auto"/>
          <w:shd w:val="clear" w:color="auto" w:fill="FFFFFF"/>
        </w:rPr>
        <w:t>Date</w:t>
      </w:r>
    </w:p>
    <w:p w14:paraId="5DDFB402" w14:textId="77777777" w:rsidR="00AF00AC" w:rsidRPr="003E2849" w:rsidRDefault="00761FD2" w:rsidP="003E2849">
      <w:pPr>
        <w:rPr>
          <w:b/>
          <w:color w:val="auto"/>
          <w:shd w:val="clear" w:color="auto" w:fill="FFFFFF"/>
        </w:rPr>
      </w:pPr>
      <w:r w:rsidRPr="003E2849">
        <w:rPr>
          <w:b/>
          <w:color w:val="auto"/>
          <w:shd w:val="clear" w:color="auto" w:fill="FFFFFF"/>
        </w:rPr>
        <w:br w:type="page"/>
      </w:r>
    </w:p>
    <w:p w14:paraId="6A09A730" w14:textId="77777777" w:rsidR="00AF00AC" w:rsidRPr="003E2849" w:rsidRDefault="00761FD2" w:rsidP="003E2849">
      <w:pPr>
        <w:ind w:firstLine="720"/>
        <w:jc w:val="center"/>
        <w:rPr>
          <w:b/>
          <w:color w:val="auto"/>
          <w:shd w:val="clear" w:color="auto" w:fill="FFFFFF"/>
        </w:rPr>
      </w:pPr>
      <w:r w:rsidRPr="003E2849">
        <w:rPr>
          <w:b/>
          <w:color w:val="auto"/>
          <w:shd w:val="clear" w:color="auto" w:fill="FFFFFF"/>
        </w:rPr>
        <w:lastRenderedPageBreak/>
        <w:t>Management Information Systems</w:t>
      </w:r>
    </w:p>
    <w:p w14:paraId="0F5FBCF3" w14:textId="77777777" w:rsidR="00AF00AC" w:rsidRPr="003E2849" w:rsidRDefault="00761FD2" w:rsidP="003E2849">
      <w:pPr>
        <w:ind w:firstLine="720"/>
        <w:rPr>
          <w:color w:val="auto"/>
          <w:shd w:val="clear" w:color="auto" w:fill="FFFFFF"/>
        </w:rPr>
      </w:pPr>
      <w:r w:rsidRPr="003E2849">
        <w:rPr>
          <w:color w:val="auto"/>
          <w:shd w:val="clear" w:color="auto" w:fill="FFFFFF"/>
        </w:rPr>
        <w:t xml:space="preserve">Health Insurance Portability and Accountability Act (HIPAA) of 1996 </w:t>
      </w:r>
      <w:r w:rsidR="005A3736" w:rsidRPr="005A3736">
        <w:rPr>
          <w:color w:val="auto"/>
          <w:shd w:val="clear" w:color="auto" w:fill="FFFFFF"/>
        </w:rPr>
        <w:t xml:space="preserve">is government enactment that ordered the improvement of public rules to keep touchy patient wellbeing data from being uncovered without the authorization or information on the patient. The Health Insurance Portability and Accountability Act of 1996 security rule was distributed by the US Department of Health and Human Services to execute Health Insurance Portability and Accountability Act's arrangements </w:t>
      </w:r>
      <w:r w:rsidR="003E2849" w:rsidRPr="003E2849">
        <w:rPr>
          <w:color w:val="auto"/>
          <w:shd w:val="clear" w:color="auto" w:fill="FFFFFF"/>
        </w:rPr>
        <w:t>(Chen et al., 2020)</w:t>
      </w:r>
      <w:r w:rsidRPr="003E2849">
        <w:rPr>
          <w:color w:val="auto"/>
          <w:shd w:val="clear" w:color="auto" w:fill="FFFFFF"/>
        </w:rPr>
        <w:t xml:space="preserve">. </w:t>
      </w:r>
    </w:p>
    <w:p w14:paraId="66E067F4" w14:textId="77777777" w:rsidR="00293FE2" w:rsidRPr="003E2849" w:rsidRDefault="00761FD2" w:rsidP="003E2849">
      <w:pPr>
        <w:ind w:firstLine="720"/>
        <w:rPr>
          <w:color w:val="auto"/>
          <w:shd w:val="clear" w:color="auto" w:fill="FFFFFF"/>
        </w:rPr>
      </w:pPr>
      <w:r w:rsidRPr="003E2849">
        <w:rPr>
          <w:color w:val="auto"/>
          <w:shd w:val="clear" w:color="auto" w:fill="FFFFFF"/>
        </w:rPr>
        <w:t>The Gramm-Leach-Bliley Act mand</w:t>
      </w:r>
      <w:r w:rsidR="00AF00AC" w:rsidRPr="003E2849">
        <w:rPr>
          <w:color w:val="auto"/>
          <w:shd w:val="clear" w:color="auto" w:fill="FFFFFF"/>
        </w:rPr>
        <w:t xml:space="preserve">ates financial institutions </w:t>
      </w:r>
      <w:r w:rsidRPr="003E2849">
        <w:rPr>
          <w:color w:val="auto"/>
          <w:shd w:val="clear" w:color="auto" w:fill="FFFFFF"/>
        </w:rPr>
        <w:t xml:space="preserve">that provide financial goods or services to consumers, such as investment advice, financial guidance, insurance, or loans, to notify their clients about their information-sharing activities and protect sensitive </w:t>
      </w:r>
      <w:r w:rsidR="00AF00AC" w:rsidRPr="003E2849">
        <w:rPr>
          <w:color w:val="auto"/>
          <w:shd w:val="clear" w:color="auto" w:fill="FFFFFF"/>
        </w:rPr>
        <w:t xml:space="preserve">data. </w:t>
      </w:r>
      <w:r w:rsidR="00454F2B" w:rsidRPr="003E2849">
        <w:rPr>
          <w:color w:val="auto"/>
          <w:shd w:val="clear" w:color="auto" w:fill="FFFFFF"/>
        </w:rPr>
        <w:t>Besides, the ac</w:t>
      </w:r>
      <w:r w:rsidR="00AF00AC" w:rsidRPr="003E2849">
        <w:rPr>
          <w:color w:val="auto"/>
          <w:shd w:val="clear" w:color="auto" w:fill="FFFFFF"/>
        </w:rPr>
        <w:t>t</w:t>
      </w:r>
      <w:r w:rsidR="00454F2B" w:rsidRPr="003E2849">
        <w:rPr>
          <w:color w:val="auto"/>
          <w:shd w:val="clear" w:color="auto" w:fill="FFFFFF"/>
        </w:rPr>
        <w:t xml:space="preserve"> addressed concerns relating to customer financial privacy</w:t>
      </w:r>
      <w:r w:rsidR="003E2849" w:rsidRPr="003E2849">
        <w:rPr>
          <w:color w:val="auto"/>
          <w:shd w:val="clear" w:color="auto" w:fill="FFFFFF"/>
        </w:rPr>
        <w:t xml:space="preserve"> (Walrath, 2017)</w:t>
      </w:r>
      <w:r w:rsidR="00454F2B" w:rsidRPr="003E2849">
        <w:rPr>
          <w:color w:val="auto"/>
          <w:shd w:val="clear" w:color="auto" w:fill="FFFFFF"/>
        </w:rPr>
        <w:t xml:space="preserve">. </w:t>
      </w:r>
      <w:r w:rsidR="00AF00AC" w:rsidRPr="003E2849">
        <w:rPr>
          <w:color w:val="auto"/>
          <w:shd w:val="clear" w:color="auto" w:fill="FFFFFF"/>
        </w:rPr>
        <w:t>Its</w:t>
      </w:r>
      <w:r w:rsidR="00454F2B" w:rsidRPr="003E2849">
        <w:rPr>
          <w:color w:val="auto"/>
          <w:shd w:val="clear" w:color="auto" w:fill="FFFFFF"/>
        </w:rPr>
        <w:t xml:space="preserve"> main goal was to eliminate legislative impediments, </w:t>
      </w:r>
      <w:r w:rsidR="00253078" w:rsidRPr="003E2849">
        <w:rPr>
          <w:color w:val="auto"/>
          <w:shd w:val="clear" w:color="auto" w:fill="FFFFFF"/>
        </w:rPr>
        <w:t>and</w:t>
      </w:r>
      <w:r w:rsidR="00454F2B" w:rsidRPr="003E2849">
        <w:rPr>
          <w:color w:val="auto"/>
          <w:shd w:val="clear" w:color="auto" w:fill="FFFFFF"/>
        </w:rPr>
        <w:t xml:space="preserve"> it was implemented to safeguard customer security, respect customer privacy, and maintain the confidentiality of information about those consumers.</w:t>
      </w:r>
    </w:p>
    <w:p w14:paraId="4A00E5E3" w14:textId="77777777" w:rsidR="00253078" w:rsidRPr="003E2849" w:rsidRDefault="00761FD2" w:rsidP="003E2849">
      <w:pPr>
        <w:ind w:firstLine="720"/>
        <w:rPr>
          <w:color w:val="auto"/>
          <w:shd w:val="clear" w:color="auto" w:fill="FFFFFF"/>
        </w:rPr>
      </w:pPr>
      <w:r w:rsidRPr="003E2849">
        <w:rPr>
          <w:color w:val="auto"/>
          <w:shd w:val="clear" w:color="auto" w:fill="FFFFFF"/>
        </w:rPr>
        <w:t>The European Parliament and Council decided on the General Data Protection Act (GDPA) in April 2016 as the principal regulation governing how corporations safeguard European Union citizens' data. Companies that already comply with the Directive must ensure that they also comply with the General Data Protection Act's additional standards. General Data Protection Act regulations apply to all European Union member states to improve consumer and personal data protection across the board</w:t>
      </w:r>
      <w:r w:rsidR="003E2849" w:rsidRPr="003E2849">
        <w:rPr>
          <w:color w:val="auto"/>
          <w:shd w:val="clear" w:color="auto" w:fill="FFFFFF"/>
        </w:rPr>
        <w:t xml:space="preserve"> (Chen et al., 2020)</w:t>
      </w:r>
      <w:r w:rsidRPr="003E2849">
        <w:rPr>
          <w:color w:val="auto"/>
          <w:shd w:val="clear" w:color="auto" w:fill="FFFFFF"/>
        </w:rPr>
        <w:t xml:space="preserve">. </w:t>
      </w:r>
      <w:r w:rsidR="00454F2B" w:rsidRPr="003E2849">
        <w:rPr>
          <w:color w:val="auto"/>
          <w:shd w:val="clear" w:color="auto" w:fill="FFFFFF"/>
        </w:rPr>
        <w:t>The General Data Protection Act's goal is to provide uniform data protection regulations for all E</w:t>
      </w:r>
      <w:r w:rsidRPr="003E2849">
        <w:rPr>
          <w:color w:val="auto"/>
          <w:shd w:val="clear" w:color="auto" w:fill="FFFFFF"/>
        </w:rPr>
        <w:t xml:space="preserve">uropean </w:t>
      </w:r>
      <w:r w:rsidR="00454F2B" w:rsidRPr="003E2849">
        <w:rPr>
          <w:color w:val="auto"/>
          <w:shd w:val="clear" w:color="auto" w:fill="FFFFFF"/>
        </w:rPr>
        <w:t>U</w:t>
      </w:r>
      <w:r w:rsidRPr="003E2849">
        <w:rPr>
          <w:color w:val="auto"/>
          <w:shd w:val="clear" w:color="auto" w:fill="FFFFFF"/>
        </w:rPr>
        <w:t>nion</w:t>
      </w:r>
      <w:r w:rsidR="00454F2B" w:rsidRPr="003E2849">
        <w:rPr>
          <w:color w:val="auto"/>
          <w:shd w:val="clear" w:color="auto" w:fill="FFFFFF"/>
        </w:rPr>
        <w:t xml:space="preserve"> member countries. </w:t>
      </w:r>
    </w:p>
    <w:p w14:paraId="1F802509" w14:textId="77777777" w:rsidR="00DB717F" w:rsidRPr="003E2849" w:rsidRDefault="00761FD2" w:rsidP="003E2849">
      <w:pPr>
        <w:ind w:firstLine="720"/>
        <w:rPr>
          <w:color w:val="auto"/>
          <w:shd w:val="clear" w:color="auto" w:fill="FFFFFF"/>
        </w:rPr>
      </w:pPr>
      <w:r w:rsidRPr="003E2849">
        <w:rPr>
          <w:color w:val="auto"/>
          <w:shd w:val="clear" w:color="auto" w:fill="FFFFFF"/>
        </w:rPr>
        <w:lastRenderedPageBreak/>
        <w:t>Workplace dilemmas are among the difficult</w:t>
      </w:r>
      <w:r w:rsidR="00F373CE" w:rsidRPr="003E2849">
        <w:rPr>
          <w:color w:val="auto"/>
          <w:shd w:val="clear" w:color="auto" w:fill="FFFFFF"/>
        </w:rPr>
        <w:t xml:space="preserve"> situations to be in. however, if one is asked to do something that challenges their ethics, it is good to re-evaluate and understand the situation. Through this, the person can understand the situation well and establish what is ethically right. From this stage, it is wise to speak up to the relevant authority. However, it is good to maintain politeness and speak up the matter politely to understand the authority</w:t>
      </w:r>
      <w:r w:rsidR="003E2849" w:rsidRPr="003E2849">
        <w:rPr>
          <w:color w:val="auto"/>
          <w:shd w:val="clear" w:color="auto" w:fill="FFFFFF"/>
        </w:rPr>
        <w:t xml:space="preserve"> (Cohen &amp; Mello, 2018)</w:t>
      </w:r>
      <w:r w:rsidR="00F373CE" w:rsidRPr="003E2849">
        <w:rPr>
          <w:color w:val="auto"/>
          <w:shd w:val="clear" w:color="auto" w:fill="FFFFFF"/>
        </w:rPr>
        <w:t>. The final step is to stand firm in their values. One should not compromise their ethics because they might result in bigger problems.</w:t>
      </w:r>
    </w:p>
    <w:p w14:paraId="12198F82" w14:textId="77777777" w:rsidR="00F373CE" w:rsidRPr="003E2849" w:rsidRDefault="005A3736" w:rsidP="003E2849">
      <w:pPr>
        <w:ind w:firstLine="720"/>
        <w:rPr>
          <w:color w:val="auto"/>
          <w:shd w:val="clear" w:color="auto" w:fill="FFFFFF"/>
        </w:rPr>
      </w:pPr>
      <w:r w:rsidRPr="005A3736">
        <w:rPr>
          <w:color w:val="auto"/>
          <w:shd w:val="clear" w:color="auto" w:fill="FFFFFF"/>
        </w:rPr>
        <w:t>A person's or a gathering's ability to confine themselves or data about themselves and communicate their thoughts specifically is known as protection. At the point when an individual alludes to something as "private," it ordinarily alludes to anything one of a kind or delicate to them (Walrath, 2017). Body trustworthiness may likewise be a sort of protection. Individual rights allude to an individual's authority over their own body</w:t>
      </w:r>
      <w:r w:rsidR="00761FD2" w:rsidRPr="003E2849">
        <w:rPr>
          <w:color w:val="auto"/>
          <w:shd w:val="clear" w:color="auto" w:fill="FFFFFF"/>
        </w:rPr>
        <w:t>.</w:t>
      </w:r>
    </w:p>
    <w:p w14:paraId="79A31B68" w14:textId="77777777" w:rsidR="00253078" w:rsidRPr="003E2849" w:rsidRDefault="00761FD2" w:rsidP="00781721">
      <w:pPr>
        <w:ind w:firstLine="720"/>
        <w:rPr>
          <w:color w:val="auto"/>
          <w:shd w:val="clear" w:color="auto" w:fill="FFFFFF"/>
        </w:rPr>
      </w:pPr>
      <w:r w:rsidRPr="003E2849">
        <w:rPr>
          <w:color w:val="auto"/>
          <w:shd w:val="clear" w:color="auto" w:fill="FFFFFF"/>
        </w:rPr>
        <w:t>The code of ethics of organizations is based on the primary code of conduct which includes; trustworthiness, professional conduct, accountability, confidentiality, honesty, integrity, respect</w:t>
      </w:r>
      <w:r w:rsidR="00781721" w:rsidRPr="003E2849">
        <w:rPr>
          <w:color w:val="auto"/>
          <w:shd w:val="clear" w:color="auto" w:fill="FFFFFF"/>
        </w:rPr>
        <w:t>, openness</w:t>
      </w:r>
      <w:r w:rsidRPr="003E2849">
        <w:rPr>
          <w:color w:val="auto"/>
          <w:shd w:val="clear" w:color="auto" w:fill="FFFFFF"/>
        </w:rPr>
        <w:t>, and fairness, among other factors. They will be</w:t>
      </w:r>
      <w:r w:rsidR="00B4516C" w:rsidRPr="003E2849">
        <w:rPr>
          <w:color w:val="auto"/>
          <w:shd w:val="clear" w:color="auto" w:fill="FFFFFF"/>
        </w:rPr>
        <w:t xml:space="preserve"> explained </w:t>
      </w:r>
      <w:r w:rsidRPr="003E2849">
        <w:rPr>
          <w:color w:val="auto"/>
          <w:shd w:val="clear" w:color="auto" w:fill="FFFFFF"/>
        </w:rPr>
        <w:t>in different institutions</w:t>
      </w:r>
      <w:r w:rsidR="00B4516C" w:rsidRPr="003E2849">
        <w:rPr>
          <w:color w:val="auto"/>
          <w:shd w:val="clear" w:color="auto" w:fill="FFFFFF"/>
        </w:rPr>
        <w:t xml:space="preserve"> to suit their activities and interactions. For instance, the code of ethics in schools is as follows.</w:t>
      </w:r>
      <w:r w:rsidR="00781721">
        <w:rPr>
          <w:color w:val="auto"/>
          <w:shd w:val="clear" w:color="auto" w:fill="FFFFFF"/>
        </w:rPr>
        <w:t xml:space="preserve"> J</w:t>
      </w:r>
      <w:r w:rsidR="005A3736" w:rsidRPr="005A3736">
        <w:rPr>
          <w:color w:val="auto"/>
          <w:shd w:val="clear" w:color="auto" w:fill="FFFFFF"/>
        </w:rPr>
        <w:t>ust as advancing and helping partners in the turn of events and upkeep of elevated requirements Advocating for all youngsters to have equivalent admittance to a promising circumstance,</w:t>
      </w:r>
      <w:r w:rsidR="005A3736">
        <w:rPr>
          <w:color w:val="auto"/>
          <w:shd w:val="clear" w:color="auto" w:fill="FFFFFF"/>
        </w:rPr>
        <w:t xml:space="preserve"> </w:t>
      </w:r>
      <w:r w:rsidR="00B4516C" w:rsidRPr="003E2849">
        <w:rPr>
          <w:color w:val="auto"/>
          <w:shd w:val="clear" w:color="auto" w:fill="FFFFFF"/>
        </w:rPr>
        <w:t>As a valued confidante, and champion for the development of kids, Providing a challenging learning environment for all students by creating, supporting, and maintaining Modeling appropriate use of the public property for students and coworkers, and ensuring that institutional privileges are not utilized for personal benefit, among other things</w:t>
      </w:r>
      <w:r w:rsidR="003E2849" w:rsidRPr="003E2849">
        <w:rPr>
          <w:color w:val="auto"/>
          <w:shd w:val="clear" w:color="auto" w:fill="FFFFFF"/>
        </w:rPr>
        <w:t xml:space="preserve"> (Spencer  &amp; Patel, 2019)</w:t>
      </w:r>
      <w:r w:rsidR="00B4516C" w:rsidRPr="003E2849">
        <w:rPr>
          <w:color w:val="auto"/>
          <w:shd w:val="clear" w:color="auto" w:fill="FFFFFF"/>
        </w:rPr>
        <w:t>.</w:t>
      </w:r>
      <w:r w:rsidRPr="003E2849">
        <w:rPr>
          <w:color w:val="auto"/>
          <w:shd w:val="clear" w:color="auto" w:fill="FFFFFF"/>
        </w:rPr>
        <w:br w:type="page"/>
      </w:r>
    </w:p>
    <w:p w14:paraId="015F52EE" w14:textId="77777777" w:rsidR="00DB717F" w:rsidRPr="003E2849" w:rsidRDefault="00761FD2" w:rsidP="003E2849">
      <w:pPr>
        <w:jc w:val="center"/>
        <w:rPr>
          <w:b/>
          <w:color w:val="auto"/>
          <w:shd w:val="clear" w:color="auto" w:fill="FFFFFF"/>
        </w:rPr>
      </w:pPr>
      <w:r w:rsidRPr="003E2849">
        <w:rPr>
          <w:b/>
          <w:color w:val="auto"/>
          <w:shd w:val="clear" w:color="auto" w:fill="FFFFFF"/>
        </w:rPr>
        <w:lastRenderedPageBreak/>
        <w:t>References</w:t>
      </w:r>
    </w:p>
    <w:p w14:paraId="40FD2889" w14:textId="31B4C8DC" w:rsidR="003E2849" w:rsidRPr="003E2849" w:rsidRDefault="00761FD2" w:rsidP="003E2849">
      <w:pPr>
        <w:ind w:left="720" w:hanging="720"/>
        <w:rPr>
          <w:color w:val="auto"/>
          <w:shd w:val="clear" w:color="auto" w:fill="FFFFFF"/>
        </w:rPr>
      </w:pPr>
      <w:r w:rsidRPr="003E2849">
        <w:rPr>
          <w:color w:val="auto"/>
          <w:shd w:val="clear" w:color="auto" w:fill="FFFFFF"/>
        </w:rPr>
        <w:t>Chen, Y., Lin, T., Muthu, B., &amp; Sivaparthipan, C. B. (2020).</w:t>
      </w:r>
      <w:r w:rsidR="006765B7">
        <w:rPr>
          <w:color w:val="auto"/>
          <w:shd w:val="clear" w:color="auto" w:fill="FFFFFF"/>
        </w:rPr>
        <w:t xml:space="preserve"> </w:t>
      </w:r>
      <w:r w:rsidRPr="003E2849">
        <w:rPr>
          <w:color w:val="auto"/>
          <w:shd w:val="clear" w:color="auto" w:fill="FFFFFF"/>
        </w:rPr>
        <w:t>Study on ethical dilemmas faced by teaching professionals in rural environments. </w:t>
      </w:r>
      <w:r w:rsidRPr="003E2849">
        <w:rPr>
          <w:i/>
          <w:iCs/>
          <w:color w:val="auto"/>
          <w:shd w:val="clear" w:color="auto" w:fill="FFFFFF"/>
        </w:rPr>
        <w:t>Current Psychology</w:t>
      </w:r>
      <w:r w:rsidRPr="003E2849">
        <w:rPr>
          <w:color w:val="auto"/>
          <w:shd w:val="clear" w:color="auto" w:fill="FFFFFF"/>
        </w:rPr>
        <w:t>, 1-1.</w:t>
      </w:r>
    </w:p>
    <w:p w14:paraId="4B08F2D3" w14:textId="77777777" w:rsidR="003E2849" w:rsidRPr="003E2849" w:rsidRDefault="00761FD2" w:rsidP="003E2849">
      <w:pPr>
        <w:ind w:left="720" w:hanging="720"/>
        <w:rPr>
          <w:color w:val="auto"/>
          <w:shd w:val="clear" w:color="auto" w:fill="FFFFFF"/>
        </w:rPr>
      </w:pPr>
      <w:r w:rsidRPr="003E2849">
        <w:rPr>
          <w:color w:val="auto"/>
          <w:shd w:val="clear" w:color="auto" w:fill="FFFFFF"/>
        </w:rPr>
        <w:t>Cohen, I. G., &amp; Mello, M. M. (2018). HIPAA and protecting health information in the 21st century. </w:t>
      </w:r>
      <w:r w:rsidRPr="003E2849">
        <w:rPr>
          <w:i/>
          <w:iCs/>
          <w:color w:val="auto"/>
          <w:shd w:val="clear" w:color="auto" w:fill="FFFFFF"/>
        </w:rPr>
        <w:t>Jama</w:t>
      </w:r>
      <w:r w:rsidRPr="003E2849">
        <w:rPr>
          <w:color w:val="auto"/>
          <w:shd w:val="clear" w:color="auto" w:fill="FFFFFF"/>
        </w:rPr>
        <w:t>, </w:t>
      </w:r>
      <w:r w:rsidRPr="003E2849">
        <w:rPr>
          <w:i/>
          <w:iCs/>
          <w:color w:val="auto"/>
          <w:shd w:val="clear" w:color="auto" w:fill="FFFFFF"/>
        </w:rPr>
        <w:t>320</w:t>
      </w:r>
      <w:r w:rsidRPr="003E2849">
        <w:rPr>
          <w:color w:val="auto"/>
          <w:shd w:val="clear" w:color="auto" w:fill="FFFFFF"/>
        </w:rPr>
        <w:t>(3), 231-232.</w:t>
      </w:r>
    </w:p>
    <w:p w14:paraId="315872E7" w14:textId="77777777" w:rsidR="003E2849" w:rsidRPr="003E2849" w:rsidRDefault="00761FD2" w:rsidP="003E2849">
      <w:pPr>
        <w:ind w:left="720" w:hanging="720"/>
        <w:rPr>
          <w:b/>
          <w:color w:val="auto"/>
          <w:shd w:val="clear" w:color="auto" w:fill="FFFFFF"/>
        </w:rPr>
      </w:pPr>
      <w:r w:rsidRPr="003E2849">
        <w:rPr>
          <w:color w:val="auto"/>
          <w:shd w:val="clear" w:color="auto" w:fill="FFFFFF"/>
        </w:rPr>
        <w:t>Spencer, A., &amp; Patel, S. (2019). Applying the data protection act 2018 and general data protection regulation principles in healthcare settings. </w:t>
      </w:r>
      <w:r w:rsidRPr="003E2849">
        <w:rPr>
          <w:i/>
          <w:iCs/>
          <w:color w:val="auto"/>
          <w:shd w:val="clear" w:color="auto" w:fill="FFFFFF"/>
        </w:rPr>
        <w:t>Nursing Management</w:t>
      </w:r>
      <w:r w:rsidRPr="003E2849">
        <w:rPr>
          <w:color w:val="auto"/>
          <w:shd w:val="clear" w:color="auto" w:fill="FFFFFF"/>
        </w:rPr>
        <w:t>, </w:t>
      </w:r>
      <w:r w:rsidRPr="003E2849">
        <w:rPr>
          <w:i/>
          <w:iCs/>
          <w:color w:val="auto"/>
          <w:shd w:val="clear" w:color="auto" w:fill="FFFFFF"/>
        </w:rPr>
        <w:t>26</w:t>
      </w:r>
      <w:r w:rsidRPr="003E2849">
        <w:rPr>
          <w:color w:val="auto"/>
          <w:shd w:val="clear" w:color="auto" w:fill="FFFFFF"/>
        </w:rPr>
        <w:t>(1).</w:t>
      </w:r>
    </w:p>
    <w:p w14:paraId="293CD120" w14:textId="77777777" w:rsidR="003E2849" w:rsidRPr="003E2849" w:rsidRDefault="00761FD2" w:rsidP="003E2849">
      <w:pPr>
        <w:ind w:left="720" w:hanging="720"/>
        <w:rPr>
          <w:color w:val="auto"/>
          <w:shd w:val="clear" w:color="auto" w:fill="FFFFFF"/>
        </w:rPr>
      </w:pPr>
      <w:r w:rsidRPr="003E2849">
        <w:rPr>
          <w:color w:val="auto"/>
          <w:shd w:val="clear" w:color="auto" w:fill="FFFFFF"/>
        </w:rPr>
        <w:t>Walrath, D. (2017). Privacy and information disclosure: An economic analysis of the Gramm-Leach-Bliley Act. </w:t>
      </w:r>
      <w:r w:rsidRPr="003E2849">
        <w:rPr>
          <w:i/>
          <w:iCs/>
          <w:color w:val="auto"/>
          <w:shd w:val="clear" w:color="auto" w:fill="FFFFFF"/>
        </w:rPr>
        <w:t>Policy Perspectives</w:t>
      </w:r>
      <w:r w:rsidRPr="003E2849">
        <w:rPr>
          <w:color w:val="auto"/>
          <w:shd w:val="clear" w:color="auto" w:fill="FFFFFF"/>
        </w:rPr>
        <w:t>, 55-65.</w:t>
      </w:r>
    </w:p>
    <w:sectPr w:rsidR="003E2849" w:rsidRPr="003E284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23F0C" w14:textId="77777777" w:rsidR="00513B39" w:rsidRDefault="00513B39">
      <w:pPr>
        <w:spacing w:after="0" w:line="240" w:lineRule="auto"/>
      </w:pPr>
      <w:r>
        <w:separator/>
      </w:r>
    </w:p>
  </w:endnote>
  <w:endnote w:type="continuationSeparator" w:id="0">
    <w:p w14:paraId="79AA9DA7" w14:textId="77777777" w:rsidR="00513B39" w:rsidRDefault="00513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81C79" w14:textId="77777777" w:rsidR="00513B39" w:rsidRDefault="00513B39">
      <w:pPr>
        <w:spacing w:after="0" w:line="240" w:lineRule="auto"/>
      </w:pPr>
      <w:r>
        <w:separator/>
      </w:r>
    </w:p>
  </w:footnote>
  <w:footnote w:type="continuationSeparator" w:id="0">
    <w:p w14:paraId="6B9AFCAC" w14:textId="77777777" w:rsidR="00513B39" w:rsidRDefault="00513B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047353"/>
      <w:docPartObj>
        <w:docPartGallery w:val="Page Numbers (Top of Page)"/>
        <w:docPartUnique/>
      </w:docPartObj>
    </w:sdtPr>
    <w:sdtEndPr>
      <w:rPr>
        <w:noProof/>
      </w:rPr>
    </w:sdtEndPr>
    <w:sdtContent>
      <w:p w14:paraId="1281EBE3" w14:textId="77777777" w:rsidR="00AF00AC" w:rsidRDefault="00761FD2">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1D431FEF" w14:textId="77777777" w:rsidR="00AF00AC" w:rsidRDefault="00AF00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FE2"/>
    <w:rsid w:val="00166DF6"/>
    <w:rsid w:val="00253078"/>
    <w:rsid w:val="00293FE2"/>
    <w:rsid w:val="003D29DB"/>
    <w:rsid w:val="003E2849"/>
    <w:rsid w:val="00454F2B"/>
    <w:rsid w:val="00513B39"/>
    <w:rsid w:val="005A3736"/>
    <w:rsid w:val="006765B7"/>
    <w:rsid w:val="0073409F"/>
    <w:rsid w:val="00761FD2"/>
    <w:rsid w:val="00781721"/>
    <w:rsid w:val="00AF00AC"/>
    <w:rsid w:val="00B4516C"/>
    <w:rsid w:val="00D4671D"/>
    <w:rsid w:val="00DB717F"/>
    <w:rsid w:val="00F373CE"/>
    <w:rsid w:val="00FD6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9F4BC"/>
  <w15:docId w15:val="{F9299A8B-3CE3-4E3A-B617-18CE96708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222222"/>
        <w:sz w:val="24"/>
        <w:szCs w:val="24"/>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00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00AC"/>
  </w:style>
  <w:style w:type="paragraph" w:styleId="Footer">
    <w:name w:val="footer"/>
    <w:basedOn w:val="Normal"/>
    <w:link w:val="FooterChar"/>
    <w:uiPriority w:val="99"/>
    <w:unhideWhenUsed/>
    <w:rsid w:val="00AF00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0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664</Words>
  <Characters>3788</Characters>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2021-08-12T21:01:00Z</dcterms:created>
  <dcterms:modified xsi:type="dcterms:W3CDTF">2021-08-12T21:02:00Z</dcterms:modified>
</cp:coreProperties>
</file>