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045" w:rsidRPr="00581906" w:rsidRDefault="00320045" w:rsidP="00581906">
      <w:pPr>
        <w:spacing w:after="0" w:line="48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GoBack"/>
    </w:p>
    <w:p w:rsidR="00320045" w:rsidRPr="00581906" w:rsidRDefault="00320045" w:rsidP="00581906">
      <w:pPr>
        <w:spacing w:after="0" w:line="48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20045" w:rsidRPr="00581906" w:rsidRDefault="00320045" w:rsidP="00581906">
      <w:pPr>
        <w:spacing w:after="0" w:line="48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20045" w:rsidRPr="00581906" w:rsidRDefault="00320045" w:rsidP="00581906">
      <w:pPr>
        <w:spacing w:after="0" w:line="48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20045" w:rsidRPr="00581906" w:rsidRDefault="00320045" w:rsidP="00581906">
      <w:pPr>
        <w:spacing w:after="0" w:line="48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20045" w:rsidRPr="00581906" w:rsidRDefault="00320045" w:rsidP="00581906">
      <w:pPr>
        <w:spacing w:after="0" w:line="48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20045" w:rsidRPr="00581906" w:rsidRDefault="00320045" w:rsidP="00581906">
      <w:pPr>
        <w:spacing w:after="0" w:line="48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20045" w:rsidRPr="00581906" w:rsidRDefault="00320045" w:rsidP="00581906">
      <w:pPr>
        <w:spacing w:after="0" w:line="48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20045" w:rsidRPr="00581906" w:rsidRDefault="00320045" w:rsidP="00581906">
      <w:pPr>
        <w:spacing w:after="0" w:line="48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C74B1" w:rsidRPr="00581906" w:rsidRDefault="006C74B1" w:rsidP="00581906">
      <w:pPr>
        <w:spacing w:after="0" w:line="48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819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Ch</w:t>
      </w:r>
      <w:r w:rsidRPr="005819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apters 14 and 15 Discussion</w:t>
      </w:r>
    </w:p>
    <w:p w:rsidR="00345A78" w:rsidRPr="00581906" w:rsidRDefault="00345A78" w:rsidP="00581906">
      <w:pPr>
        <w:shd w:val="clear" w:color="auto" w:fill="FFFFFF"/>
        <w:spacing w:after="0" w:line="48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5A78" w:rsidRPr="00581906" w:rsidRDefault="00345A78" w:rsidP="00581906">
      <w:pPr>
        <w:shd w:val="clear" w:color="auto" w:fill="FFFFFF"/>
        <w:spacing w:after="0" w:line="48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45A78" w:rsidRPr="00581906" w:rsidRDefault="00345A78" w:rsidP="00581906">
      <w:pPr>
        <w:pStyle w:val="p2"/>
        <w:spacing w:before="0" w:beforeAutospacing="0" w:after="0" w:afterAutospacing="0" w:line="480" w:lineRule="auto"/>
        <w:ind w:firstLine="0"/>
        <w:jc w:val="center"/>
        <w:rPr>
          <w:color w:val="000000" w:themeColor="text1"/>
        </w:rPr>
      </w:pPr>
      <w:r w:rsidRPr="00581906">
        <w:rPr>
          <w:color w:val="000000" w:themeColor="text1"/>
        </w:rPr>
        <w:t>Name</w:t>
      </w:r>
    </w:p>
    <w:p w:rsidR="00345A78" w:rsidRPr="00581906" w:rsidRDefault="00345A78" w:rsidP="00581906">
      <w:pPr>
        <w:pStyle w:val="p2"/>
        <w:spacing w:before="0" w:beforeAutospacing="0" w:after="0" w:afterAutospacing="0" w:line="480" w:lineRule="auto"/>
        <w:ind w:firstLine="0"/>
        <w:jc w:val="center"/>
        <w:rPr>
          <w:color w:val="000000" w:themeColor="text1"/>
        </w:rPr>
      </w:pPr>
      <w:r w:rsidRPr="00581906">
        <w:rPr>
          <w:color w:val="000000" w:themeColor="text1"/>
        </w:rPr>
        <w:t>Institution</w:t>
      </w:r>
    </w:p>
    <w:p w:rsidR="00345A78" w:rsidRPr="00581906" w:rsidRDefault="00345A78" w:rsidP="00581906">
      <w:pPr>
        <w:pStyle w:val="p2"/>
        <w:spacing w:before="0" w:beforeAutospacing="0" w:after="0" w:afterAutospacing="0" w:line="480" w:lineRule="auto"/>
        <w:ind w:firstLine="0"/>
        <w:jc w:val="center"/>
        <w:rPr>
          <w:color w:val="000000" w:themeColor="text1"/>
        </w:rPr>
      </w:pPr>
      <w:r w:rsidRPr="00581906">
        <w:rPr>
          <w:color w:val="000000" w:themeColor="text1"/>
        </w:rPr>
        <w:t>Course</w:t>
      </w:r>
    </w:p>
    <w:p w:rsidR="00345A78" w:rsidRPr="00581906" w:rsidRDefault="00345A78" w:rsidP="00581906">
      <w:pPr>
        <w:pStyle w:val="p2"/>
        <w:spacing w:before="0" w:beforeAutospacing="0" w:after="0" w:afterAutospacing="0" w:line="480" w:lineRule="auto"/>
        <w:ind w:firstLine="0"/>
        <w:jc w:val="center"/>
        <w:rPr>
          <w:color w:val="000000" w:themeColor="text1"/>
        </w:rPr>
      </w:pPr>
      <w:r w:rsidRPr="00581906">
        <w:rPr>
          <w:color w:val="000000" w:themeColor="text1"/>
        </w:rPr>
        <w:t>Instructor’s Name</w:t>
      </w:r>
    </w:p>
    <w:p w:rsidR="00345A78" w:rsidRPr="00581906" w:rsidRDefault="00345A78" w:rsidP="00581906">
      <w:pPr>
        <w:pStyle w:val="p2"/>
        <w:spacing w:before="0" w:beforeAutospacing="0" w:after="0" w:afterAutospacing="0" w:line="480" w:lineRule="auto"/>
        <w:ind w:firstLine="0"/>
        <w:jc w:val="center"/>
        <w:rPr>
          <w:color w:val="000000" w:themeColor="text1"/>
        </w:rPr>
      </w:pPr>
      <w:r w:rsidRPr="00581906">
        <w:rPr>
          <w:color w:val="000000" w:themeColor="text1"/>
        </w:rPr>
        <w:t>Date</w:t>
      </w:r>
    </w:p>
    <w:p w:rsidR="00320045" w:rsidRPr="00581906" w:rsidRDefault="00320045" w:rsidP="00581906">
      <w:pPr>
        <w:spacing w:after="0" w:line="48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20045" w:rsidRPr="00581906" w:rsidRDefault="00320045" w:rsidP="00581906">
      <w:pPr>
        <w:spacing w:after="0" w:line="48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819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 w:type="page"/>
      </w:r>
    </w:p>
    <w:p w:rsidR="002B2F3C" w:rsidRPr="00581906" w:rsidRDefault="002B2F3C" w:rsidP="00581906">
      <w:pPr>
        <w:spacing w:after="0" w:line="48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Chapter 14</w:t>
      </w:r>
    </w:p>
    <w:p w:rsidR="006C74B1" w:rsidRPr="00581906" w:rsidRDefault="006C74B1" w:rsidP="00581906">
      <w:pPr>
        <w:pStyle w:val="Heading1"/>
        <w:spacing w:before="0" w:line="48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819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Mobile web</w:t>
      </w:r>
    </w:p>
    <w:p w:rsidR="00E90AAD" w:rsidRPr="00581906" w:rsidRDefault="00E90AAD" w:rsidP="00581906">
      <w:pPr>
        <w:spacing w:after="0" w:line="48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Mobile web is the scenario where the Internet is accessed via handheld devices. This has become </w:t>
      </w:r>
      <w:r w:rsidR="007B62A7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common phenomenon, particularly </w:t>
      </w:r>
      <w:r w:rsidR="00203B3D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following </w:t>
      </w:r>
      <w:r w:rsidR="007B62A7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advent of such wireless gadgets as smartphones. </w:t>
      </w:r>
      <w:r w:rsidR="006D764C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203B3D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ndeed, they are being used to access </w:t>
      </w:r>
      <w:r w:rsidR="005060B0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="00A8589F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services on the World Wide Web</w:t>
      </w:r>
      <w:r w:rsidR="005060B0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the same extent as lap</w:t>
      </w:r>
      <w:r w:rsidR="007D230A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top and desktops </w:t>
      </w:r>
      <w:r w:rsidR="006D764C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compu</w:t>
      </w:r>
      <w:r w:rsidR="006D764C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ters </w:t>
      </w:r>
      <w:r w:rsidR="007D230A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can</w:t>
      </w:r>
      <w:r w:rsidR="001E1332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="001E1332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Jamsa</w:t>
      </w:r>
      <w:proofErr w:type="spellEnd"/>
      <w:r w:rsidR="001E1332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, 2013).</w:t>
      </w:r>
      <w:r w:rsidR="00A24EF1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Billions of people across the world are reaping the benefits of such Internet connectivity as the infrastructure required to access web resources </w:t>
      </w:r>
      <w:r w:rsidR="00217221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has been</w:t>
      </w:r>
      <w:r w:rsidR="00A24EF1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dramatically </w:t>
      </w:r>
      <w:r w:rsidR="00217221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simplified</w:t>
      </w:r>
      <w:r w:rsidR="00A24EF1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. The cost is also affordable as all one needs is a mobile garget and cheap data bundles.</w:t>
      </w:r>
      <w:r w:rsidR="00F56412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5775E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Upon noticing this opportunity, s</w:t>
      </w:r>
      <w:r w:rsidR="00F56412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take</w:t>
      </w:r>
      <w:r w:rsidR="00C5775E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holders in such sectors as banking, health, transportation, and agriculture have started </w:t>
      </w:r>
      <w:r w:rsidR="00524828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disseminating information for the consumption of the people using mobile devices</w:t>
      </w:r>
      <w:r w:rsidR="001E1332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="001E1332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Schleier</w:t>
      </w:r>
      <w:proofErr w:type="spellEnd"/>
      <w:r w:rsidR="001E1332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-Smith</w:t>
      </w:r>
      <w:r w:rsidR="001E1332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et al., </w:t>
      </w:r>
      <w:r w:rsidR="001E1332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2021</w:t>
      </w:r>
      <w:r w:rsidR="001E1332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524828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13E7F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use of mobile web is bound to continue as it is presenting unprecedented benefits.</w:t>
      </w:r>
    </w:p>
    <w:p w:rsidR="006C74B1" w:rsidRPr="00581906" w:rsidRDefault="002B2F3C" w:rsidP="00581906">
      <w:pPr>
        <w:pStyle w:val="Heading1"/>
        <w:spacing w:before="0" w:line="48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819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Ordinary cell phones versus smartphones</w:t>
      </w:r>
    </w:p>
    <w:p w:rsidR="00217221" w:rsidRPr="00581906" w:rsidRDefault="00217221" w:rsidP="00581906">
      <w:pPr>
        <w:spacing w:after="0" w:line="48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An ordinary phone is a gadget that supports on</w:t>
      </w:r>
      <w:r w:rsidR="00E02D37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ly the basic c</w:t>
      </w:r>
      <w:r w:rsidR="00966455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ommunication fe</w:t>
      </w:r>
      <w:r w:rsidR="00CB3383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atures, and it tends to have </w:t>
      </w:r>
      <w:r w:rsidR="00E02D37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limited </w:t>
      </w:r>
      <w:r w:rsidR="00CB3383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or no </w:t>
      </w:r>
      <w:r w:rsidR="00E02D37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Internet capabilities. On their part, smartphones have operating systems and they are essentially minicomputers</w:t>
      </w:r>
      <w:r w:rsidR="001D33D0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They are used for a lot more than making calls and texting messages. </w:t>
      </w:r>
      <w:r w:rsidR="00CC647C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Indeed, smartphones </w:t>
      </w:r>
      <w:r w:rsidR="0031162F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are </w:t>
      </w:r>
      <w:r w:rsidR="00CB3383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preferred </w:t>
      </w:r>
      <w:r w:rsidR="0031162F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by those who need </w:t>
      </w:r>
      <w:r w:rsidR="00850AF4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services which are</w:t>
      </w:r>
      <w:r w:rsidR="00E25945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more </w:t>
      </w:r>
      <w:r w:rsidR="0031162F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advanced than </w:t>
      </w:r>
      <w:r w:rsidR="00E25945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just </w:t>
      </w:r>
      <w:r w:rsidR="0031162F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the traditional telephony uses</w:t>
      </w:r>
      <w:r w:rsidR="001E1332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="001E1332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Jamsa</w:t>
      </w:r>
      <w:proofErr w:type="spellEnd"/>
      <w:r w:rsidR="001E1332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, 2012)</w:t>
      </w:r>
      <w:r w:rsidR="0031162F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CC647C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This is because they</w:t>
      </w:r>
      <w:r w:rsidR="00173DF0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A472D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present </w:t>
      </w:r>
      <w:r w:rsidR="00173DF0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limitless possibilities, and they keep on improving with every new release. The additional capabilities</w:t>
      </w:r>
      <w:r w:rsidR="005A472D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are</w:t>
      </w:r>
      <w:r w:rsidR="00173DF0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either demanded by the users or brainstormed by the developers.</w:t>
      </w:r>
      <w:r w:rsidR="003C4B37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Among their not</w:t>
      </w:r>
      <w:r w:rsidR="00486E9B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eworthy capacities include the support for video conferencing, media players, online surfing, and having GPS </w:t>
      </w:r>
      <w:r w:rsidR="00CD0DBE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navigation units</w:t>
      </w:r>
      <w:r w:rsidR="001E1332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="001E1332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Schleier</w:t>
      </w:r>
      <w:proofErr w:type="spellEnd"/>
      <w:r w:rsidR="001E1332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-Smith</w:t>
      </w:r>
      <w:r w:rsidR="001E1332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et al., </w:t>
      </w:r>
      <w:r w:rsidR="001E1332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2021</w:t>
      </w:r>
      <w:r w:rsidR="001E1332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CD0DBE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These </w:t>
      </w:r>
      <w:r w:rsidR="00A45817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features </w:t>
      </w:r>
      <w:r w:rsidR="00A45817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have always been regarded as being typical of computers. Any phone that </w:t>
      </w:r>
      <w:r w:rsidR="00075E40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have</w:t>
      </w:r>
      <w:r w:rsidR="00A45817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them </w:t>
      </w:r>
      <w:r w:rsidR="00075E40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is </w:t>
      </w:r>
      <w:r w:rsidR="005A472D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viewed as being </w:t>
      </w:r>
      <w:r w:rsidR="00075E40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smart, while those which are without them are deemed to be ordinary.</w:t>
      </w:r>
    </w:p>
    <w:p w:rsidR="006C74B1" w:rsidRPr="00581906" w:rsidRDefault="00A16FAF" w:rsidP="00581906">
      <w:pPr>
        <w:spacing w:after="0" w:line="48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Chapter 15</w:t>
      </w:r>
    </w:p>
    <w:p w:rsidR="00A16FAF" w:rsidRPr="00581906" w:rsidRDefault="00A16FAF" w:rsidP="00581906">
      <w:pPr>
        <w:pStyle w:val="Heading1"/>
        <w:spacing w:before="0" w:line="48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819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Corporate governance</w:t>
      </w:r>
    </w:p>
    <w:p w:rsidR="00986C17" w:rsidRPr="00581906" w:rsidRDefault="00122D5A" w:rsidP="00581906">
      <w:pPr>
        <w:spacing w:after="0" w:line="48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="004466CA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orporate governance refers to the processes, rules, and practices through which a </w:t>
      </w:r>
      <w:r w:rsidR="00D1448F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firms’</w:t>
      </w:r>
      <w:r w:rsidR="004466CA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activities</w:t>
      </w:r>
      <w:r w:rsidR="00141FF1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are controlled and directed. It</w:t>
      </w:r>
      <w:r w:rsidR="004466CA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 </w:t>
      </w:r>
      <w:r w:rsidR="00D1448F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primarily about the balancing of the numerous stakeholders’ interests</w:t>
      </w:r>
      <w:r w:rsidR="00141FF1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141FF1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ndeed, the views and aspirations of the shareholders, customers, the executives, financiers, suppliers, and the community in general must be considered.</w:t>
      </w:r>
      <w:r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Corporate governance encompasses the </w:t>
      </w:r>
      <w:r w:rsidR="004F6DB4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policies and procedures </w:t>
      </w:r>
      <w:r w:rsidR="00EB0027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whose implementation is </w:t>
      </w:r>
      <w:r w:rsidR="004F6DB4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geared towards the attainment of the organization’s objectives</w:t>
      </w:r>
      <w:r w:rsidR="00932759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(Martino,</w:t>
      </w:r>
      <w:r w:rsidR="00932759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32759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D’Onza</w:t>
      </w:r>
      <w:proofErr w:type="spellEnd"/>
      <w:r w:rsidR="00932759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, &amp; Melville, 2021</w:t>
      </w:r>
      <w:r w:rsidR="00932759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4F6DB4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The board of directors have the primary role of influencing </w:t>
      </w:r>
      <w:r w:rsidR="00D85F1E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this kind of undertaking, although </w:t>
      </w:r>
      <w:r w:rsidR="00EB0027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r w:rsidR="00D85F1E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actual implementation of the steps required to achieve it is the work of the executive. </w:t>
      </w:r>
      <w:r w:rsidR="00507C18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Ineffective corporate governance may undermine the stakeholders’ confidence in the organization’s ability to realize the desired goals.</w:t>
      </w:r>
      <w:r w:rsidR="002F5229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If such concerns are left unaddressed, they may </w:t>
      </w:r>
      <w:r w:rsidR="00B35699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weaken</w:t>
      </w:r>
      <w:r w:rsidR="002F5229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performance and ultimately undermine </w:t>
      </w:r>
      <w:r w:rsidR="007E1E84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profitability</w:t>
      </w:r>
      <w:r w:rsidR="00345A78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(Gao &amp; Zhang, 2019)</w:t>
      </w:r>
      <w:r w:rsidR="007E1E84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9A03C3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r w:rsidR="002F5229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board and the management will </w:t>
      </w:r>
      <w:r w:rsidR="007E1E84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have failed in their fiduciary responsibilities.</w:t>
      </w:r>
    </w:p>
    <w:p w:rsidR="00A16FAF" w:rsidRPr="00581906" w:rsidRDefault="00A16FAF" w:rsidP="00581906">
      <w:pPr>
        <w:pStyle w:val="Heading1"/>
        <w:spacing w:before="0" w:line="48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819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Sarbanes/Oxley</w:t>
      </w:r>
      <w:r w:rsidRPr="005819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and corporate governance</w:t>
      </w:r>
    </w:p>
    <w:p w:rsidR="009A03C3" w:rsidRPr="00581906" w:rsidRDefault="005C02C1" w:rsidP="00581906">
      <w:pPr>
        <w:spacing w:after="0" w:line="48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Sarbanes-Oxley Act (2002) was passed at a time when </w:t>
      </w:r>
      <w:r w:rsidR="0084037D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corruption scandals had plagued </w:t>
      </w:r>
      <w:r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several major corporat</w:t>
      </w:r>
      <w:r w:rsidR="0084037D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ions in the US.</w:t>
      </w:r>
      <w:r w:rsidR="001268AA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Among them included Waste Management </w:t>
      </w:r>
      <w:r w:rsidR="001B6D2C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Inc.’s s</w:t>
      </w:r>
      <w:r w:rsidR="001268AA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candal </w:t>
      </w:r>
      <w:r w:rsidR="001B6D2C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of 1998</w:t>
      </w:r>
      <w:r w:rsidR="001268AA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Enron Corporation’s </w:t>
      </w:r>
      <w:r w:rsidR="001B6D2C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1268AA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candal </w:t>
      </w:r>
      <w:r w:rsidR="001B6D2C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 2001, and the </w:t>
      </w:r>
      <w:r w:rsidR="00A512F5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WorldCom scandal of 2002. The executives of these firms were engaging in several unethical practice</w:t>
      </w:r>
      <w:r w:rsidR="007471A6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 which were primarily meant to </w:t>
      </w:r>
      <w:r w:rsidR="00A512F5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deceive their investors.</w:t>
      </w:r>
      <w:r w:rsidR="000D5295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D5295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The Sarbanes-Oxley Act</w:t>
      </w:r>
      <w:r w:rsidR="000D5295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has made cheating a lot harder than it was before its passage</w:t>
      </w:r>
      <w:r w:rsidR="00234053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(Gao &amp; Zhang, 2019)</w:t>
      </w:r>
      <w:r w:rsidR="000D5295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Firms are now required to hire </w:t>
      </w:r>
      <w:r w:rsidR="003543DE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credible and </w:t>
      </w:r>
      <w:r w:rsidR="003543DE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approved external auditors to ascertain that they are following the law. Firms must also keep proper documentation</w:t>
      </w:r>
      <w:r w:rsidR="00C00BE9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and these are kept in formats that are in-line with </w:t>
      </w:r>
      <w:r w:rsidR="007471A6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="00C00BE9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sanctioned standards.</w:t>
      </w:r>
      <w:r w:rsidR="007471A6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</w:t>
      </w:r>
      <w:r w:rsidR="00D44C79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n essence, there is much greater control than it used to be the case, and penalties for non-compliance have been increased. For instance, those engaging in security fraud risk a jail term of 25 years, while professionals obstructing justice may be sentenced to 20 years in prison. It is a lot difficult to collude than it was in 2001</w:t>
      </w:r>
      <w:r w:rsidR="00932759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932759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Martino</w:t>
      </w:r>
      <w:r w:rsidR="00932759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et al., </w:t>
      </w:r>
      <w:r w:rsidR="00932759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2021</w:t>
      </w:r>
      <w:r w:rsidR="00932759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D44C79"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81906" w:rsidRPr="00581906" w:rsidRDefault="00581906" w:rsidP="00581906">
      <w:p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81906" w:rsidRPr="00581906" w:rsidRDefault="00581906" w:rsidP="00581906">
      <w:p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81906" w:rsidRPr="00581906" w:rsidRDefault="00581906" w:rsidP="00581906">
      <w:p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6C74B1" w:rsidRPr="00581906" w:rsidRDefault="006C74B1" w:rsidP="00581906">
      <w:pPr>
        <w:spacing w:after="0" w:line="48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819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References</w:t>
      </w:r>
    </w:p>
    <w:p w:rsidR="00581906" w:rsidRPr="00581906" w:rsidRDefault="00581906" w:rsidP="00581906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Gao, H., &amp; Zhang, J. (2019). SOX section 404 and corporate innovation.</w:t>
      </w:r>
      <w:r w:rsidRPr="0058190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Journal of Financial &amp; Quantitative Analysis, 54</w:t>
      </w:r>
      <w:r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(2), 759–787. </w:t>
      </w:r>
      <w:hyperlink r:id="rId7" w:history="1">
        <w:r w:rsidRPr="00581906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</w:rPr>
          <w:t>https://doi.org/10.1017/S0022109018000844</w:t>
        </w:r>
      </w:hyperlink>
    </w:p>
    <w:p w:rsidR="00581906" w:rsidRPr="00581906" w:rsidRDefault="00581906" w:rsidP="00581906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Jamsa</w:t>
      </w:r>
      <w:proofErr w:type="spellEnd"/>
      <w:r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K. (2012). </w:t>
      </w:r>
      <w:r w:rsidRPr="0058190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Cloud computing: SaaS, PaaS, IaaS, virtualization, business models, mobile, security and more</w:t>
      </w:r>
      <w:r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. Jones &amp; Bartlett Publishers.</w:t>
      </w:r>
    </w:p>
    <w:p w:rsidR="00581906" w:rsidRPr="00581906" w:rsidRDefault="00581906" w:rsidP="00581906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Jamsa</w:t>
      </w:r>
      <w:proofErr w:type="spellEnd"/>
      <w:r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K. (2013). </w:t>
      </w:r>
      <w:r w:rsidRPr="0058190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Introduction to web development using HTML 5</w:t>
      </w:r>
      <w:r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. Jones &amp; Bartlett Publishers.</w:t>
      </w:r>
    </w:p>
    <w:p w:rsidR="00581906" w:rsidRPr="00581906" w:rsidRDefault="00581906" w:rsidP="00581906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Martino, P., </w:t>
      </w:r>
      <w:proofErr w:type="spellStart"/>
      <w:r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D’Onza</w:t>
      </w:r>
      <w:proofErr w:type="spellEnd"/>
      <w:r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G., &amp; Melville, R. (2021). The relationship between CAE leadership and the IAF’s involvement in corporate governance. </w:t>
      </w:r>
      <w:r w:rsidRPr="0058190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Journal of Accounting, Auditing &amp; Finance, 36</w:t>
      </w:r>
      <w:r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(2), 430–448. </w:t>
      </w:r>
      <w:hyperlink r:id="rId8" w:history="1">
        <w:r w:rsidRPr="00581906">
          <w:rPr>
            <w:rStyle w:val="Hyperlink"/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https://doi.org/10.1177/0148558X19867539</w:t>
        </w:r>
      </w:hyperlink>
    </w:p>
    <w:p w:rsidR="00581906" w:rsidRPr="00581906" w:rsidRDefault="00581906" w:rsidP="00581906">
      <w:pPr>
        <w:spacing w:after="0"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Schleier</w:t>
      </w:r>
      <w:proofErr w:type="spellEnd"/>
      <w:r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-Smith, J., </w:t>
      </w:r>
      <w:proofErr w:type="spellStart"/>
      <w:r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Sreekanti</w:t>
      </w:r>
      <w:proofErr w:type="spellEnd"/>
      <w:r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V., </w:t>
      </w:r>
      <w:proofErr w:type="spellStart"/>
      <w:r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Khandelwal</w:t>
      </w:r>
      <w:proofErr w:type="spellEnd"/>
      <w:r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A., </w:t>
      </w:r>
      <w:proofErr w:type="spellStart"/>
      <w:r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Carreira</w:t>
      </w:r>
      <w:proofErr w:type="spellEnd"/>
      <w:r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J., </w:t>
      </w:r>
      <w:proofErr w:type="spellStart"/>
      <w:r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Yadwadkar</w:t>
      </w:r>
      <w:proofErr w:type="spellEnd"/>
      <w:r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N. J., </w:t>
      </w:r>
      <w:proofErr w:type="spellStart"/>
      <w:r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Popa</w:t>
      </w:r>
      <w:proofErr w:type="spellEnd"/>
      <w:r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R. A., Gonzalez, J. E., </w:t>
      </w:r>
      <w:proofErr w:type="spellStart"/>
      <w:r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>Stoica</w:t>
      </w:r>
      <w:proofErr w:type="spellEnd"/>
      <w:r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I., &amp; Patterson, D. A. (2021). What server-less computing is and should become: The next phase of cloud computing. </w:t>
      </w:r>
      <w:r w:rsidRPr="0058190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Communications of the ACM, 64</w:t>
      </w:r>
      <w:r w:rsidRPr="005819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(5), 76–84. </w:t>
      </w:r>
      <w:hyperlink r:id="rId9" w:history="1">
        <w:r w:rsidRPr="00581906">
          <w:rPr>
            <w:rStyle w:val="Hyperlink"/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https://doi.org/10.1145/3406011</w:t>
        </w:r>
      </w:hyperlink>
      <w:bookmarkEnd w:id="0"/>
    </w:p>
    <w:sectPr w:rsidR="00581906" w:rsidRPr="005819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3DC" w:rsidRDefault="006613DC" w:rsidP="00581906">
      <w:pPr>
        <w:spacing w:after="0" w:line="240" w:lineRule="auto"/>
      </w:pPr>
      <w:r>
        <w:separator/>
      </w:r>
    </w:p>
  </w:endnote>
  <w:endnote w:type="continuationSeparator" w:id="0">
    <w:p w:rsidR="006613DC" w:rsidRDefault="006613DC" w:rsidP="00581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D73" w:rsidRDefault="006B2D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D73" w:rsidRDefault="006B2D7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D73" w:rsidRDefault="006B2D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3DC" w:rsidRDefault="006613DC" w:rsidP="00581906">
      <w:pPr>
        <w:spacing w:after="0" w:line="240" w:lineRule="auto"/>
      </w:pPr>
      <w:r>
        <w:separator/>
      </w:r>
    </w:p>
  </w:footnote>
  <w:footnote w:type="continuationSeparator" w:id="0">
    <w:p w:rsidR="006613DC" w:rsidRDefault="006613DC" w:rsidP="005819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D73" w:rsidRDefault="006B2D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1253500290"/>
      <w:docPartObj>
        <w:docPartGallery w:val="Page Numbers (Top of Page)"/>
        <w:docPartUnique/>
      </w:docPartObj>
    </w:sdtPr>
    <w:sdtEndPr>
      <w:rPr>
        <w:noProof/>
      </w:rPr>
    </w:sdtEndPr>
    <w:sdtContent>
      <w:p w:rsidR="00581906" w:rsidRPr="00581906" w:rsidRDefault="00581906" w:rsidP="00581906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8190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8190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8190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B2D73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581906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D73" w:rsidRDefault="006B2D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44002"/>
    <w:multiLevelType w:val="multilevel"/>
    <w:tmpl w:val="AD7E5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2D0109C"/>
    <w:multiLevelType w:val="multilevel"/>
    <w:tmpl w:val="C7000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D605564"/>
    <w:multiLevelType w:val="multilevel"/>
    <w:tmpl w:val="65C47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389"/>
    <w:rsid w:val="00013E7F"/>
    <w:rsid w:val="00075E40"/>
    <w:rsid w:val="000D5295"/>
    <w:rsid w:val="00122D5A"/>
    <w:rsid w:val="001268AA"/>
    <w:rsid w:val="00141FF1"/>
    <w:rsid w:val="00143FD1"/>
    <w:rsid w:val="00173DF0"/>
    <w:rsid w:val="001B6D2C"/>
    <w:rsid w:val="001D33D0"/>
    <w:rsid w:val="001E1332"/>
    <w:rsid w:val="00203B3D"/>
    <w:rsid w:val="00217221"/>
    <w:rsid w:val="00234053"/>
    <w:rsid w:val="002B2F3C"/>
    <w:rsid w:val="002F5229"/>
    <w:rsid w:val="0031162F"/>
    <w:rsid w:val="00320045"/>
    <w:rsid w:val="00345A78"/>
    <w:rsid w:val="003543DE"/>
    <w:rsid w:val="003C4B37"/>
    <w:rsid w:val="003D1B82"/>
    <w:rsid w:val="0044023D"/>
    <w:rsid w:val="004466CA"/>
    <w:rsid w:val="004566A6"/>
    <w:rsid w:val="00486E9B"/>
    <w:rsid w:val="004F6DB4"/>
    <w:rsid w:val="005060B0"/>
    <w:rsid w:val="00507C18"/>
    <w:rsid w:val="005149FF"/>
    <w:rsid w:val="00524828"/>
    <w:rsid w:val="00581906"/>
    <w:rsid w:val="005A472D"/>
    <w:rsid w:val="005C02C1"/>
    <w:rsid w:val="005F4897"/>
    <w:rsid w:val="006613DC"/>
    <w:rsid w:val="00686E39"/>
    <w:rsid w:val="006B2D73"/>
    <w:rsid w:val="006C74B1"/>
    <w:rsid w:val="006D764C"/>
    <w:rsid w:val="007471A6"/>
    <w:rsid w:val="00774351"/>
    <w:rsid w:val="007B62A7"/>
    <w:rsid w:val="007D230A"/>
    <w:rsid w:val="007E1E84"/>
    <w:rsid w:val="0084037D"/>
    <w:rsid w:val="00844116"/>
    <w:rsid w:val="00850AF4"/>
    <w:rsid w:val="008E55B0"/>
    <w:rsid w:val="00916A16"/>
    <w:rsid w:val="00932759"/>
    <w:rsid w:val="00966455"/>
    <w:rsid w:val="00986C17"/>
    <w:rsid w:val="009A03C3"/>
    <w:rsid w:val="00A16FAF"/>
    <w:rsid w:val="00A24EF1"/>
    <w:rsid w:val="00A45817"/>
    <w:rsid w:val="00A512F5"/>
    <w:rsid w:val="00A75EF7"/>
    <w:rsid w:val="00A8589F"/>
    <w:rsid w:val="00AC6389"/>
    <w:rsid w:val="00AE4E0F"/>
    <w:rsid w:val="00B035EC"/>
    <w:rsid w:val="00B27A2D"/>
    <w:rsid w:val="00B35699"/>
    <w:rsid w:val="00B45386"/>
    <w:rsid w:val="00B943D2"/>
    <w:rsid w:val="00BD2996"/>
    <w:rsid w:val="00C00BE9"/>
    <w:rsid w:val="00C5775E"/>
    <w:rsid w:val="00C62506"/>
    <w:rsid w:val="00C827CC"/>
    <w:rsid w:val="00CB3383"/>
    <w:rsid w:val="00CC5C6E"/>
    <w:rsid w:val="00CC647C"/>
    <w:rsid w:val="00CD0DBE"/>
    <w:rsid w:val="00D1448F"/>
    <w:rsid w:val="00D44C79"/>
    <w:rsid w:val="00D85F1E"/>
    <w:rsid w:val="00E02D37"/>
    <w:rsid w:val="00E25945"/>
    <w:rsid w:val="00E90AAD"/>
    <w:rsid w:val="00EB0027"/>
    <w:rsid w:val="00F56412"/>
    <w:rsid w:val="00FB10C1"/>
    <w:rsid w:val="00FF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B36AC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6389"/>
  </w:style>
  <w:style w:type="paragraph" w:styleId="Heading1">
    <w:name w:val="heading 1"/>
    <w:basedOn w:val="Normal"/>
    <w:next w:val="Normal"/>
    <w:link w:val="Heading1Char"/>
    <w:uiPriority w:val="9"/>
    <w:qFormat/>
    <w:rsid w:val="00A16F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23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6D2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6389"/>
    <w:rPr>
      <w:color w:val="0563C1" w:themeColor="hyperlink"/>
      <w:u w:val="single"/>
    </w:rPr>
  </w:style>
  <w:style w:type="character" w:customStyle="1" w:styleId="hiddenusername">
    <w:name w:val="hiddenusername"/>
    <w:basedOn w:val="DefaultParagraphFont"/>
    <w:rsid w:val="00FB10C1"/>
  </w:style>
  <w:style w:type="paragraph" w:styleId="NormalWeb">
    <w:name w:val="Normal (Web)"/>
    <w:basedOn w:val="Normal"/>
    <w:uiPriority w:val="99"/>
    <w:semiHidden/>
    <w:unhideWhenUsed/>
    <w:rsid w:val="00FB1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quirement">
    <w:name w:val="requirement"/>
    <w:basedOn w:val="Normal"/>
    <w:rsid w:val="00FB1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16FA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230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6D2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p2">
    <w:name w:val="p2"/>
    <w:basedOn w:val="Normal"/>
    <w:rsid w:val="00345A78"/>
    <w:pPr>
      <w:spacing w:before="100" w:beforeAutospacing="1" w:after="100" w:afterAutospacing="1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8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1906"/>
  </w:style>
  <w:style w:type="paragraph" w:styleId="Footer">
    <w:name w:val="footer"/>
    <w:basedOn w:val="Normal"/>
    <w:link w:val="FooterChar"/>
    <w:uiPriority w:val="99"/>
    <w:unhideWhenUsed/>
    <w:rsid w:val="0058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19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9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579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6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87708">
          <w:marLeft w:val="-225"/>
          <w:marRight w:val="-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3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37921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0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35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177/0148558X19867539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doi.org/10.1017/S0022109018000844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1145/3406011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814</Words>
  <Characters>4645</Characters>
  <Application>Microsoft Office Word</Application>
  <DocSecurity>0</DocSecurity>
  <Lines>38</Lines>
  <Paragraphs>10</Paragraphs>
  <ScaleCrop>false</ScaleCrop>
  <Company/>
  <LinksUpToDate>false</LinksUpToDate>
  <CharactersWithSpaces>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2021-08-04T08:14:00Z</dcterms:created>
  <dcterms:modified xsi:type="dcterms:W3CDTF">2021-08-04T08:15:00Z</dcterms:modified>
</cp:coreProperties>
</file>