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C8536"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B6F2FB9"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2386B482"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01C7B313"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52D9D31" w14:textId="16FF6C35" w:rsidR="00D87A4A" w:rsidRDefault="00D87A4A" w:rsidP="00D87A4A">
      <w:pPr>
        <w:pStyle w:val="NormalWeb"/>
        <w:spacing w:before="0" w:beforeAutospacing="0" w:after="0" w:afterAutospacing="0" w:line="480" w:lineRule="auto"/>
        <w:ind w:firstLine="720"/>
        <w:jc w:val="center"/>
        <w:rPr>
          <w:rStyle w:val="Strong"/>
          <w:b w:val="0"/>
          <w:color w:val="0E101A"/>
        </w:rPr>
      </w:pPr>
    </w:p>
    <w:p w14:paraId="5FE6DE41" w14:textId="36E95BE0" w:rsidR="008D0C32" w:rsidRDefault="008D0C32" w:rsidP="00D87A4A">
      <w:pPr>
        <w:pStyle w:val="NormalWeb"/>
        <w:spacing w:before="0" w:beforeAutospacing="0" w:after="0" w:afterAutospacing="0" w:line="480" w:lineRule="auto"/>
        <w:ind w:firstLine="720"/>
        <w:jc w:val="center"/>
        <w:rPr>
          <w:rStyle w:val="Strong"/>
          <w:b w:val="0"/>
          <w:color w:val="0E101A"/>
        </w:rPr>
      </w:pPr>
    </w:p>
    <w:p w14:paraId="3176684F" w14:textId="268C6090" w:rsidR="008D0C32" w:rsidRDefault="008D0C32" w:rsidP="00D87A4A">
      <w:pPr>
        <w:pStyle w:val="NormalWeb"/>
        <w:spacing w:before="0" w:beforeAutospacing="0" w:after="0" w:afterAutospacing="0" w:line="480" w:lineRule="auto"/>
        <w:ind w:firstLine="720"/>
        <w:jc w:val="center"/>
        <w:rPr>
          <w:rStyle w:val="Strong"/>
          <w:b w:val="0"/>
          <w:color w:val="0E101A"/>
        </w:rPr>
      </w:pPr>
    </w:p>
    <w:p w14:paraId="72614130" w14:textId="77777777" w:rsidR="008D0C32" w:rsidRDefault="008D0C32" w:rsidP="00D87A4A">
      <w:pPr>
        <w:pStyle w:val="NormalWeb"/>
        <w:spacing w:before="0" w:beforeAutospacing="0" w:after="0" w:afterAutospacing="0" w:line="480" w:lineRule="auto"/>
        <w:ind w:firstLine="720"/>
        <w:jc w:val="center"/>
        <w:rPr>
          <w:rStyle w:val="Strong"/>
          <w:b w:val="0"/>
          <w:color w:val="0E101A"/>
        </w:rPr>
      </w:pPr>
    </w:p>
    <w:p w14:paraId="76073E0D" w14:textId="3B31A2C3" w:rsidR="008D0C32" w:rsidRPr="008D0C32" w:rsidRDefault="00D87A4A" w:rsidP="008D0C32">
      <w:pPr>
        <w:pStyle w:val="NormalWeb"/>
        <w:spacing w:before="0" w:beforeAutospacing="0" w:after="0" w:afterAutospacing="0" w:line="480" w:lineRule="auto"/>
        <w:ind w:firstLine="720"/>
        <w:jc w:val="center"/>
        <w:rPr>
          <w:rStyle w:val="Strong"/>
          <w:b w:val="0"/>
          <w:color w:val="0E101A"/>
        </w:rPr>
      </w:pPr>
      <w:r w:rsidRPr="008D0C32">
        <w:rPr>
          <w:rStyle w:val="Strong"/>
          <w:b w:val="0"/>
          <w:color w:val="0E101A"/>
        </w:rPr>
        <w:t>Nursing Questi</w:t>
      </w:r>
      <w:r w:rsidR="00BE3E2D">
        <w:rPr>
          <w:rStyle w:val="Strong"/>
          <w:b w:val="0"/>
          <w:color w:val="0E101A"/>
        </w:rPr>
        <w:t xml:space="preserve">on </w:t>
      </w:r>
      <w:r w:rsidRPr="008D0C32">
        <w:rPr>
          <w:rStyle w:val="Strong"/>
          <w:b w:val="0"/>
          <w:color w:val="0E101A"/>
        </w:rPr>
        <w:t xml:space="preserve"> </w:t>
      </w:r>
    </w:p>
    <w:p w14:paraId="5D74B1EC" w14:textId="77777777" w:rsidR="008D0C32" w:rsidRPr="008D0C32" w:rsidRDefault="00D87A4A" w:rsidP="008D0C32">
      <w:pPr>
        <w:pStyle w:val="NormalWeb"/>
        <w:spacing w:before="0" w:beforeAutospacing="0" w:after="0" w:afterAutospacing="0" w:line="480" w:lineRule="auto"/>
        <w:ind w:firstLine="720"/>
        <w:jc w:val="center"/>
        <w:rPr>
          <w:rStyle w:val="Strong"/>
          <w:b w:val="0"/>
          <w:color w:val="0E101A"/>
        </w:rPr>
      </w:pPr>
      <w:r w:rsidRPr="008D0C32">
        <w:rPr>
          <w:rStyle w:val="Strong"/>
          <w:b w:val="0"/>
          <w:color w:val="0E101A"/>
        </w:rPr>
        <w:t xml:space="preserve">Student’s Name </w:t>
      </w:r>
    </w:p>
    <w:p w14:paraId="4E8F0CCC" w14:textId="6BEC25D8" w:rsidR="00D87A4A" w:rsidRPr="008D0C32" w:rsidRDefault="00D87A4A" w:rsidP="008D0C32">
      <w:pPr>
        <w:pStyle w:val="NormalWeb"/>
        <w:spacing w:before="0" w:beforeAutospacing="0" w:after="0" w:afterAutospacing="0" w:line="480" w:lineRule="auto"/>
        <w:ind w:firstLine="720"/>
        <w:jc w:val="center"/>
        <w:rPr>
          <w:rStyle w:val="Strong"/>
          <w:b w:val="0"/>
          <w:color w:val="0E101A"/>
        </w:rPr>
      </w:pPr>
      <w:r w:rsidRPr="008D0C32">
        <w:rPr>
          <w:rStyle w:val="Strong"/>
          <w:b w:val="0"/>
          <w:color w:val="0E101A"/>
        </w:rPr>
        <w:t xml:space="preserve">Institutional Affiliation </w:t>
      </w:r>
    </w:p>
    <w:p w14:paraId="3E7FF05C" w14:textId="77777777" w:rsidR="00D87A4A" w:rsidRPr="008D0C32" w:rsidRDefault="00D87A4A" w:rsidP="008D0C32">
      <w:pPr>
        <w:pStyle w:val="NormalWeb"/>
        <w:spacing w:before="0" w:beforeAutospacing="0" w:after="0" w:afterAutospacing="0" w:line="480" w:lineRule="auto"/>
        <w:ind w:firstLine="720"/>
        <w:jc w:val="center"/>
        <w:rPr>
          <w:rStyle w:val="Strong"/>
          <w:b w:val="0"/>
          <w:color w:val="0E101A"/>
        </w:rPr>
      </w:pPr>
    </w:p>
    <w:p w14:paraId="4D34D5F5" w14:textId="77777777" w:rsidR="00D87A4A" w:rsidRPr="008D0C32" w:rsidRDefault="00D87A4A" w:rsidP="008D0C32">
      <w:pPr>
        <w:pStyle w:val="NormalWeb"/>
        <w:spacing w:before="0" w:beforeAutospacing="0" w:after="0" w:afterAutospacing="0" w:line="480" w:lineRule="auto"/>
        <w:ind w:firstLine="720"/>
        <w:jc w:val="center"/>
        <w:rPr>
          <w:rStyle w:val="Strong"/>
          <w:b w:val="0"/>
          <w:color w:val="0E101A"/>
        </w:rPr>
      </w:pPr>
    </w:p>
    <w:p w14:paraId="7F00FE5A"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42AC78B"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5835FB48"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29F5E68E"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599A908E"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19A86F8E"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DCC5780" w14:textId="77777777" w:rsidR="00D87A4A" w:rsidRPr="00D87A4A" w:rsidRDefault="00D87A4A" w:rsidP="00D87A4A">
      <w:pPr>
        <w:pStyle w:val="NormalWeb"/>
        <w:spacing w:before="0" w:beforeAutospacing="0" w:after="0" w:afterAutospacing="0" w:line="480" w:lineRule="auto"/>
        <w:ind w:firstLine="720"/>
        <w:jc w:val="center"/>
        <w:rPr>
          <w:rStyle w:val="Strong"/>
          <w:b w:val="0"/>
          <w:color w:val="0E101A"/>
        </w:rPr>
      </w:pPr>
    </w:p>
    <w:p w14:paraId="0771257D" w14:textId="77777777" w:rsidR="008D0C32" w:rsidRDefault="008D0C32" w:rsidP="008D0C32">
      <w:pPr>
        <w:pStyle w:val="NormalWeb"/>
        <w:spacing w:before="0" w:beforeAutospacing="0" w:after="0" w:afterAutospacing="0" w:line="480" w:lineRule="auto"/>
        <w:ind w:firstLine="720"/>
        <w:jc w:val="center"/>
        <w:rPr>
          <w:rStyle w:val="Strong"/>
          <w:color w:val="0E101A"/>
        </w:rPr>
      </w:pPr>
    </w:p>
    <w:p w14:paraId="2D1315DD" w14:textId="77777777" w:rsidR="00BE3E2D" w:rsidRDefault="00BE3E2D" w:rsidP="00BE3E2D">
      <w:pPr>
        <w:pStyle w:val="NormalWeb"/>
        <w:spacing w:before="0" w:beforeAutospacing="0" w:after="0" w:afterAutospacing="0" w:line="480" w:lineRule="auto"/>
        <w:rPr>
          <w:rStyle w:val="Strong"/>
          <w:color w:val="0E101A"/>
        </w:rPr>
      </w:pPr>
    </w:p>
    <w:p w14:paraId="731B5B40" w14:textId="77777777" w:rsidR="00BE3E2D" w:rsidRDefault="00BE3E2D" w:rsidP="00BE3E2D">
      <w:pPr>
        <w:pStyle w:val="NormalWeb"/>
        <w:spacing w:before="0" w:beforeAutospacing="0" w:after="0" w:afterAutospacing="0" w:line="480" w:lineRule="auto"/>
        <w:rPr>
          <w:rStyle w:val="Strong"/>
          <w:color w:val="0E101A"/>
        </w:rPr>
      </w:pPr>
    </w:p>
    <w:p w14:paraId="5345BD30" w14:textId="2598D475" w:rsidR="00923FD1" w:rsidRPr="00296405" w:rsidRDefault="00923FD1" w:rsidP="00BE3E2D">
      <w:pPr>
        <w:pStyle w:val="NormalWeb"/>
        <w:spacing w:before="0" w:beforeAutospacing="0" w:after="0" w:afterAutospacing="0" w:line="480" w:lineRule="auto"/>
        <w:jc w:val="center"/>
        <w:rPr>
          <w:color w:val="0E101A"/>
        </w:rPr>
      </w:pPr>
      <w:r w:rsidRPr="00296405">
        <w:rPr>
          <w:rStyle w:val="Strong"/>
          <w:color w:val="0E101A"/>
        </w:rPr>
        <w:lastRenderedPageBreak/>
        <w:t>Article summary</w:t>
      </w:r>
    </w:p>
    <w:p w14:paraId="3577C5A9" w14:textId="729696DA" w:rsidR="00923FD1" w:rsidRPr="00296405" w:rsidRDefault="00923FD1" w:rsidP="0098195D">
      <w:pPr>
        <w:pStyle w:val="NormalWeb"/>
        <w:spacing w:before="0" w:beforeAutospacing="0" w:after="0" w:afterAutospacing="0" w:line="480" w:lineRule="auto"/>
        <w:ind w:firstLine="720"/>
        <w:rPr>
          <w:color w:val="0E101A"/>
        </w:rPr>
      </w:pPr>
      <w:r w:rsidRPr="00296405">
        <w:rPr>
          <w:color w:val="0E101A"/>
        </w:rPr>
        <w:t xml:space="preserve">The article by Ira </w:t>
      </w:r>
      <w:proofErr w:type="spellStart"/>
      <w:r w:rsidRPr="00296405">
        <w:rPr>
          <w:color w:val="0E101A"/>
        </w:rPr>
        <w:t>Bedzow</w:t>
      </w:r>
      <w:proofErr w:type="spellEnd"/>
      <w:r w:rsidRPr="00296405">
        <w:rPr>
          <w:color w:val="0E101A"/>
        </w:rPr>
        <w:t xml:space="preserve"> and Lila </w:t>
      </w:r>
      <w:proofErr w:type="spellStart"/>
      <w:r w:rsidRPr="00296405">
        <w:rPr>
          <w:color w:val="0E101A"/>
        </w:rPr>
        <w:t>Kagedan</w:t>
      </w:r>
      <w:proofErr w:type="spellEnd"/>
      <w:r w:rsidRPr="00296405">
        <w:rPr>
          <w:color w:val="0E101A"/>
        </w:rPr>
        <w:t xml:space="preserve"> of CNN raises ethical issues currently facing patients when the word is in the middle of the </w:t>
      </w:r>
      <w:proofErr w:type="spellStart"/>
      <w:r w:rsidRPr="00296405">
        <w:rPr>
          <w:color w:val="0E101A"/>
        </w:rPr>
        <w:t>Covid</w:t>
      </w:r>
      <w:proofErr w:type="spellEnd"/>
      <w:r w:rsidRPr="00296405">
        <w:rPr>
          <w:color w:val="0E101A"/>
        </w:rPr>
        <w:t xml:space="preserve"> 19 pandemic</w:t>
      </w:r>
      <w:r w:rsidR="008D0C32" w:rsidRPr="008D0C32">
        <w:t xml:space="preserve"> </w:t>
      </w:r>
      <w:r w:rsidR="008D0C32">
        <w:t>(</w:t>
      </w:r>
      <w:r w:rsidR="008D0C32" w:rsidRPr="00296405">
        <w:t>Ira</w:t>
      </w:r>
      <w:r w:rsidR="008D0C32">
        <w:t xml:space="preserve"> &amp;</w:t>
      </w:r>
      <w:r w:rsidR="008D0C32" w:rsidRPr="00296405">
        <w:t xml:space="preserve"> Lila</w:t>
      </w:r>
      <w:r w:rsidR="008D0C32">
        <w:rPr>
          <w:color w:val="0E101A"/>
        </w:rPr>
        <w:t>,2020</w:t>
      </w:r>
      <w:r w:rsidR="008D0C32">
        <w:t>).</w:t>
      </w:r>
      <w:r w:rsidR="008D0C32" w:rsidRPr="00296405">
        <w:rPr>
          <w:color w:val="0E101A"/>
        </w:rPr>
        <w:t xml:space="preserve"> The</w:t>
      </w:r>
      <w:r w:rsidRPr="00296405">
        <w:rPr>
          <w:color w:val="0E101A"/>
        </w:rPr>
        <w:t xml:space="preserve"> article tackles the ethical issues behind the decision to apply when prioritizing healthcare for </w:t>
      </w:r>
      <w:proofErr w:type="spellStart"/>
      <w:r w:rsidRPr="00296405">
        <w:rPr>
          <w:color w:val="0E101A"/>
        </w:rPr>
        <w:t>Covid</w:t>
      </w:r>
      <w:proofErr w:type="spellEnd"/>
      <w:r w:rsidRPr="00296405">
        <w:rPr>
          <w:color w:val="0E101A"/>
        </w:rPr>
        <w:t xml:space="preserve"> 19 patients. It begins by quoting the WHO director-general, who said that "We are at war with a virus that threatens to tear us apart." US hospitals are experiencing </w:t>
      </w:r>
      <w:proofErr w:type="spellStart"/>
      <w:r w:rsidRPr="00296405">
        <w:rPr>
          <w:color w:val="0E101A"/>
        </w:rPr>
        <w:t>Covid</w:t>
      </w:r>
      <w:proofErr w:type="spellEnd"/>
      <w:r w:rsidRPr="00296405">
        <w:rPr>
          <w:color w:val="0E101A"/>
        </w:rPr>
        <w:t xml:space="preserve"> </w:t>
      </w:r>
      <w:r w:rsidR="008D0C32" w:rsidRPr="00296405">
        <w:rPr>
          <w:color w:val="0E101A"/>
        </w:rPr>
        <w:t>patient’s</w:t>
      </w:r>
      <w:r w:rsidRPr="00296405">
        <w:rPr>
          <w:color w:val="0E101A"/>
        </w:rPr>
        <w:t xml:space="preserve"> influx where the resources are limited, creating a medical emergency regardless of which care must be provided to patients. Due to inadequacy of resources, medical personnel </w:t>
      </w:r>
      <w:proofErr w:type="gramStart"/>
      <w:r w:rsidRPr="00296405">
        <w:rPr>
          <w:color w:val="0E101A"/>
        </w:rPr>
        <w:t>is</w:t>
      </w:r>
      <w:proofErr w:type="gramEnd"/>
      <w:r w:rsidRPr="00296405">
        <w:rPr>
          <w:color w:val="0E101A"/>
        </w:rPr>
        <w:t xml:space="preserve"> applying triage decisions whose origin is at war. The triage allows room for the distinction of public health and clinical health ethics, whereby the principle of utilitarianism comes into play. Like in war, where the strongest soldiers are prioritized in treatment to return to war, public ethics favors the young to be prioritized treatment for the better good of human survival.</w:t>
      </w:r>
    </w:p>
    <w:p w14:paraId="04B27A42" w14:textId="0C84FCB5" w:rsidR="00923FD1" w:rsidRPr="00296405" w:rsidRDefault="00923FD1" w:rsidP="00917BDC">
      <w:pPr>
        <w:pStyle w:val="NormalWeb"/>
        <w:spacing w:before="0" w:beforeAutospacing="0" w:after="0" w:afterAutospacing="0" w:line="480" w:lineRule="auto"/>
        <w:ind w:firstLine="720"/>
        <w:jc w:val="center"/>
        <w:rPr>
          <w:color w:val="0E101A"/>
        </w:rPr>
      </w:pPr>
      <w:r w:rsidRPr="00296405">
        <w:rPr>
          <w:rStyle w:val="Strong"/>
          <w:color w:val="0E101A"/>
        </w:rPr>
        <w:t>Impact and influence</w:t>
      </w:r>
    </w:p>
    <w:p w14:paraId="46BA3B45" w14:textId="17FCE794" w:rsidR="0098195D" w:rsidRPr="00296405" w:rsidRDefault="00923FD1" w:rsidP="00917BDC">
      <w:pPr>
        <w:pStyle w:val="NormalWeb"/>
        <w:spacing w:before="0" w:beforeAutospacing="0" w:after="0" w:afterAutospacing="0" w:line="480" w:lineRule="auto"/>
        <w:ind w:firstLine="720"/>
        <w:rPr>
          <w:color w:val="0E101A"/>
        </w:rPr>
      </w:pPr>
      <w:r w:rsidRPr="00296405">
        <w:rPr>
          <w:color w:val="0E101A"/>
        </w:rPr>
        <w:t xml:space="preserve">Ethical issues in nursing or medical practice cause an ethical dilemma. In this pandemic, our nurses are our soldiers, and we have to give them justified guidelines to prevent compromising ethics in their practice. The ethical issue raised in the article may appear biased against the nonmaleficence principle. However, the beneficence principle still applies from a different perspective of survival. By prioritizing the young people, then better care can be provided to the few rather than providing inadequate care, which in the long term may be ineffective. Young people have a stronger immune system, and with better care, it means early discharges (Zhang et al., 2021). This leaves room and time for specialized care of the elderly who may develop severe symptoms. Whenever the resources are inadequate for individual good, we have to do good for the greatest number of people (Maves et al., 2020). </w:t>
      </w:r>
    </w:p>
    <w:p w14:paraId="7180A107" w14:textId="66DF7CEA" w:rsidR="00923FD1" w:rsidRPr="00296405" w:rsidRDefault="00923FD1" w:rsidP="00917BDC">
      <w:pPr>
        <w:pStyle w:val="NormalWeb"/>
        <w:spacing w:before="0" w:beforeAutospacing="0" w:after="0" w:afterAutospacing="0" w:line="480" w:lineRule="auto"/>
        <w:ind w:firstLine="720"/>
        <w:jc w:val="center"/>
        <w:rPr>
          <w:color w:val="0E101A"/>
        </w:rPr>
      </w:pPr>
      <w:r w:rsidRPr="00296405">
        <w:rPr>
          <w:rStyle w:val="Strong"/>
          <w:color w:val="0E101A"/>
        </w:rPr>
        <w:lastRenderedPageBreak/>
        <w:t>Nurses influence in addressing the ethical issue</w:t>
      </w:r>
    </w:p>
    <w:p w14:paraId="6EAE7703" w14:textId="5C4CE305" w:rsidR="00923FD1" w:rsidRPr="00296405" w:rsidRDefault="00923FD1" w:rsidP="0098195D">
      <w:pPr>
        <w:pStyle w:val="NormalWeb"/>
        <w:spacing w:before="0" w:beforeAutospacing="0" w:after="0" w:afterAutospacing="0" w:line="480" w:lineRule="auto"/>
        <w:ind w:firstLine="720"/>
        <w:rPr>
          <w:color w:val="0E101A"/>
        </w:rPr>
      </w:pPr>
      <w:r w:rsidRPr="00296405">
        <w:rPr>
          <w:color w:val="0E101A"/>
        </w:rPr>
        <w:t xml:space="preserve">Nurses are an integral part of healthcare and delivery and how it operates (Robbins &amp; Davidhizar, 2020). One way the nurses could help address the issue is by massively campaigning for the increment of personnel. For a long time, healthcare workers have always been inadequate and are the best time to reflect on the importance of adding the capacity. The nurses also need to campaign for adequate medical facilities and equipment as they are among the necessities to achieve equality in healthcare delivery. Nurses have to realize that they have a major role in promoting preventive healthcare rather than curative healthcare (Salmond &amp; Echevarria, 2017). Nurses should advise the general public on how to eat well, the importance of practicing hygiene, and the significance of vaccinations relentlessly. </w:t>
      </w:r>
    </w:p>
    <w:p w14:paraId="36189677" w14:textId="34B3298B" w:rsidR="0098195D" w:rsidRPr="00296405" w:rsidRDefault="0098195D" w:rsidP="008D0C32">
      <w:pPr>
        <w:pStyle w:val="NormalWeb"/>
        <w:spacing w:before="0" w:beforeAutospacing="0" w:after="0" w:afterAutospacing="0" w:line="480" w:lineRule="auto"/>
        <w:ind w:firstLine="720"/>
        <w:jc w:val="center"/>
        <w:rPr>
          <w:b/>
          <w:color w:val="0E101A"/>
        </w:rPr>
      </w:pPr>
      <w:r w:rsidRPr="00296405">
        <w:rPr>
          <w:b/>
          <w:color w:val="0E101A"/>
        </w:rPr>
        <w:t>Conclusion</w:t>
      </w:r>
    </w:p>
    <w:p w14:paraId="68512E1E" w14:textId="77777777" w:rsidR="00923FD1" w:rsidRPr="00296405" w:rsidRDefault="00923FD1" w:rsidP="0098195D">
      <w:pPr>
        <w:pStyle w:val="NormalWeb"/>
        <w:spacing w:before="0" w:beforeAutospacing="0" w:after="0" w:afterAutospacing="0" w:line="480" w:lineRule="auto"/>
        <w:ind w:firstLine="720"/>
        <w:rPr>
          <w:color w:val="0E101A"/>
        </w:rPr>
      </w:pPr>
      <w:r w:rsidRPr="00296405">
        <w:rPr>
          <w:color w:val="0E101A"/>
        </w:rPr>
        <w:t>In conclusion, no medical practitioner wants to prioritize healthcare in a way that looks biased. Each one of them wants to serve justice and do what is good for all their patients. None of them want to inflict harm to their patients or take away their patient autonomy on healthcare. However, desperate times call for desperate measures, and nursing is no exception. Utilitarianism will always overcome individual needs to solve ever-unfolding nursing ethical dilemmas (</w:t>
      </w:r>
      <w:proofErr w:type="spellStart"/>
      <w:r w:rsidRPr="00296405">
        <w:rPr>
          <w:color w:val="0E101A"/>
        </w:rPr>
        <w:t>Giubilini</w:t>
      </w:r>
      <w:proofErr w:type="spellEnd"/>
      <w:r w:rsidRPr="00296405">
        <w:rPr>
          <w:color w:val="0E101A"/>
        </w:rPr>
        <w:t xml:space="preserve"> et al., 2018). This leaves the nurse with a major role in balancing utilitarianism and individuality in nursing practice.</w:t>
      </w:r>
    </w:p>
    <w:p w14:paraId="0D631B67" w14:textId="77777777" w:rsidR="00296405" w:rsidRPr="00296405" w:rsidRDefault="00296405" w:rsidP="0098195D">
      <w:pPr>
        <w:pStyle w:val="NormalWeb"/>
        <w:spacing w:before="0" w:beforeAutospacing="0" w:after="0" w:afterAutospacing="0" w:line="480" w:lineRule="auto"/>
        <w:ind w:firstLine="720"/>
        <w:rPr>
          <w:color w:val="0E101A"/>
        </w:rPr>
      </w:pPr>
    </w:p>
    <w:p w14:paraId="0CCA6E52" w14:textId="4F105FC7" w:rsidR="00BE3E2D" w:rsidRDefault="00BE3E2D" w:rsidP="00BE3E2D">
      <w:pPr>
        <w:pStyle w:val="NormalWeb"/>
        <w:spacing w:before="0" w:beforeAutospacing="0" w:after="0" w:afterAutospacing="0" w:line="550" w:lineRule="atLeast"/>
        <w:rPr>
          <w:color w:val="0E101A"/>
        </w:rPr>
      </w:pPr>
    </w:p>
    <w:p w14:paraId="71538B27" w14:textId="77777777" w:rsidR="009B7BBD" w:rsidRDefault="009B7BBD" w:rsidP="00BE3E2D">
      <w:pPr>
        <w:pStyle w:val="NormalWeb"/>
        <w:spacing w:before="0" w:beforeAutospacing="0" w:after="0" w:afterAutospacing="0" w:line="550" w:lineRule="atLeast"/>
        <w:jc w:val="center"/>
        <w:rPr>
          <w:color w:val="0E101A"/>
        </w:rPr>
      </w:pPr>
    </w:p>
    <w:p w14:paraId="175DAA2A" w14:textId="77777777" w:rsidR="009B7BBD" w:rsidRDefault="009B7BBD" w:rsidP="00BE3E2D">
      <w:pPr>
        <w:pStyle w:val="NormalWeb"/>
        <w:spacing w:before="0" w:beforeAutospacing="0" w:after="0" w:afterAutospacing="0" w:line="550" w:lineRule="atLeast"/>
        <w:jc w:val="center"/>
        <w:rPr>
          <w:color w:val="0E101A"/>
        </w:rPr>
      </w:pPr>
    </w:p>
    <w:p w14:paraId="70B3CA8A" w14:textId="2D0E4444" w:rsidR="00C279E8" w:rsidRDefault="00296405" w:rsidP="00BE3E2D">
      <w:pPr>
        <w:pStyle w:val="NormalWeb"/>
        <w:spacing w:before="0" w:beforeAutospacing="0" w:after="0" w:afterAutospacing="0" w:line="550" w:lineRule="atLeast"/>
        <w:jc w:val="center"/>
      </w:pPr>
      <w:r w:rsidRPr="00296405">
        <w:lastRenderedPageBreak/>
        <w:t>References</w:t>
      </w:r>
    </w:p>
    <w:p w14:paraId="421F8941" w14:textId="77777777" w:rsidR="00BE3E2D" w:rsidRPr="00296405" w:rsidRDefault="00BE3E2D" w:rsidP="00BE3E2D">
      <w:pPr>
        <w:pStyle w:val="NormalWeb"/>
        <w:spacing w:before="0" w:beforeAutospacing="0" w:after="0" w:afterAutospacing="0" w:line="550" w:lineRule="atLeast"/>
        <w:jc w:val="center"/>
      </w:pPr>
    </w:p>
    <w:p w14:paraId="0D1AF571" w14:textId="77777777" w:rsidR="00C279E8" w:rsidRDefault="00C279E8" w:rsidP="00C279E8">
      <w:pPr>
        <w:ind w:left="720" w:hanging="720"/>
        <w:rPr>
          <w:color w:val="222222"/>
          <w:shd w:val="clear" w:color="auto" w:fill="FFFFFF"/>
        </w:rPr>
      </w:pPr>
      <w:proofErr w:type="spellStart"/>
      <w:r w:rsidRPr="00296405">
        <w:rPr>
          <w:color w:val="222222"/>
          <w:shd w:val="clear" w:color="auto" w:fill="FFFFFF"/>
        </w:rPr>
        <w:t>Giubilini</w:t>
      </w:r>
      <w:proofErr w:type="spellEnd"/>
      <w:r w:rsidRPr="00296405">
        <w:rPr>
          <w:color w:val="222222"/>
          <w:shd w:val="clear" w:color="auto" w:fill="FFFFFF"/>
        </w:rPr>
        <w:t xml:space="preserve">, A., Douglas, T., &amp; Savulescu, J. (2018). The moral obligation to be vaccinated: utilitarianism, </w:t>
      </w:r>
      <w:proofErr w:type="spellStart"/>
      <w:r w:rsidRPr="00296405">
        <w:rPr>
          <w:color w:val="222222"/>
          <w:shd w:val="clear" w:color="auto" w:fill="FFFFFF"/>
        </w:rPr>
        <w:t>contractualism</w:t>
      </w:r>
      <w:proofErr w:type="spellEnd"/>
      <w:r w:rsidRPr="00296405">
        <w:rPr>
          <w:color w:val="222222"/>
          <w:shd w:val="clear" w:color="auto" w:fill="FFFFFF"/>
        </w:rPr>
        <w:t>, and collective easy rescue. </w:t>
      </w:r>
      <w:r w:rsidRPr="00296405">
        <w:rPr>
          <w:i/>
          <w:iCs/>
          <w:color w:val="222222"/>
          <w:shd w:val="clear" w:color="auto" w:fill="FFFFFF"/>
        </w:rPr>
        <w:t>Medicine, Health Care and Philosophy</w:t>
      </w:r>
      <w:r w:rsidRPr="00296405">
        <w:rPr>
          <w:color w:val="222222"/>
          <w:shd w:val="clear" w:color="auto" w:fill="FFFFFF"/>
        </w:rPr>
        <w:t>, </w:t>
      </w:r>
      <w:r w:rsidRPr="00296405">
        <w:rPr>
          <w:i/>
          <w:iCs/>
          <w:color w:val="222222"/>
          <w:shd w:val="clear" w:color="auto" w:fill="FFFFFF"/>
        </w:rPr>
        <w:t>21</w:t>
      </w:r>
      <w:r w:rsidRPr="00296405">
        <w:rPr>
          <w:color w:val="222222"/>
          <w:shd w:val="clear" w:color="auto" w:fill="FFFFFF"/>
        </w:rPr>
        <w:t>(4), 547-560.</w:t>
      </w:r>
      <w:bookmarkStart w:id="0" w:name="_Hlk71211610"/>
    </w:p>
    <w:p w14:paraId="64E8AB66" w14:textId="2D5E1366" w:rsidR="00C279E8" w:rsidRPr="00C279E8" w:rsidRDefault="00C279E8" w:rsidP="00C279E8">
      <w:pPr>
        <w:ind w:left="720" w:hanging="720"/>
        <w:rPr>
          <w:color w:val="222222"/>
          <w:shd w:val="clear" w:color="auto" w:fill="FFFFFF"/>
        </w:rPr>
      </w:pPr>
      <w:r w:rsidRPr="00296405">
        <w:t xml:space="preserve">Ira </w:t>
      </w:r>
      <w:proofErr w:type="spellStart"/>
      <w:r w:rsidRPr="00296405">
        <w:t>Bedzow</w:t>
      </w:r>
      <w:proofErr w:type="spellEnd"/>
      <w:r w:rsidRPr="00296405">
        <w:t xml:space="preserve">, &amp; Lila </w:t>
      </w:r>
      <w:proofErr w:type="spellStart"/>
      <w:r w:rsidRPr="00296405">
        <w:t>Kagedan</w:t>
      </w:r>
      <w:proofErr w:type="spellEnd"/>
      <w:r w:rsidRPr="00296405">
        <w:t xml:space="preserve">. </w:t>
      </w:r>
      <w:bookmarkEnd w:id="0"/>
      <w:r w:rsidRPr="00296405">
        <w:t xml:space="preserve">(2020, April 1). </w:t>
      </w:r>
      <w:r w:rsidRPr="00296405">
        <w:rPr>
          <w:rStyle w:val="Emphasis"/>
        </w:rPr>
        <w:t>The ethical minefield of prioritizing health care for some with Covid-19</w:t>
      </w:r>
      <w:r w:rsidRPr="00296405">
        <w:t xml:space="preserve">. </w:t>
      </w:r>
      <w:hyperlink r:id="rId6" w:history="1">
        <w:r w:rsidRPr="00296405">
          <w:rPr>
            <w:rStyle w:val="Hyperlink"/>
          </w:rPr>
          <w:t>https://edition.cnn.com/2020/04/01/opinions/ethical-minefield-of-prioritizing-health-care-for-covid-19/index.html</w:t>
        </w:r>
      </w:hyperlink>
    </w:p>
    <w:p w14:paraId="4D04597F" w14:textId="77777777" w:rsidR="00C279E8" w:rsidRPr="00296405" w:rsidRDefault="00C279E8" w:rsidP="00296405">
      <w:pPr>
        <w:ind w:left="720" w:hanging="720"/>
        <w:rPr>
          <w:color w:val="222222"/>
          <w:shd w:val="clear" w:color="auto" w:fill="FFFFFF"/>
        </w:rPr>
      </w:pPr>
      <w:r w:rsidRPr="00296405">
        <w:rPr>
          <w:color w:val="222222"/>
          <w:shd w:val="clear" w:color="auto" w:fill="FFFFFF"/>
        </w:rPr>
        <w:t xml:space="preserve">Maves, R. C., </w:t>
      </w:r>
      <w:proofErr w:type="spellStart"/>
      <w:r w:rsidRPr="00296405">
        <w:rPr>
          <w:color w:val="222222"/>
          <w:shd w:val="clear" w:color="auto" w:fill="FFFFFF"/>
        </w:rPr>
        <w:t>Downar</w:t>
      </w:r>
      <w:proofErr w:type="spellEnd"/>
      <w:r w:rsidRPr="00296405">
        <w:rPr>
          <w:color w:val="222222"/>
          <w:shd w:val="clear" w:color="auto" w:fill="FFFFFF"/>
        </w:rPr>
        <w:t xml:space="preserve">, J., Dichter, J. R., Hick, J. L., Devereaux, A., Geiling, J. A., ... &amp; Christian, M. D. (2020). Triage of scarce critical care resources in COVID-19: an implementation guide for regional allocation </w:t>
      </w:r>
      <w:proofErr w:type="gramStart"/>
      <w:r w:rsidRPr="00296405">
        <w:rPr>
          <w:color w:val="222222"/>
          <w:shd w:val="clear" w:color="auto" w:fill="FFFFFF"/>
        </w:rPr>
        <w:t>An</w:t>
      </w:r>
      <w:proofErr w:type="gramEnd"/>
      <w:r w:rsidRPr="00296405">
        <w:rPr>
          <w:color w:val="222222"/>
          <w:shd w:val="clear" w:color="auto" w:fill="FFFFFF"/>
        </w:rPr>
        <w:t xml:space="preserve"> expert panel report of the Task Force for Mass Critical Care and the American College of Chest Physicians. </w:t>
      </w:r>
      <w:r w:rsidRPr="00296405">
        <w:rPr>
          <w:i/>
          <w:iCs/>
          <w:color w:val="222222"/>
          <w:shd w:val="clear" w:color="auto" w:fill="FFFFFF"/>
        </w:rPr>
        <w:t>Chest</w:t>
      </w:r>
      <w:r w:rsidRPr="00296405">
        <w:rPr>
          <w:color w:val="222222"/>
          <w:shd w:val="clear" w:color="auto" w:fill="FFFFFF"/>
        </w:rPr>
        <w:t xml:space="preserve">. </w:t>
      </w:r>
    </w:p>
    <w:p w14:paraId="3AEA3720" w14:textId="77777777" w:rsidR="00C279E8" w:rsidRPr="00296405" w:rsidRDefault="00C279E8" w:rsidP="00296405">
      <w:pPr>
        <w:ind w:left="720" w:hanging="720"/>
        <w:rPr>
          <w:color w:val="222222"/>
          <w:shd w:val="clear" w:color="auto" w:fill="FFFFFF"/>
        </w:rPr>
      </w:pPr>
      <w:r w:rsidRPr="00296405">
        <w:rPr>
          <w:color w:val="222222"/>
          <w:shd w:val="clear" w:color="auto" w:fill="FFFFFF"/>
        </w:rPr>
        <w:t>Robbins, B., &amp; Davidhizar, R. (2020). Transformational leadership in health care today. </w:t>
      </w:r>
      <w:r w:rsidRPr="00296405">
        <w:rPr>
          <w:i/>
          <w:iCs/>
          <w:color w:val="222222"/>
          <w:shd w:val="clear" w:color="auto" w:fill="FFFFFF"/>
        </w:rPr>
        <w:t>The Health Care Manager</w:t>
      </w:r>
      <w:r w:rsidRPr="00296405">
        <w:rPr>
          <w:color w:val="222222"/>
          <w:shd w:val="clear" w:color="auto" w:fill="FFFFFF"/>
        </w:rPr>
        <w:t>, </w:t>
      </w:r>
      <w:r w:rsidRPr="00296405">
        <w:rPr>
          <w:i/>
          <w:iCs/>
          <w:color w:val="222222"/>
          <w:shd w:val="clear" w:color="auto" w:fill="FFFFFF"/>
        </w:rPr>
        <w:t>39</w:t>
      </w:r>
      <w:r w:rsidRPr="00296405">
        <w:rPr>
          <w:color w:val="222222"/>
          <w:shd w:val="clear" w:color="auto" w:fill="FFFFFF"/>
        </w:rPr>
        <w:t xml:space="preserve">(3), 117-121. </w:t>
      </w:r>
    </w:p>
    <w:p w14:paraId="4651A63C" w14:textId="77777777" w:rsidR="00C279E8" w:rsidRPr="00296405" w:rsidRDefault="00C279E8" w:rsidP="00296405">
      <w:pPr>
        <w:ind w:left="720" w:hanging="720"/>
        <w:rPr>
          <w:color w:val="222222"/>
          <w:shd w:val="clear" w:color="auto" w:fill="FFFFFF"/>
        </w:rPr>
      </w:pPr>
      <w:r w:rsidRPr="00296405">
        <w:rPr>
          <w:color w:val="222222"/>
          <w:shd w:val="clear" w:color="auto" w:fill="FFFFFF"/>
        </w:rPr>
        <w:t>Salmond, S. W., &amp; Echevarria, M. (2017). Healthcare transformation and changing roles for nursing. </w:t>
      </w:r>
      <w:r w:rsidRPr="00296405">
        <w:rPr>
          <w:i/>
          <w:iCs/>
          <w:color w:val="222222"/>
          <w:shd w:val="clear" w:color="auto" w:fill="FFFFFF"/>
        </w:rPr>
        <w:t>Orthopedic nursing</w:t>
      </w:r>
      <w:r w:rsidRPr="00296405">
        <w:rPr>
          <w:color w:val="222222"/>
          <w:shd w:val="clear" w:color="auto" w:fill="FFFFFF"/>
        </w:rPr>
        <w:t>, </w:t>
      </w:r>
      <w:r w:rsidRPr="00296405">
        <w:rPr>
          <w:i/>
          <w:iCs/>
          <w:color w:val="222222"/>
          <w:shd w:val="clear" w:color="auto" w:fill="FFFFFF"/>
        </w:rPr>
        <w:t>36</w:t>
      </w:r>
      <w:r w:rsidRPr="00296405">
        <w:rPr>
          <w:color w:val="222222"/>
          <w:shd w:val="clear" w:color="auto" w:fill="FFFFFF"/>
        </w:rPr>
        <w:t xml:space="preserve">(1), 12. </w:t>
      </w:r>
    </w:p>
    <w:p w14:paraId="45631CF2" w14:textId="77777777" w:rsidR="00C279E8" w:rsidRPr="00296405" w:rsidRDefault="00C279E8" w:rsidP="00296405">
      <w:pPr>
        <w:ind w:left="720" w:hanging="720"/>
        <w:rPr>
          <w:color w:val="222222"/>
          <w:shd w:val="clear" w:color="auto" w:fill="FFFFFF"/>
        </w:rPr>
      </w:pPr>
      <w:r w:rsidRPr="00296405">
        <w:rPr>
          <w:color w:val="222222"/>
          <w:shd w:val="clear" w:color="auto" w:fill="FFFFFF"/>
        </w:rPr>
        <w:t>Zhang, J., Xu, J., Zhou, S., Wang, C., Wang, X., Zhang, W., ... &amp; Dong, L. (2021). The characteristics of 527 discharged COVID-19 patients undergoing long-term follow-up in China. </w:t>
      </w:r>
      <w:r w:rsidRPr="00296405">
        <w:rPr>
          <w:i/>
          <w:iCs/>
          <w:color w:val="222222"/>
          <w:shd w:val="clear" w:color="auto" w:fill="FFFFFF"/>
        </w:rPr>
        <w:t>International Journal of Infectious Diseases</w:t>
      </w:r>
      <w:r w:rsidRPr="00296405">
        <w:rPr>
          <w:color w:val="222222"/>
          <w:shd w:val="clear" w:color="auto" w:fill="FFFFFF"/>
        </w:rPr>
        <w:t>, </w:t>
      </w:r>
      <w:r w:rsidRPr="00296405">
        <w:rPr>
          <w:i/>
          <w:iCs/>
          <w:color w:val="222222"/>
          <w:shd w:val="clear" w:color="auto" w:fill="FFFFFF"/>
        </w:rPr>
        <w:t>104</w:t>
      </w:r>
      <w:r w:rsidRPr="00296405">
        <w:rPr>
          <w:color w:val="222222"/>
          <w:shd w:val="clear" w:color="auto" w:fill="FFFFFF"/>
        </w:rPr>
        <w:t xml:space="preserve">, 685-692. </w:t>
      </w:r>
    </w:p>
    <w:sectPr w:rsidR="00C279E8" w:rsidRPr="00296405" w:rsidSect="008D0C32">
      <w:headerReference w:type="default" r:id="rId7"/>
      <w:headerReference w:type="firs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6AAC0" w14:textId="77777777" w:rsidR="006D74DF" w:rsidRDefault="006D74DF" w:rsidP="00296405">
      <w:pPr>
        <w:spacing w:after="0" w:line="240" w:lineRule="auto"/>
      </w:pPr>
      <w:r>
        <w:separator/>
      </w:r>
    </w:p>
  </w:endnote>
  <w:endnote w:type="continuationSeparator" w:id="0">
    <w:p w14:paraId="5D3FDB2B" w14:textId="77777777" w:rsidR="006D74DF" w:rsidRDefault="006D74DF" w:rsidP="00296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87461" w14:textId="77777777" w:rsidR="006D74DF" w:rsidRDefault="006D74DF" w:rsidP="00296405">
      <w:pPr>
        <w:spacing w:after="0" w:line="240" w:lineRule="auto"/>
      </w:pPr>
      <w:r>
        <w:separator/>
      </w:r>
    </w:p>
  </w:footnote>
  <w:footnote w:type="continuationSeparator" w:id="0">
    <w:p w14:paraId="07929471" w14:textId="77777777" w:rsidR="006D74DF" w:rsidRDefault="006D74DF" w:rsidP="002964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6145B" w14:textId="0FA3EE79" w:rsidR="00BE3E2D" w:rsidRPr="00BE3E2D" w:rsidRDefault="00BE3E2D" w:rsidP="00BE3E2D">
    <w:pPr>
      <w:pStyle w:val="Header"/>
      <w:spacing w:line="480" w:lineRule="auto"/>
      <w:jc w:val="right"/>
      <w:rPr>
        <w:color w:val="000000" w:themeColor="text1"/>
      </w:rPr>
    </w:pPr>
    <w:r w:rsidRPr="00BE3E2D">
      <w:rPr>
        <w:color w:val="000000" w:themeColor="text1"/>
      </w:rPr>
      <w:t>OUTLINE</w:t>
    </w:r>
    <w:sdt>
      <w:sdtPr>
        <w:rPr>
          <w:color w:val="000000" w:themeColor="text1"/>
        </w:rPr>
        <w:id w:val="511577782"/>
        <w:docPartObj>
          <w:docPartGallery w:val="Page Numbers (Top of Page)"/>
          <w:docPartUnique/>
        </w:docPartObj>
      </w:sdtPr>
      <w:sdtEndPr>
        <w:rPr>
          <w:noProof/>
        </w:rPr>
      </w:sdtEndPr>
      <w:sdtContent>
        <w:r>
          <w:rPr>
            <w:color w:val="000000" w:themeColor="text1"/>
          </w:rPr>
          <w:tab/>
        </w:r>
        <w:r>
          <w:rPr>
            <w:color w:val="000000" w:themeColor="text1"/>
          </w:rPr>
          <w:tab/>
        </w:r>
        <w:r w:rsidRPr="00BE3E2D">
          <w:rPr>
            <w:color w:val="000000" w:themeColor="text1"/>
          </w:rPr>
          <w:fldChar w:fldCharType="begin"/>
        </w:r>
        <w:r w:rsidRPr="00BE3E2D">
          <w:rPr>
            <w:color w:val="000000" w:themeColor="text1"/>
          </w:rPr>
          <w:instrText xml:space="preserve"> PAGE   \* MERGEFORMAT </w:instrText>
        </w:r>
        <w:r w:rsidRPr="00BE3E2D">
          <w:rPr>
            <w:color w:val="000000" w:themeColor="text1"/>
          </w:rPr>
          <w:fldChar w:fldCharType="separate"/>
        </w:r>
        <w:r w:rsidRPr="00BE3E2D">
          <w:rPr>
            <w:noProof/>
            <w:color w:val="000000" w:themeColor="text1"/>
          </w:rPr>
          <w:t>2</w:t>
        </w:r>
        <w:r w:rsidRPr="00BE3E2D">
          <w:rPr>
            <w:noProof/>
            <w:color w:val="000000" w:themeColor="text1"/>
          </w:rPr>
          <w:fldChar w:fldCharType="end"/>
        </w:r>
      </w:sdtContent>
    </w:sdt>
  </w:p>
  <w:p w14:paraId="1FC3474C" w14:textId="77777777" w:rsidR="00821A6B" w:rsidRPr="00BE3E2D" w:rsidRDefault="00821A6B" w:rsidP="00BE3E2D">
    <w:pPr>
      <w:pStyle w:val="Header"/>
      <w:spacing w:line="480" w:lineRule="auto"/>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79BA0" w14:textId="2F5AA00E" w:rsidR="00BE3E2D" w:rsidRPr="00BE3E2D" w:rsidRDefault="00BE3E2D" w:rsidP="00BE3E2D">
    <w:pPr>
      <w:pStyle w:val="Header"/>
      <w:spacing w:line="480" w:lineRule="auto"/>
      <w:jc w:val="right"/>
      <w:rPr>
        <w:color w:val="000000" w:themeColor="text1"/>
      </w:rPr>
    </w:pPr>
    <w:r w:rsidRPr="00BE3E2D">
      <w:rPr>
        <w:color w:val="000000" w:themeColor="text1"/>
      </w:rPr>
      <w:t xml:space="preserve">Running </w:t>
    </w:r>
    <w:proofErr w:type="spellStart"/>
    <w:proofErr w:type="gramStart"/>
    <w:r w:rsidRPr="00BE3E2D">
      <w:rPr>
        <w:color w:val="000000" w:themeColor="text1"/>
      </w:rPr>
      <w:t>head</w:t>
    </w:r>
    <w:r>
      <w:rPr>
        <w:color w:val="000000" w:themeColor="text1"/>
      </w:rPr>
      <w:t>:</w:t>
    </w:r>
    <w:r w:rsidRPr="00BE3E2D">
      <w:rPr>
        <w:color w:val="000000" w:themeColor="text1"/>
      </w:rPr>
      <w:t>OUTLINE</w:t>
    </w:r>
    <w:proofErr w:type="spellEnd"/>
    <w:proofErr w:type="gramEnd"/>
    <w:sdt>
      <w:sdtPr>
        <w:rPr>
          <w:color w:val="000000" w:themeColor="text1"/>
        </w:rPr>
        <w:id w:val="-744491633"/>
        <w:docPartObj>
          <w:docPartGallery w:val="Page Numbers (Top of Page)"/>
          <w:docPartUnique/>
        </w:docPartObj>
      </w:sdtPr>
      <w:sdtEndPr>
        <w:rPr>
          <w:noProof/>
        </w:rPr>
      </w:sdtEndPr>
      <w:sdtContent>
        <w:r>
          <w:rPr>
            <w:color w:val="000000" w:themeColor="text1"/>
          </w:rPr>
          <w:tab/>
        </w:r>
        <w:r>
          <w:rPr>
            <w:color w:val="000000" w:themeColor="text1"/>
          </w:rPr>
          <w:tab/>
        </w:r>
        <w:r w:rsidRPr="00BE3E2D">
          <w:rPr>
            <w:color w:val="000000" w:themeColor="text1"/>
          </w:rPr>
          <w:fldChar w:fldCharType="begin"/>
        </w:r>
        <w:r w:rsidRPr="00BE3E2D">
          <w:rPr>
            <w:color w:val="000000" w:themeColor="text1"/>
          </w:rPr>
          <w:instrText xml:space="preserve"> PAGE   \* MERGEFORMAT </w:instrText>
        </w:r>
        <w:r w:rsidRPr="00BE3E2D">
          <w:rPr>
            <w:color w:val="000000" w:themeColor="text1"/>
          </w:rPr>
          <w:fldChar w:fldCharType="separate"/>
        </w:r>
        <w:r w:rsidRPr="00BE3E2D">
          <w:rPr>
            <w:noProof/>
            <w:color w:val="000000" w:themeColor="text1"/>
          </w:rPr>
          <w:t>2</w:t>
        </w:r>
        <w:r w:rsidRPr="00BE3E2D">
          <w:rPr>
            <w:noProof/>
            <w:color w:val="000000" w:themeColor="text1"/>
          </w:rPr>
          <w:fldChar w:fldCharType="end"/>
        </w:r>
      </w:sdtContent>
    </w:sdt>
  </w:p>
  <w:p w14:paraId="18957BB5" w14:textId="77777777" w:rsidR="008D0C32" w:rsidRPr="00BE3E2D" w:rsidRDefault="008D0C32" w:rsidP="00BE3E2D">
    <w:pPr>
      <w:pStyle w:val="Header"/>
      <w:spacing w:line="480" w:lineRule="auto"/>
      <w:rPr>
        <w:color w:val="000000" w:themeColor="text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8E"/>
    <w:rsid w:val="000340C7"/>
    <w:rsid w:val="00053ACA"/>
    <w:rsid w:val="0007008E"/>
    <w:rsid w:val="000A0EA8"/>
    <w:rsid w:val="000A7160"/>
    <w:rsid w:val="000C47CE"/>
    <w:rsid w:val="00145929"/>
    <w:rsid w:val="001C7A8C"/>
    <w:rsid w:val="001F2943"/>
    <w:rsid w:val="001F33E9"/>
    <w:rsid w:val="001F5411"/>
    <w:rsid w:val="001F7023"/>
    <w:rsid w:val="002406B2"/>
    <w:rsid w:val="002565A8"/>
    <w:rsid w:val="00296405"/>
    <w:rsid w:val="002C248E"/>
    <w:rsid w:val="002D4748"/>
    <w:rsid w:val="002D5D11"/>
    <w:rsid w:val="002F39E7"/>
    <w:rsid w:val="003366D6"/>
    <w:rsid w:val="00343257"/>
    <w:rsid w:val="003714B9"/>
    <w:rsid w:val="00377E78"/>
    <w:rsid w:val="003A0670"/>
    <w:rsid w:val="003B6FDC"/>
    <w:rsid w:val="003C3533"/>
    <w:rsid w:val="003C449D"/>
    <w:rsid w:val="003D03D6"/>
    <w:rsid w:val="00444759"/>
    <w:rsid w:val="004D4E34"/>
    <w:rsid w:val="004D6A74"/>
    <w:rsid w:val="004E0665"/>
    <w:rsid w:val="00576F88"/>
    <w:rsid w:val="00594D8C"/>
    <w:rsid w:val="006D0615"/>
    <w:rsid w:val="006D36EB"/>
    <w:rsid w:val="006D74DF"/>
    <w:rsid w:val="00704F2A"/>
    <w:rsid w:val="00707D53"/>
    <w:rsid w:val="00720AC8"/>
    <w:rsid w:val="00776A3B"/>
    <w:rsid w:val="00783F23"/>
    <w:rsid w:val="007860AB"/>
    <w:rsid w:val="007D3110"/>
    <w:rsid w:val="008018D0"/>
    <w:rsid w:val="00821A6B"/>
    <w:rsid w:val="008727BF"/>
    <w:rsid w:val="008A51EA"/>
    <w:rsid w:val="008C34A1"/>
    <w:rsid w:val="008D0C32"/>
    <w:rsid w:val="00917BDC"/>
    <w:rsid w:val="00923FD1"/>
    <w:rsid w:val="00936A12"/>
    <w:rsid w:val="0098195D"/>
    <w:rsid w:val="009B7BBD"/>
    <w:rsid w:val="009E5F2C"/>
    <w:rsid w:val="009F16D1"/>
    <w:rsid w:val="00A21C34"/>
    <w:rsid w:val="00A30AF7"/>
    <w:rsid w:val="00A35639"/>
    <w:rsid w:val="00A51940"/>
    <w:rsid w:val="00B52901"/>
    <w:rsid w:val="00B660FE"/>
    <w:rsid w:val="00B8695A"/>
    <w:rsid w:val="00B86BD6"/>
    <w:rsid w:val="00B91063"/>
    <w:rsid w:val="00BE3E2D"/>
    <w:rsid w:val="00C049D2"/>
    <w:rsid w:val="00C279E8"/>
    <w:rsid w:val="00D57153"/>
    <w:rsid w:val="00D87A4A"/>
    <w:rsid w:val="00DD1776"/>
    <w:rsid w:val="00DE2601"/>
    <w:rsid w:val="00E01313"/>
    <w:rsid w:val="00E81683"/>
    <w:rsid w:val="00EC652C"/>
    <w:rsid w:val="00EF146E"/>
    <w:rsid w:val="00F253D0"/>
    <w:rsid w:val="00FD2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02B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3FD1"/>
    <w:pPr>
      <w:spacing w:before="100" w:beforeAutospacing="1" w:after="100" w:afterAutospacing="1" w:line="240" w:lineRule="auto"/>
    </w:pPr>
    <w:rPr>
      <w:rFonts w:eastAsia="Times New Roman"/>
    </w:rPr>
  </w:style>
  <w:style w:type="character" w:styleId="Strong">
    <w:name w:val="Strong"/>
    <w:basedOn w:val="DefaultParagraphFont"/>
    <w:uiPriority w:val="22"/>
    <w:qFormat/>
    <w:rsid w:val="00923FD1"/>
    <w:rPr>
      <w:b/>
      <w:bCs/>
    </w:rPr>
  </w:style>
  <w:style w:type="character" w:styleId="Emphasis">
    <w:name w:val="Emphasis"/>
    <w:basedOn w:val="DefaultParagraphFont"/>
    <w:uiPriority w:val="20"/>
    <w:qFormat/>
    <w:rsid w:val="00296405"/>
    <w:rPr>
      <w:i/>
      <w:iCs/>
    </w:rPr>
  </w:style>
  <w:style w:type="character" w:styleId="Hyperlink">
    <w:name w:val="Hyperlink"/>
    <w:basedOn w:val="DefaultParagraphFont"/>
    <w:uiPriority w:val="99"/>
    <w:semiHidden/>
    <w:unhideWhenUsed/>
    <w:rsid w:val="00296405"/>
    <w:rPr>
      <w:color w:val="0000FF"/>
      <w:u w:val="single"/>
    </w:rPr>
  </w:style>
  <w:style w:type="paragraph" w:styleId="Header">
    <w:name w:val="header"/>
    <w:basedOn w:val="Normal"/>
    <w:link w:val="HeaderChar"/>
    <w:uiPriority w:val="99"/>
    <w:unhideWhenUsed/>
    <w:rsid w:val="00296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405"/>
  </w:style>
  <w:style w:type="paragraph" w:styleId="Footer">
    <w:name w:val="footer"/>
    <w:basedOn w:val="Normal"/>
    <w:link w:val="FooterChar"/>
    <w:uiPriority w:val="99"/>
    <w:unhideWhenUsed/>
    <w:rsid w:val="00296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405"/>
  </w:style>
  <w:style w:type="character" w:styleId="CommentReference">
    <w:name w:val="annotation reference"/>
    <w:basedOn w:val="DefaultParagraphFont"/>
    <w:uiPriority w:val="99"/>
    <w:semiHidden/>
    <w:unhideWhenUsed/>
    <w:rsid w:val="00D87A4A"/>
    <w:rPr>
      <w:sz w:val="16"/>
      <w:szCs w:val="16"/>
    </w:rPr>
  </w:style>
  <w:style w:type="paragraph" w:styleId="CommentText">
    <w:name w:val="annotation text"/>
    <w:basedOn w:val="Normal"/>
    <w:link w:val="CommentTextChar"/>
    <w:uiPriority w:val="99"/>
    <w:semiHidden/>
    <w:unhideWhenUsed/>
    <w:rsid w:val="00D87A4A"/>
    <w:pPr>
      <w:spacing w:after="200"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87A4A"/>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D87A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A4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87A4A"/>
    <w:pPr>
      <w:spacing w:after="16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D87A4A"/>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578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ition.cnn.com/2020/04/01/opinions/ethical-minefield-of-prioritizing-health-care-for-covid-19/index.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2021-05-06T14:00:00Z</dcterms:created>
  <dcterms:modified xsi:type="dcterms:W3CDTF">2021-05-06T14:00:00Z</dcterms:modified>
</cp:coreProperties>
</file>