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C72D1" w:rsidRDefault="00DC72D1">
      <w:pPr>
        <w:spacing w:line="480" w:lineRule="auto"/>
        <w:jc w:val="center"/>
        <w:rPr>
          <w:rFonts w:ascii="Times New Roman" w:eastAsia="Times New Roman" w:hAnsi="Times New Roman" w:cs="Times New Roman"/>
          <w:sz w:val="24"/>
          <w:szCs w:val="24"/>
        </w:rPr>
      </w:pPr>
    </w:p>
    <w:p w14:paraId="00000002" w14:textId="77777777" w:rsidR="00DC72D1" w:rsidRDefault="00DC72D1">
      <w:pPr>
        <w:spacing w:line="480" w:lineRule="auto"/>
        <w:jc w:val="center"/>
        <w:rPr>
          <w:rFonts w:ascii="Times New Roman" w:eastAsia="Times New Roman" w:hAnsi="Times New Roman" w:cs="Times New Roman"/>
          <w:sz w:val="24"/>
          <w:szCs w:val="24"/>
        </w:rPr>
      </w:pPr>
    </w:p>
    <w:p w14:paraId="00000003" w14:textId="77777777" w:rsidR="00DC72D1" w:rsidRDefault="00DC72D1">
      <w:pPr>
        <w:spacing w:line="480" w:lineRule="auto"/>
        <w:jc w:val="center"/>
        <w:rPr>
          <w:rFonts w:ascii="Times New Roman" w:eastAsia="Times New Roman" w:hAnsi="Times New Roman" w:cs="Times New Roman"/>
          <w:sz w:val="24"/>
          <w:szCs w:val="24"/>
        </w:rPr>
      </w:pPr>
    </w:p>
    <w:p w14:paraId="00000004" w14:textId="77777777" w:rsidR="00DC72D1" w:rsidRDefault="00DC72D1">
      <w:pPr>
        <w:spacing w:line="480" w:lineRule="auto"/>
        <w:jc w:val="center"/>
        <w:rPr>
          <w:rFonts w:ascii="Times New Roman" w:eastAsia="Times New Roman" w:hAnsi="Times New Roman" w:cs="Times New Roman"/>
          <w:sz w:val="24"/>
          <w:szCs w:val="24"/>
        </w:rPr>
      </w:pPr>
    </w:p>
    <w:p w14:paraId="00000005" w14:textId="77777777" w:rsidR="00DC72D1" w:rsidRDefault="00DC72D1">
      <w:pPr>
        <w:spacing w:line="480" w:lineRule="auto"/>
        <w:jc w:val="center"/>
        <w:rPr>
          <w:rFonts w:ascii="Times New Roman" w:eastAsia="Times New Roman" w:hAnsi="Times New Roman" w:cs="Times New Roman"/>
          <w:sz w:val="24"/>
          <w:szCs w:val="24"/>
        </w:rPr>
      </w:pPr>
    </w:p>
    <w:p w14:paraId="00000006" w14:textId="77777777" w:rsidR="00DC72D1" w:rsidRDefault="00DC72D1">
      <w:pPr>
        <w:spacing w:line="480" w:lineRule="auto"/>
        <w:rPr>
          <w:rFonts w:ascii="Times New Roman" w:eastAsia="Times New Roman" w:hAnsi="Times New Roman" w:cs="Times New Roman"/>
          <w:sz w:val="24"/>
          <w:szCs w:val="24"/>
        </w:rPr>
      </w:pPr>
    </w:p>
    <w:p w14:paraId="00000007" w14:textId="77777777" w:rsidR="00DC72D1" w:rsidRDefault="00DC72D1">
      <w:pPr>
        <w:spacing w:line="480" w:lineRule="auto"/>
        <w:jc w:val="center"/>
        <w:rPr>
          <w:rFonts w:ascii="Times New Roman" w:eastAsia="Times New Roman" w:hAnsi="Times New Roman" w:cs="Times New Roman"/>
          <w:sz w:val="24"/>
          <w:szCs w:val="24"/>
        </w:rPr>
      </w:pPr>
    </w:p>
    <w:p w14:paraId="00000008" w14:textId="77777777" w:rsidR="00DC72D1" w:rsidRDefault="00DC72D1">
      <w:pPr>
        <w:spacing w:line="480" w:lineRule="auto"/>
        <w:jc w:val="center"/>
        <w:rPr>
          <w:rFonts w:ascii="Times New Roman" w:eastAsia="Times New Roman" w:hAnsi="Times New Roman" w:cs="Times New Roman"/>
          <w:sz w:val="24"/>
          <w:szCs w:val="24"/>
        </w:rPr>
      </w:pPr>
    </w:p>
    <w:p w14:paraId="00000009" w14:textId="77777777" w:rsidR="00DC72D1" w:rsidRDefault="00DC72D1">
      <w:pPr>
        <w:spacing w:line="480" w:lineRule="auto"/>
        <w:rPr>
          <w:rFonts w:ascii="Times New Roman" w:eastAsia="Times New Roman" w:hAnsi="Times New Roman" w:cs="Times New Roman"/>
          <w:sz w:val="24"/>
          <w:szCs w:val="24"/>
        </w:rPr>
      </w:pPr>
    </w:p>
    <w:p w14:paraId="0000000A" w14:textId="77777777" w:rsidR="00DC72D1" w:rsidRDefault="00AB6E8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Informatics Solution Proposal: General Solution</w:t>
      </w:r>
    </w:p>
    <w:p w14:paraId="0000000B" w14:textId="77777777" w:rsidR="00DC72D1" w:rsidRDefault="00AB6E8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Name</w:t>
      </w:r>
    </w:p>
    <w:p w14:paraId="0000000C" w14:textId="77777777" w:rsidR="00DC72D1" w:rsidRDefault="00AB6E8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Course</w:t>
      </w:r>
    </w:p>
    <w:p w14:paraId="0000000D" w14:textId="77777777" w:rsidR="00DC72D1" w:rsidRDefault="00AB6E8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University</w:t>
      </w:r>
    </w:p>
    <w:p w14:paraId="0000000E" w14:textId="77777777" w:rsidR="00DC72D1" w:rsidRDefault="00AB6E83">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May X, 2021</w:t>
      </w:r>
    </w:p>
    <w:p w14:paraId="0000000F" w14:textId="77777777" w:rsidR="00DC72D1" w:rsidRDefault="00DC72D1">
      <w:pPr>
        <w:spacing w:line="480" w:lineRule="auto"/>
        <w:rPr>
          <w:rFonts w:ascii="Times New Roman" w:eastAsia="Times New Roman" w:hAnsi="Times New Roman" w:cs="Times New Roman"/>
          <w:sz w:val="24"/>
          <w:szCs w:val="24"/>
        </w:rPr>
      </w:pPr>
    </w:p>
    <w:p w14:paraId="00000010" w14:textId="77777777" w:rsidR="00DC72D1" w:rsidRDefault="00DC72D1">
      <w:pPr>
        <w:spacing w:line="480" w:lineRule="auto"/>
        <w:rPr>
          <w:rFonts w:ascii="Times New Roman" w:eastAsia="Times New Roman" w:hAnsi="Times New Roman" w:cs="Times New Roman"/>
          <w:sz w:val="24"/>
          <w:szCs w:val="24"/>
        </w:rPr>
      </w:pPr>
    </w:p>
    <w:p w14:paraId="00000011" w14:textId="77777777" w:rsidR="00DC72D1" w:rsidRDefault="00DC72D1">
      <w:pPr>
        <w:spacing w:line="480" w:lineRule="auto"/>
        <w:rPr>
          <w:rFonts w:ascii="Times New Roman" w:eastAsia="Times New Roman" w:hAnsi="Times New Roman" w:cs="Times New Roman"/>
          <w:sz w:val="24"/>
          <w:szCs w:val="24"/>
        </w:rPr>
      </w:pPr>
    </w:p>
    <w:p w14:paraId="00000012" w14:textId="77777777" w:rsidR="00DC72D1" w:rsidRDefault="00DC72D1">
      <w:pPr>
        <w:spacing w:line="480" w:lineRule="auto"/>
        <w:rPr>
          <w:rFonts w:ascii="Times New Roman" w:eastAsia="Times New Roman" w:hAnsi="Times New Roman" w:cs="Times New Roman"/>
          <w:sz w:val="24"/>
          <w:szCs w:val="24"/>
        </w:rPr>
      </w:pPr>
    </w:p>
    <w:p w14:paraId="00000013" w14:textId="77777777" w:rsidR="00DC72D1" w:rsidRDefault="00DC72D1">
      <w:pPr>
        <w:spacing w:line="480" w:lineRule="auto"/>
        <w:rPr>
          <w:rFonts w:ascii="Times New Roman" w:eastAsia="Times New Roman" w:hAnsi="Times New Roman" w:cs="Times New Roman"/>
          <w:sz w:val="24"/>
          <w:szCs w:val="24"/>
        </w:rPr>
      </w:pPr>
    </w:p>
    <w:p w14:paraId="00000014" w14:textId="77777777" w:rsidR="00DC72D1" w:rsidRDefault="00DC72D1">
      <w:pPr>
        <w:spacing w:line="480" w:lineRule="auto"/>
        <w:rPr>
          <w:rFonts w:ascii="Times New Roman" w:eastAsia="Times New Roman" w:hAnsi="Times New Roman" w:cs="Times New Roman"/>
          <w:sz w:val="24"/>
          <w:szCs w:val="24"/>
        </w:rPr>
      </w:pPr>
    </w:p>
    <w:p w14:paraId="00000015" w14:textId="77777777" w:rsidR="00DC72D1" w:rsidRDefault="00DC72D1">
      <w:pPr>
        <w:spacing w:line="480" w:lineRule="auto"/>
        <w:rPr>
          <w:rFonts w:ascii="Times New Roman" w:eastAsia="Times New Roman" w:hAnsi="Times New Roman" w:cs="Times New Roman"/>
          <w:sz w:val="24"/>
          <w:szCs w:val="24"/>
        </w:rPr>
      </w:pPr>
    </w:p>
    <w:p w14:paraId="00000016" w14:textId="77777777" w:rsidR="00DC72D1" w:rsidRDefault="00DC72D1">
      <w:pPr>
        <w:spacing w:line="480" w:lineRule="auto"/>
        <w:rPr>
          <w:rFonts w:ascii="Times New Roman" w:eastAsia="Times New Roman" w:hAnsi="Times New Roman" w:cs="Times New Roman"/>
          <w:sz w:val="24"/>
          <w:szCs w:val="24"/>
        </w:rPr>
      </w:pPr>
    </w:p>
    <w:p w14:paraId="00000017" w14:textId="77777777" w:rsidR="00DC72D1" w:rsidRDefault="00DC72D1">
      <w:pPr>
        <w:spacing w:line="480" w:lineRule="auto"/>
        <w:rPr>
          <w:rFonts w:ascii="Times New Roman" w:eastAsia="Times New Roman" w:hAnsi="Times New Roman" w:cs="Times New Roman"/>
          <w:sz w:val="24"/>
          <w:szCs w:val="24"/>
        </w:rPr>
      </w:pPr>
    </w:p>
    <w:p w14:paraId="00000018" w14:textId="77777777" w:rsidR="00DC72D1" w:rsidRDefault="00AB6E8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The current medication administration system is viewed as a grave concern for patient safety within the organization due to the abundance of errors that result. With this, a solution most appropriate, and likely feasible, for this problem is a new software</w:t>
      </w:r>
      <w:r>
        <w:rPr>
          <w:rFonts w:ascii="Times New Roman" w:eastAsia="Times New Roman" w:hAnsi="Times New Roman" w:cs="Times New Roman"/>
          <w:sz w:val="24"/>
          <w:szCs w:val="24"/>
        </w:rPr>
        <w:t xml:space="preserve"> that requires clinicians to scan and verify the medication for the correct patient, accurately verifies the medication is suitable for the patient, and finally, accurately verifies the dosage is correct (</w:t>
      </w:r>
      <w:r>
        <w:rPr>
          <w:rFonts w:ascii="Times New Roman" w:eastAsia="Times New Roman" w:hAnsi="Times New Roman" w:cs="Times New Roman"/>
          <w:sz w:val="24"/>
          <w:szCs w:val="24"/>
          <w:highlight w:val="white"/>
        </w:rPr>
        <w:t>Shah et al., 2016)</w:t>
      </w:r>
      <w:r>
        <w:rPr>
          <w:rFonts w:ascii="Times New Roman" w:eastAsia="Times New Roman" w:hAnsi="Times New Roman" w:cs="Times New Roman"/>
          <w:sz w:val="24"/>
          <w:szCs w:val="24"/>
        </w:rPr>
        <w:t>. This proposed software will ide</w:t>
      </w:r>
      <w:r>
        <w:rPr>
          <w:rFonts w:ascii="Times New Roman" w:eastAsia="Times New Roman" w:hAnsi="Times New Roman" w:cs="Times New Roman"/>
          <w:sz w:val="24"/>
          <w:szCs w:val="24"/>
        </w:rPr>
        <w:t xml:space="preserve">ally be able to seamlessly integrate into the current informatics-based systems, given the importance of utilizing a patient’s clinical data from other sources in recognizing potential medication errors (Harrison &amp; Lyerla, 2012). Ultimately, this solution </w:t>
      </w:r>
      <w:r>
        <w:rPr>
          <w:rFonts w:ascii="Times New Roman" w:eastAsia="Times New Roman" w:hAnsi="Times New Roman" w:cs="Times New Roman"/>
          <w:sz w:val="24"/>
          <w:szCs w:val="24"/>
        </w:rPr>
        <w:t>is appropriate for the current patient concerns along with efficiency in the workplace.</w:t>
      </w:r>
    </w:p>
    <w:p w14:paraId="00000019" w14:textId="147791BE" w:rsidR="00DC72D1" w:rsidRDefault="00942D75" w:rsidP="00942D75">
      <w:pPr>
        <w:tabs>
          <w:tab w:val="left" w:pos="2700"/>
          <w:tab w:val="center" w:pos="4680"/>
        </w:tabs>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3838E8">
        <w:rPr>
          <w:rFonts w:ascii="Times New Roman" w:eastAsia="Times New Roman" w:hAnsi="Times New Roman" w:cs="Times New Roman"/>
          <w:b/>
          <w:sz w:val="24"/>
          <w:szCs w:val="24"/>
        </w:rPr>
        <w:t xml:space="preserve">The </w:t>
      </w:r>
      <w:r w:rsidR="00371B86">
        <w:rPr>
          <w:rFonts w:ascii="Times New Roman" w:eastAsia="Times New Roman" w:hAnsi="Times New Roman" w:cs="Times New Roman"/>
          <w:b/>
          <w:sz w:val="24"/>
          <w:szCs w:val="24"/>
        </w:rPr>
        <w:t>Rationale for the Solution</w:t>
      </w:r>
    </w:p>
    <w:p w14:paraId="0000001A" w14:textId="77777777" w:rsidR="00DC72D1" w:rsidRDefault="00AB6E8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A specific product within the current (and up-to-date) medication administration software collection provides the orga</w:t>
      </w:r>
      <w:r>
        <w:rPr>
          <w:rFonts w:ascii="Times New Roman" w:eastAsia="Times New Roman" w:hAnsi="Times New Roman" w:cs="Times New Roman"/>
          <w:sz w:val="24"/>
          <w:szCs w:val="24"/>
        </w:rPr>
        <w:t>nization with an evidence-based solution that is both feasibly implementable and effective in improving patient safety (</w:t>
      </w:r>
      <w:r>
        <w:rPr>
          <w:rFonts w:ascii="Times New Roman" w:eastAsia="Times New Roman" w:hAnsi="Times New Roman" w:cs="Times New Roman"/>
          <w:sz w:val="24"/>
          <w:szCs w:val="24"/>
          <w:highlight w:val="white"/>
        </w:rPr>
        <w:t>Riaz et al., 2017)</w:t>
      </w:r>
      <w:r>
        <w:rPr>
          <w:rFonts w:ascii="Times New Roman" w:eastAsia="Times New Roman" w:hAnsi="Times New Roman" w:cs="Times New Roman"/>
          <w:sz w:val="24"/>
          <w:szCs w:val="24"/>
        </w:rPr>
        <w:t>. A medication administration software is carefully designed to ensure that clinicians can readily use the software wi</w:t>
      </w:r>
      <w:r>
        <w:rPr>
          <w:rFonts w:ascii="Times New Roman" w:eastAsia="Times New Roman" w:hAnsi="Times New Roman" w:cs="Times New Roman"/>
          <w:sz w:val="24"/>
          <w:szCs w:val="24"/>
        </w:rPr>
        <w:t>th no technical errors while containing meticulous components that can recognize potential medication errors and contraindications (</w:t>
      </w:r>
      <w:r>
        <w:rPr>
          <w:rFonts w:ascii="Times New Roman" w:eastAsia="Times New Roman" w:hAnsi="Times New Roman" w:cs="Times New Roman"/>
          <w:sz w:val="24"/>
          <w:szCs w:val="24"/>
          <w:highlight w:val="white"/>
        </w:rPr>
        <w:t>Kavanagh, 2017)</w:t>
      </w:r>
      <w:r>
        <w:rPr>
          <w:rFonts w:ascii="Times New Roman" w:eastAsia="Times New Roman" w:hAnsi="Times New Roman" w:cs="Times New Roman"/>
          <w:sz w:val="24"/>
          <w:szCs w:val="24"/>
        </w:rPr>
        <w:t>. This solution addresses the clinical problem by providing an evidence-based approach that requires clinicia</w:t>
      </w:r>
      <w:r>
        <w:rPr>
          <w:rFonts w:ascii="Times New Roman" w:eastAsia="Times New Roman" w:hAnsi="Times New Roman" w:cs="Times New Roman"/>
          <w:sz w:val="24"/>
          <w:szCs w:val="24"/>
        </w:rPr>
        <w:t>ns to verify various components pertaining to the medication and the patient with the goal of improving patient care, safety, and outcomes (</w:t>
      </w:r>
      <w:r>
        <w:rPr>
          <w:rFonts w:ascii="Times New Roman" w:eastAsia="Times New Roman" w:hAnsi="Times New Roman" w:cs="Times New Roman"/>
          <w:sz w:val="24"/>
          <w:szCs w:val="24"/>
          <w:highlight w:val="white"/>
        </w:rPr>
        <w:t>Kavanagh, 2017)</w:t>
      </w:r>
      <w:r>
        <w:rPr>
          <w:rFonts w:ascii="Times New Roman" w:eastAsia="Times New Roman" w:hAnsi="Times New Roman" w:cs="Times New Roman"/>
          <w:sz w:val="24"/>
          <w:szCs w:val="24"/>
        </w:rPr>
        <w:t>. Because of the likely feasibility of integrating the software into practice, clinicians will no lon</w:t>
      </w:r>
      <w:r>
        <w:rPr>
          <w:rFonts w:ascii="Times New Roman" w:eastAsia="Times New Roman" w:hAnsi="Times New Roman" w:cs="Times New Roman"/>
          <w:sz w:val="24"/>
          <w:szCs w:val="24"/>
        </w:rPr>
        <w:t>ger be unintentionally subjected to compromising patient care in practice. Unlike other potential solutions, this software provides the key tools the organization is familiar with and therefore, has a higher chance of being successful in practice.</w:t>
      </w:r>
    </w:p>
    <w:p w14:paraId="0000001B" w14:textId="77777777" w:rsidR="00DC72D1" w:rsidRDefault="00AB6E83">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Legal an</w:t>
      </w:r>
      <w:r>
        <w:rPr>
          <w:rFonts w:ascii="Times New Roman" w:eastAsia="Times New Roman" w:hAnsi="Times New Roman" w:cs="Times New Roman"/>
          <w:b/>
          <w:sz w:val="24"/>
          <w:szCs w:val="24"/>
        </w:rPr>
        <w:t>d Ethical Issues that May Be Resolved</w:t>
      </w:r>
    </w:p>
    <w:p w14:paraId="0000001C" w14:textId="77777777" w:rsidR="00DC72D1" w:rsidRDefault="00AB6E8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Medication administration errors result in many legal challenges for both the organization and the clinician involved. With these errors being cited as medical malpractice, medication error law applies to these errors</w:t>
      </w:r>
      <w:r>
        <w:rPr>
          <w:rFonts w:ascii="Times New Roman" w:eastAsia="Times New Roman" w:hAnsi="Times New Roman" w:cs="Times New Roman"/>
          <w:sz w:val="24"/>
          <w:szCs w:val="24"/>
        </w:rPr>
        <w:t xml:space="preserve"> at any given point during all administration processes (</w:t>
      </w:r>
      <w:proofErr w:type="spellStart"/>
      <w:r>
        <w:rPr>
          <w:rFonts w:ascii="Times New Roman" w:eastAsia="Times New Roman" w:hAnsi="Times New Roman" w:cs="Times New Roman"/>
          <w:sz w:val="24"/>
          <w:szCs w:val="24"/>
          <w:highlight w:val="white"/>
        </w:rPr>
        <w:t>Rodziewicz</w:t>
      </w:r>
      <w:proofErr w:type="spellEnd"/>
      <w:r>
        <w:rPr>
          <w:rFonts w:ascii="Times New Roman" w:eastAsia="Times New Roman" w:hAnsi="Times New Roman" w:cs="Times New Roman"/>
          <w:sz w:val="24"/>
          <w:szCs w:val="24"/>
          <w:highlight w:val="white"/>
        </w:rPr>
        <w:t xml:space="preserve"> et al., 2021)</w:t>
      </w:r>
      <w:r>
        <w:rPr>
          <w:rFonts w:ascii="Times New Roman" w:eastAsia="Times New Roman" w:hAnsi="Times New Roman" w:cs="Times New Roman"/>
          <w:sz w:val="24"/>
          <w:szCs w:val="24"/>
        </w:rPr>
        <w:t>. The proposed new software solution may help reduce or prevent such medication errors and subsequent legal challenges when implemented in practice (</w:t>
      </w:r>
      <w:proofErr w:type="spellStart"/>
      <w:r>
        <w:rPr>
          <w:rFonts w:ascii="Times New Roman" w:eastAsia="Times New Roman" w:hAnsi="Times New Roman" w:cs="Times New Roman"/>
          <w:sz w:val="24"/>
          <w:szCs w:val="24"/>
          <w:highlight w:val="white"/>
        </w:rPr>
        <w:t>Rodziewicz</w:t>
      </w:r>
      <w:proofErr w:type="spellEnd"/>
      <w:r>
        <w:rPr>
          <w:rFonts w:ascii="Times New Roman" w:eastAsia="Times New Roman" w:hAnsi="Times New Roman" w:cs="Times New Roman"/>
          <w:sz w:val="24"/>
          <w:szCs w:val="24"/>
          <w:highlight w:val="white"/>
        </w:rPr>
        <w:t xml:space="preserve"> et al., 2021)</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Because the medication error law is primarily applied in situations where a patient receives an incorrect medication and/or dosage, this proposed solution can help overcome these issues by serving as a tool effective for validating the correct medication a</w:t>
      </w:r>
      <w:r>
        <w:rPr>
          <w:rFonts w:ascii="Times New Roman" w:eastAsia="Times New Roman" w:hAnsi="Times New Roman" w:cs="Times New Roman"/>
          <w:sz w:val="24"/>
          <w:szCs w:val="24"/>
        </w:rPr>
        <w:t>nd/or dosage before administration.</w:t>
      </w:r>
    </w:p>
    <w:p w14:paraId="0000001D" w14:textId="77777777" w:rsidR="00DC72D1" w:rsidRDefault="00AB6E8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Ethical issues are an additional factor that may be resolved with the proposed software solution. There are many ethical concerns surrounding nonmaleficence, justice, and beneficence in the healthcare field. In the organization, these ethics are continuous</w:t>
      </w:r>
      <w:r>
        <w:rPr>
          <w:rFonts w:ascii="Times New Roman" w:eastAsia="Times New Roman" w:hAnsi="Times New Roman" w:cs="Times New Roman"/>
          <w:sz w:val="24"/>
          <w:szCs w:val="24"/>
        </w:rPr>
        <w:t>ly compromised with the flawed, current medication administration system that focuses on time efficiency rather than the correct procedures, adverse events in some patients, and inconsistent treatment options (</w:t>
      </w:r>
      <w:proofErr w:type="spellStart"/>
      <w:r>
        <w:rPr>
          <w:rFonts w:ascii="Times New Roman" w:eastAsia="Times New Roman" w:hAnsi="Times New Roman" w:cs="Times New Roman"/>
          <w:sz w:val="24"/>
          <w:szCs w:val="24"/>
          <w:highlight w:val="white"/>
        </w:rPr>
        <w:t>Rodziewicz</w:t>
      </w:r>
      <w:proofErr w:type="spellEnd"/>
      <w:r>
        <w:rPr>
          <w:rFonts w:ascii="Times New Roman" w:eastAsia="Times New Roman" w:hAnsi="Times New Roman" w:cs="Times New Roman"/>
          <w:sz w:val="24"/>
          <w:szCs w:val="24"/>
          <w:highlight w:val="white"/>
        </w:rPr>
        <w:t xml:space="preserve"> et al., 2021)</w:t>
      </w:r>
      <w:r>
        <w:rPr>
          <w:rFonts w:ascii="Times New Roman" w:eastAsia="Times New Roman" w:hAnsi="Times New Roman" w:cs="Times New Roman"/>
          <w:sz w:val="24"/>
          <w:szCs w:val="24"/>
        </w:rPr>
        <w:t>. With the proposed so</w:t>
      </w:r>
      <w:r>
        <w:rPr>
          <w:rFonts w:ascii="Times New Roman" w:eastAsia="Times New Roman" w:hAnsi="Times New Roman" w:cs="Times New Roman"/>
          <w:sz w:val="24"/>
          <w:szCs w:val="24"/>
        </w:rPr>
        <w:t>lution, ethics can be maintained rather than compromised through more accurate patient care, consistent treatment options, and efficient but safe patient care delivered (</w:t>
      </w:r>
      <w:proofErr w:type="spellStart"/>
      <w:r>
        <w:rPr>
          <w:rFonts w:ascii="Times New Roman" w:eastAsia="Times New Roman" w:hAnsi="Times New Roman" w:cs="Times New Roman"/>
          <w:sz w:val="24"/>
          <w:szCs w:val="24"/>
          <w:highlight w:val="white"/>
        </w:rPr>
        <w:t>Rodziewicz</w:t>
      </w:r>
      <w:proofErr w:type="spellEnd"/>
      <w:r>
        <w:rPr>
          <w:rFonts w:ascii="Times New Roman" w:eastAsia="Times New Roman" w:hAnsi="Times New Roman" w:cs="Times New Roman"/>
          <w:sz w:val="24"/>
          <w:szCs w:val="24"/>
          <w:highlight w:val="white"/>
        </w:rPr>
        <w:t xml:space="preserve"> et al., 2021)</w:t>
      </w:r>
      <w:r>
        <w:rPr>
          <w:rFonts w:ascii="Times New Roman" w:eastAsia="Times New Roman" w:hAnsi="Times New Roman" w:cs="Times New Roman"/>
          <w:sz w:val="24"/>
          <w:szCs w:val="24"/>
        </w:rPr>
        <w:t>. Therefore, the proposed solution can have a significantly po</w:t>
      </w:r>
      <w:r>
        <w:rPr>
          <w:rFonts w:ascii="Times New Roman" w:eastAsia="Times New Roman" w:hAnsi="Times New Roman" w:cs="Times New Roman"/>
          <w:sz w:val="24"/>
          <w:szCs w:val="24"/>
        </w:rPr>
        <w:t>sitive effect on both legal and ethical issues within the organization.</w:t>
      </w:r>
    </w:p>
    <w:p w14:paraId="0000001E" w14:textId="77777777" w:rsidR="00DC72D1" w:rsidRDefault="00DC72D1">
      <w:pPr>
        <w:spacing w:line="480" w:lineRule="auto"/>
        <w:rPr>
          <w:rFonts w:ascii="Times New Roman" w:eastAsia="Times New Roman" w:hAnsi="Times New Roman" w:cs="Times New Roman"/>
          <w:sz w:val="24"/>
          <w:szCs w:val="24"/>
        </w:rPr>
      </w:pPr>
    </w:p>
    <w:p w14:paraId="0000001F" w14:textId="77777777" w:rsidR="00DC72D1" w:rsidRDefault="00DC72D1">
      <w:pPr>
        <w:spacing w:line="480" w:lineRule="auto"/>
        <w:rPr>
          <w:rFonts w:ascii="Times New Roman" w:eastAsia="Times New Roman" w:hAnsi="Times New Roman" w:cs="Times New Roman"/>
          <w:sz w:val="24"/>
          <w:szCs w:val="24"/>
        </w:rPr>
      </w:pPr>
    </w:p>
    <w:p w14:paraId="00000020" w14:textId="77777777" w:rsidR="00DC72D1" w:rsidRDefault="00DC72D1">
      <w:pPr>
        <w:spacing w:line="480" w:lineRule="auto"/>
        <w:rPr>
          <w:rFonts w:ascii="Times New Roman" w:eastAsia="Times New Roman" w:hAnsi="Times New Roman" w:cs="Times New Roman"/>
          <w:sz w:val="24"/>
          <w:szCs w:val="24"/>
        </w:rPr>
      </w:pPr>
    </w:p>
    <w:p w14:paraId="00000021" w14:textId="77777777" w:rsidR="00DC72D1" w:rsidRDefault="00DC72D1">
      <w:pPr>
        <w:spacing w:line="480" w:lineRule="auto"/>
        <w:rPr>
          <w:rFonts w:ascii="Times New Roman" w:eastAsia="Times New Roman" w:hAnsi="Times New Roman" w:cs="Times New Roman"/>
          <w:sz w:val="24"/>
          <w:szCs w:val="24"/>
        </w:rPr>
      </w:pPr>
    </w:p>
    <w:p w14:paraId="00000022" w14:textId="77777777" w:rsidR="00DC72D1" w:rsidRDefault="00AB6E83">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References</w:t>
      </w:r>
    </w:p>
    <w:p w14:paraId="00000023" w14:textId="77777777" w:rsidR="00DC72D1" w:rsidRDefault="00AB6E83">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Harrison, R. L., &amp; Lyerla, F. (2012). Using nursing clinical decision support systems to achieve</w:t>
      </w:r>
    </w:p>
    <w:p w14:paraId="00000024" w14:textId="77777777" w:rsidR="00DC72D1" w:rsidRDefault="00AB6E83">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meaningful use. Computers, informatics, nursing : CIN, 30(7), 380–385. h</w:t>
      </w:r>
      <w:r>
        <w:rPr>
          <w:rFonts w:ascii="Times New Roman" w:eastAsia="Times New Roman" w:hAnsi="Times New Roman" w:cs="Times New Roman"/>
          <w:sz w:val="24"/>
          <w:szCs w:val="24"/>
        </w:rPr>
        <w:t>ttps://doi.org/10.1097/NCN.0b013e31823eb813</w:t>
      </w:r>
    </w:p>
    <w:p w14:paraId="00000025" w14:textId="77777777" w:rsidR="00DC72D1" w:rsidRDefault="00AB6E83">
      <w:pPr>
        <w:spacing w:line="480" w:lineRule="auto"/>
        <w:rPr>
          <w:rFonts w:ascii="Times New Roman" w:eastAsia="Times New Roman" w:hAnsi="Times New Roman" w:cs="Times New Roman"/>
          <w:i/>
          <w:sz w:val="24"/>
          <w:szCs w:val="24"/>
          <w:highlight w:val="white"/>
        </w:rPr>
      </w:pPr>
      <w:r>
        <w:rPr>
          <w:rFonts w:ascii="Times New Roman" w:eastAsia="Times New Roman" w:hAnsi="Times New Roman" w:cs="Times New Roman"/>
          <w:sz w:val="24"/>
          <w:szCs w:val="24"/>
          <w:highlight w:val="white"/>
        </w:rPr>
        <w:t>Kavanagh C. (2017). Medication governance: preventing errors and promoting patient safety.</w:t>
      </w:r>
    </w:p>
    <w:p w14:paraId="00000026" w14:textId="77777777" w:rsidR="00DC72D1" w:rsidRDefault="00AB6E83">
      <w:pPr>
        <w:spacing w:line="48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i/>
          <w:sz w:val="24"/>
          <w:szCs w:val="24"/>
          <w:highlight w:val="white"/>
        </w:rPr>
        <w:t>British journal of nursing (Mark Allen Publishing)</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26</w:t>
      </w:r>
      <w:r>
        <w:rPr>
          <w:rFonts w:ascii="Times New Roman" w:eastAsia="Times New Roman" w:hAnsi="Times New Roman" w:cs="Times New Roman"/>
          <w:sz w:val="24"/>
          <w:szCs w:val="24"/>
          <w:highlight w:val="white"/>
        </w:rPr>
        <w:t>(3), 159–165. https://doi.org/10.12968/bjon.2017.26.3.159</w:t>
      </w:r>
    </w:p>
    <w:p w14:paraId="00000027" w14:textId="77777777" w:rsidR="00DC72D1" w:rsidRDefault="00AB6E83">
      <w:pPr>
        <w:spacing w:line="48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Riaz, M. K., Riaz, M., &amp; Latif, A. (2017). Review - Medication errors and strategies for their</w:t>
      </w:r>
    </w:p>
    <w:p w14:paraId="00000028" w14:textId="77777777" w:rsidR="00DC72D1" w:rsidRDefault="00AB6E83">
      <w:pPr>
        <w:spacing w:line="480" w:lineRule="auto"/>
        <w:ind w:firstLine="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prevention. Pakistan journal of pharmaceutical sciences, 30(3), 921–928.</w:t>
      </w:r>
    </w:p>
    <w:p w14:paraId="00000029" w14:textId="77777777" w:rsidR="00DC72D1" w:rsidRDefault="00AB6E83">
      <w:pPr>
        <w:spacing w:line="480" w:lineRule="auto"/>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Rodziewicz</w:t>
      </w:r>
      <w:proofErr w:type="spellEnd"/>
      <w:r>
        <w:rPr>
          <w:rFonts w:ascii="Times New Roman" w:eastAsia="Times New Roman" w:hAnsi="Times New Roman" w:cs="Times New Roman"/>
          <w:sz w:val="24"/>
          <w:szCs w:val="24"/>
          <w:highlight w:val="white"/>
        </w:rPr>
        <w:t>, T. L., Houseman, B</w:t>
      </w:r>
      <w:r>
        <w:rPr>
          <w:rFonts w:ascii="Times New Roman" w:eastAsia="Times New Roman" w:hAnsi="Times New Roman" w:cs="Times New Roman"/>
          <w:sz w:val="24"/>
          <w:szCs w:val="24"/>
          <w:highlight w:val="white"/>
        </w:rPr>
        <w:t xml:space="preserve">., &amp; </w:t>
      </w:r>
      <w:proofErr w:type="spellStart"/>
      <w:r>
        <w:rPr>
          <w:rFonts w:ascii="Times New Roman" w:eastAsia="Times New Roman" w:hAnsi="Times New Roman" w:cs="Times New Roman"/>
          <w:sz w:val="24"/>
          <w:szCs w:val="24"/>
          <w:highlight w:val="white"/>
        </w:rPr>
        <w:t>Hipskind</w:t>
      </w:r>
      <w:proofErr w:type="spellEnd"/>
      <w:r>
        <w:rPr>
          <w:rFonts w:ascii="Times New Roman" w:eastAsia="Times New Roman" w:hAnsi="Times New Roman" w:cs="Times New Roman"/>
          <w:sz w:val="24"/>
          <w:szCs w:val="24"/>
          <w:highlight w:val="white"/>
        </w:rPr>
        <w:t>, J. E. (2021). Medical Error Reduction and</w:t>
      </w:r>
    </w:p>
    <w:p w14:paraId="0000002A" w14:textId="77777777" w:rsidR="00DC72D1" w:rsidRDefault="00AB6E83">
      <w:pPr>
        <w:spacing w:line="480" w:lineRule="auto"/>
        <w:ind w:firstLine="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Prevention. In </w:t>
      </w:r>
      <w:proofErr w:type="spellStart"/>
      <w:r>
        <w:rPr>
          <w:rFonts w:ascii="Times New Roman" w:eastAsia="Times New Roman" w:hAnsi="Times New Roman" w:cs="Times New Roman"/>
          <w:sz w:val="24"/>
          <w:szCs w:val="24"/>
          <w:highlight w:val="white"/>
        </w:rPr>
        <w:t>StatPearls</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StatPearls</w:t>
      </w:r>
      <w:proofErr w:type="spellEnd"/>
      <w:r>
        <w:rPr>
          <w:rFonts w:ascii="Times New Roman" w:eastAsia="Times New Roman" w:hAnsi="Times New Roman" w:cs="Times New Roman"/>
          <w:sz w:val="24"/>
          <w:szCs w:val="24"/>
          <w:highlight w:val="white"/>
        </w:rPr>
        <w:t xml:space="preserve"> Publishing.</w:t>
      </w:r>
    </w:p>
    <w:p w14:paraId="0000002B" w14:textId="77777777" w:rsidR="00DC72D1" w:rsidRDefault="00AB6E83">
      <w:pPr>
        <w:spacing w:line="48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Shah, K., Lo, C., </w:t>
      </w:r>
      <w:proofErr w:type="spellStart"/>
      <w:r>
        <w:rPr>
          <w:rFonts w:ascii="Times New Roman" w:eastAsia="Times New Roman" w:hAnsi="Times New Roman" w:cs="Times New Roman"/>
          <w:sz w:val="24"/>
          <w:szCs w:val="24"/>
          <w:highlight w:val="white"/>
        </w:rPr>
        <w:t>Babich</w:t>
      </w:r>
      <w:proofErr w:type="spellEnd"/>
      <w:r>
        <w:rPr>
          <w:rFonts w:ascii="Times New Roman" w:eastAsia="Times New Roman" w:hAnsi="Times New Roman" w:cs="Times New Roman"/>
          <w:sz w:val="24"/>
          <w:szCs w:val="24"/>
          <w:highlight w:val="white"/>
        </w:rPr>
        <w:t xml:space="preserve">, M., Tsao, N. W., &amp; </w:t>
      </w:r>
      <w:proofErr w:type="spellStart"/>
      <w:r>
        <w:rPr>
          <w:rFonts w:ascii="Times New Roman" w:eastAsia="Times New Roman" w:hAnsi="Times New Roman" w:cs="Times New Roman"/>
          <w:sz w:val="24"/>
          <w:szCs w:val="24"/>
          <w:highlight w:val="white"/>
        </w:rPr>
        <w:t>Bansback</w:t>
      </w:r>
      <w:proofErr w:type="spellEnd"/>
      <w:r>
        <w:rPr>
          <w:rFonts w:ascii="Times New Roman" w:eastAsia="Times New Roman" w:hAnsi="Times New Roman" w:cs="Times New Roman"/>
          <w:sz w:val="24"/>
          <w:szCs w:val="24"/>
          <w:highlight w:val="white"/>
        </w:rPr>
        <w:t>, N. J. (2016). Bar Code Medication</w:t>
      </w:r>
    </w:p>
    <w:p w14:paraId="0000002C" w14:textId="77777777" w:rsidR="00DC72D1" w:rsidRDefault="00AB6E83">
      <w:pPr>
        <w:spacing w:line="48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Administration Technology: A Systematic Review of Impact on </w:t>
      </w:r>
      <w:r>
        <w:rPr>
          <w:rFonts w:ascii="Times New Roman" w:eastAsia="Times New Roman" w:hAnsi="Times New Roman" w:cs="Times New Roman"/>
          <w:sz w:val="24"/>
          <w:szCs w:val="24"/>
          <w:highlight w:val="white"/>
        </w:rPr>
        <w:t xml:space="preserve">Patient Safety When Used with Computerized Prescriber Order Entry and Automated Dispensing Devices. </w:t>
      </w:r>
      <w:r>
        <w:rPr>
          <w:rFonts w:ascii="Times New Roman" w:eastAsia="Times New Roman" w:hAnsi="Times New Roman" w:cs="Times New Roman"/>
          <w:i/>
          <w:sz w:val="24"/>
          <w:szCs w:val="24"/>
          <w:highlight w:val="white"/>
        </w:rPr>
        <w:t>The Canadian journal of hospital pharmacy</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sz w:val="24"/>
          <w:szCs w:val="24"/>
          <w:highlight w:val="white"/>
        </w:rPr>
        <w:t>69</w:t>
      </w:r>
      <w:r>
        <w:rPr>
          <w:rFonts w:ascii="Times New Roman" w:eastAsia="Times New Roman" w:hAnsi="Times New Roman" w:cs="Times New Roman"/>
          <w:sz w:val="24"/>
          <w:szCs w:val="24"/>
          <w:highlight w:val="white"/>
        </w:rPr>
        <w:t>(5), 394–402. https://doi.org/10.4212/cjhp.v69i5.1594</w:t>
      </w:r>
    </w:p>
    <w:sectPr w:rsidR="00DC72D1">
      <w:headerReference w:type="default" r:id="rId6"/>
      <w:headerReference w:type="first" r:id="rId7"/>
      <w:footerReference w:type="first" r:id="rId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1EAC" w14:textId="77777777" w:rsidR="00AB6E83" w:rsidRDefault="00AB6E83">
      <w:pPr>
        <w:spacing w:line="240" w:lineRule="auto"/>
      </w:pPr>
      <w:r>
        <w:separator/>
      </w:r>
    </w:p>
  </w:endnote>
  <w:endnote w:type="continuationSeparator" w:id="0">
    <w:p w14:paraId="3B78E77E" w14:textId="77777777" w:rsidR="00AB6E83" w:rsidRDefault="00AB6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DC72D1" w:rsidRDefault="00DC72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AAA0A" w14:textId="77777777" w:rsidR="00AB6E83" w:rsidRDefault="00AB6E83">
      <w:pPr>
        <w:spacing w:line="240" w:lineRule="auto"/>
      </w:pPr>
      <w:r>
        <w:separator/>
      </w:r>
    </w:p>
  </w:footnote>
  <w:footnote w:type="continuationSeparator" w:id="0">
    <w:p w14:paraId="0DBC807E" w14:textId="77777777" w:rsidR="00AB6E83" w:rsidRDefault="00AB6E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3737322" w:rsidR="00DC72D1" w:rsidRDefault="00AB6E83">
    <w:pPr>
      <w:rPr>
        <w:rFonts w:ascii="Times New Roman" w:eastAsia="Times New Roman" w:hAnsi="Times New Roman" w:cs="Times New Roman"/>
        <w:sz w:val="24"/>
        <w:szCs w:val="24"/>
      </w:rPr>
    </w:pPr>
    <w:r>
      <w:rPr>
        <w:rFonts w:ascii="Times New Roman" w:eastAsia="Times New Roman" w:hAnsi="Times New Roman" w:cs="Times New Roman"/>
        <w:sz w:val="24"/>
        <w:szCs w:val="24"/>
      </w:rPr>
      <w:t>INFORMATICS SOLUTION PROPOSAL: GENERAL SOLUTION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sidR="004C4311">
      <w:rPr>
        <w:rFonts w:ascii="Times New Roman" w:eastAsia="Times New Roman" w:hAnsi="Times New Roman" w:cs="Times New Roman"/>
        <w:noProof/>
        <w:sz w:val="24"/>
        <w:szCs w:val="24"/>
      </w:rPr>
      <w:t>2</w:t>
    </w:r>
    <w:r>
      <w:rPr>
        <w:rFonts w:ascii="Times New Roman" w:eastAsia="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2F949DB8" w:rsidR="00DC72D1" w:rsidRDefault="00AB6E83">
    <w:pPr>
      <w:rPr>
        <w:rFonts w:ascii="Times New Roman" w:eastAsia="Times New Roman" w:hAnsi="Times New Roman" w:cs="Times New Roman"/>
        <w:sz w:val="24"/>
        <w:szCs w:val="24"/>
      </w:rPr>
    </w:pPr>
    <w:r>
      <w:rPr>
        <w:rFonts w:ascii="Times New Roman" w:eastAsia="Times New Roman" w:hAnsi="Times New Roman" w:cs="Times New Roman"/>
        <w:sz w:val="24"/>
        <w:szCs w:val="24"/>
      </w:rPr>
      <w:t>Running head: INFORMATICS SOLUTION PROPOSAL: GENERAL SOLUTION</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sidR="004C4311">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2D1"/>
    <w:rsid w:val="00371B86"/>
    <w:rsid w:val="003838E8"/>
    <w:rsid w:val="004C4311"/>
    <w:rsid w:val="00942D75"/>
    <w:rsid w:val="00AB6E83"/>
    <w:rsid w:val="00CD178D"/>
    <w:rsid w:val="00DC7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9A843"/>
  <w15:docId w15:val="{7F7184F5-188A-41BD-8410-C1C3A089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Molli Patterson</cp:lastModifiedBy>
  <cp:revision>7</cp:revision>
  <dcterms:created xsi:type="dcterms:W3CDTF">2021-05-10T01:52:00Z</dcterms:created>
  <dcterms:modified xsi:type="dcterms:W3CDTF">2021-05-10T02:49:00Z</dcterms:modified>
</cp:coreProperties>
</file>