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326" w:rsidRDefault="005C1326" w:rsidP="005C1326">
      <w:pPr>
        <w:spacing w:line="480" w:lineRule="auto"/>
        <w:jc w:val="center"/>
        <w:rPr>
          <w:b/>
        </w:rPr>
      </w:pPr>
    </w:p>
    <w:p w:rsidR="005C1326" w:rsidRDefault="005C1326" w:rsidP="005C1326">
      <w:pPr>
        <w:spacing w:line="480" w:lineRule="auto"/>
        <w:jc w:val="center"/>
        <w:rPr>
          <w:b/>
        </w:rPr>
      </w:pPr>
    </w:p>
    <w:p w:rsidR="005C1326" w:rsidRDefault="005C1326" w:rsidP="005C1326">
      <w:pPr>
        <w:spacing w:line="480" w:lineRule="auto"/>
        <w:jc w:val="center"/>
        <w:rPr>
          <w:b/>
        </w:rPr>
      </w:pPr>
    </w:p>
    <w:p w:rsidR="005C1326" w:rsidRDefault="005C1326" w:rsidP="005C1326">
      <w:pPr>
        <w:spacing w:line="480" w:lineRule="auto"/>
        <w:jc w:val="center"/>
        <w:rPr>
          <w:b/>
        </w:rPr>
      </w:pPr>
    </w:p>
    <w:p w:rsidR="00DE6BAC" w:rsidRDefault="000408D9" w:rsidP="005C1326">
      <w:pPr>
        <w:spacing w:line="480" w:lineRule="auto"/>
        <w:jc w:val="center"/>
        <w:rPr>
          <w:b/>
        </w:rPr>
      </w:pPr>
      <w:r w:rsidRPr="000408D9">
        <w:rPr>
          <w:b/>
        </w:rPr>
        <w:t>Better Communication Equipment</w:t>
      </w:r>
    </w:p>
    <w:p w:rsidR="005C1326" w:rsidRDefault="005C1326" w:rsidP="005C1326">
      <w:pPr>
        <w:spacing w:line="480" w:lineRule="auto"/>
        <w:jc w:val="center"/>
        <w:rPr>
          <w:b/>
        </w:rPr>
      </w:pPr>
    </w:p>
    <w:p w:rsidR="00997F06" w:rsidRDefault="00997F06" w:rsidP="005C1326">
      <w:pPr>
        <w:spacing w:line="480" w:lineRule="auto"/>
        <w:jc w:val="center"/>
      </w:pPr>
      <w:r>
        <w:t>Student’s Name(s)</w:t>
      </w:r>
    </w:p>
    <w:p w:rsidR="00997F06" w:rsidRDefault="00997F06" w:rsidP="005C1326">
      <w:pPr>
        <w:spacing w:line="480" w:lineRule="auto"/>
        <w:jc w:val="center"/>
      </w:pPr>
      <w:r>
        <w:t>Institutional Affiliation(s)</w:t>
      </w:r>
    </w:p>
    <w:p w:rsidR="00997F06" w:rsidRDefault="00997F06" w:rsidP="005C1326">
      <w:pPr>
        <w:spacing w:line="480" w:lineRule="auto"/>
        <w:jc w:val="center"/>
      </w:pPr>
      <w:r>
        <w:t>Course Details</w:t>
      </w:r>
    </w:p>
    <w:p w:rsidR="00997F06" w:rsidRDefault="00997F06" w:rsidP="005C1326">
      <w:pPr>
        <w:spacing w:line="480" w:lineRule="auto"/>
        <w:jc w:val="center"/>
      </w:pPr>
      <w:r>
        <w:t>Instructor’s Name(s)</w:t>
      </w:r>
    </w:p>
    <w:p w:rsidR="00997F06" w:rsidRPr="00997F06" w:rsidRDefault="00997F06" w:rsidP="005C1326">
      <w:pPr>
        <w:spacing w:line="480" w:lineRule="auto"/>
        <w:jc w:val="center"/>
      </w:pPr>
      <w:r>
        <w:t>Date</w:t>
      </w: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A62105" w:rsidRDefault="00A62105" w:rsidP="005C1326">
      <w:pPr>
        <w:spacing w:line="480" w:lineRule="auto"/>
        <w:jc w:val="center"/>
        <w:rPr>
          <w:b/>
        </w:rPr>
      </w:pPr>
    </w:p>
    <w:p w:rsidR="00997F06" w:rsidRDefault="00997F06" w:rsidP="005C1326">
      <w:pPr>
        <w:spacing w:line="480" w:lineRule="auto"/>
        <w:jc w:val="center"/>
        <w:rPr>
          <w:b/>
        </w:rPr>
      </w:pPr>
      <w:r w:rsidRPr="000408D9">
        <w:rPr>
          <w:b/>
        </w:rPr>
        <w:lastRenderedPageBreak/>
        <w:t>Better Communication Equipment</w:t>
      </w:r>
    </w:p>
    <w:p w:rsidR="000408D9" w:rsidRDefault="00BA73AB" w:rsidP="00997F06">
      <w:pPr>
        <w:spacing w:line="480" w:lineRule="auto"/>
        <w:jc w:val="center"/>
        <w:rPr>
          <w:b/>
        </w:rPr>
      </w:pPr>
      <w:r>
        <w:rPr>
          <w:b/>
        </w:rPr>
        <w:t>Introduction</w:t>
      </w:r>
    </w:p>
    <w:p w:rsidR="00BA73AB" w:rsidRDefault="00F1300B" w:rsidP="000408D9">
      <w:pPr>
        <w:spacing w:line="480" w:lineRule="auto"/>
      </w:pPr>
      <w:r>
        <w:tab/>
        <w:t xml:space="preserve">Information sharing and overall communication </w:t>
      </w:r>
      <w:r w:rsidR="00842497">
        <w:t>are imperative components</w:t>
      </w:r>
      <w:r>
        <w:t xml:space="preserve"> of disaster response and management </w:t>
      </w:r>
      <w:r w:rsidR="00E844F2">
        <w:t xml:space="preserve">strategies, focused on attaining </w:t>
      </w:r>
      <w:r w:rsidR="00E622B0">
        <w:t xml:space="preserve">resolutions at the end of the incidence. </w:t>
      </w:r>
      <w:r w:rsidR="00393D92">
        <w:t xml:space="preserve">The 9/11 attack lacked the perfect frameworks </w:t>
      </w:r>
      <w:r w:rsidR="00C51BE6">
        <w:t>for communication</w:t>
      </w:r>
      <w:r w:rsidR="00B9161F">
        <w:t xml:space="preserve"> and information sharing, which escalated the </w:t>
      </w:r>
      <w:r w:rsidR="00842497">
        <w:t>advers</w:t>
      </w:r>
      <w:r w:rsidR="00B9161F">
        <w:t xml:space="preserve">e outcomes </w:t>
      </w:r>
      <w:r w:rsidR="00200B71">
        <w:t xml:space="preserve">of the response exercise. </w:t>
      </w:r>
      <w:r w:rsidR="00373319">
        <w:t xml:space="preserve">It </w:t>
      </w:r>
      <w:proofErr w:type="gramStart"/>
      <w:r w:rsidR="00373319">
        <w:t>is estimated</w:t>
      </w:r>
      <w:proofErr w:type="gramEnd"/>
      <w:r w:rsidR="00373319">
        <w:t xml:space="preserve"> that almost 3,000 people </w:t>
      </w:r>
      <w:r w:rsidR="00BD0B8B">
        <w:t>died in the 9/11 attacks</w:t>
      </w:r>
      <w:r w:rsidR="007D41CA">
        <w:t xml:space="preserve">, including over </w:t>
      </w:r>
      <w:r w:rsidR="006C7B60">
        <w:t>2,600 people</w:t>
      </w:r>
      <w:r w:rsidR="00766BF5">
        <w:t xml:space="preserve"> in the </w:t>
      </w:r>
      <w:r w:rsidR="007D41CA">
        <w:t>World Trade Center</w:t>
      </w:r>
      <w:r w:rsidR="006C7B60">
        <w:t xml:space="preserve"> died. </w:t>
      </w:r>
      <w:r w:rsidR="004972F0">
        <w:t xml:space="preserve">The </w:t>
      </w:r>
      <w:r w:rsidR="004972F0" w:rsidRPr="004972F0">
        <w:t>faulty communication equipment</w:t>
      </w:r>
      <w:r w:rsidR="006918C5">
        <w:t xml:space="preserve"> with the firefighters failed to help </w:t>
      </w:r>
      <w:r w:rsidR="00842497">
        <w:t>provide</w:t>
      </w:r>
      <w:r w:rsidR="006918C5">
        <w:t xml:space="preserve"> </w:t>
      </w:r>
      <w:r w:rsidR="00842497">
        <w:t xml:space="preserve">a </w:t>
      </w:r>
      <w:r w:rsidR="006918C5">
        <w:t xml:space="preserve">real-time </w:t>
      </w:r>
      <w:r w:rsidR="004C2021">
        <w:t xml:space="preserve">update on the </w:t>
      </w:r>
      <w:r w:rsidR="00DF64D9">
        <w:t xml:space="preserve">need to vacate the World Trade Center, leading to massive deaths. </w:t>
      </w:r>
      <w:r w:rsidR="001401F1">
        <w:t xml:space="preserve">Notably, </w:t>
      </w:r>
      <w:r w:rsidR="00203F5D">
        <w:t xml:space="preserve">better communication equipment would help in reducing the </w:t>
      </w:r>
      <w:r w:rsidR="004F6359">
        <w:t xml:space="preserve">number of deaths by </w:t>
      </w:r>
      <w:r w:rsidR="003234A0">
        <w:t xml:space="preserve">establishing a seamless communication channel for real-time updates, making it possible to resolve the </w:t>
      </w:r>
      <w:r w:rsidR="00554499">
        <w:t xml:space="preserve">information sharing </w:t>
      </w:r>
      <w:r w:rsidR="001062EC">
        <w:t xml:space="preserve">inhibitors </w:t>
      </w:r>
      <w:r w:rsidR="00554499">
        <w:t xml:space="preserve">witnessed in the response exercise. </w:t>
      </w:r>
    </w:p>
    <w:p w:rsidR="00D240C4" w:rsidRDefault="001062EC" w:rsidP="000408D9">
      <w:pPr>
        <w:spacing w:line="480" w:lineRule="auto"/>
      </w:pPr>
      <w:r>
        <w:tab/>
      </w:r>
      <w:r w:rsidR="00BA0A6E">
        <w:t xml:space="preserve">Better </w:t>
      </w:r>
      <w:r w:rsidR="00377B82">
        <w:t xml:space="preserve">communication </w:t>
      </w:r>
      <w:r w:rsidR="00C16B7B">
        <w:t xml:space="preserve">equipment would have changed the outcomes by </w:t>
      </w:r>
      <w:r w:rsidR="00517C60">
        <w:t>initiating a planning framework</w:t>
      </w:r>
      <w:r w:rsidR="009D12E7">
        <w:t xml:space="preserve">, which </w:t>
      </w:r>
      <w:proofErr w:type="gramStart"/>
      <w:r w:rsidR="009D12E7">
        <w:t>could have been used</w:t>
      </w:r>
      <w:proofErr w:type="gramEnd"/>
      <w:r w:rsidR="009D12E7">
        <w:t xml:space="preserve"> to </w:t>
      </w:r>
      <w:r w:rsidR="00232CA9">
        <w:t>execute the evacuation process</w:t>
      </w:r>
      <w:r w:rsidR="0024076F">
        <w:t xml:space="preserve"> in the disaster management process. </w:t>
      </w:r>
      <w:proofErr w:type="spellStart"/>
      <w:r w:rsidR="008F183E" w:rsidRPr="001A7962">
        <w:t>Kapu</w:t>
      </w:r>
      <w:r w:rsidR="008F183E">
        <w:t>r</w:t>
      </w:r>
      <w:proofErr w:type="spellEnd"/>
      <w:r w:rsidR="008F183E">
        <w:t xml:space="preserve"> et al. (2016)</w:t>
      </w:r>
      <w:r w:rsidR="00520467">
        <w:t xml:space="preserve"> confirm that </w:t>
      </w:r>
      <w:r w:rsidR="00B1226D">
        <w:t xml:space="preserve">effective communication enhances the preparedness during a </w:t>
      </w:r>
      <w:r w:rsidR="00E368C7">
        <w:t>response</w:t>
      </w:r>
      <w:r w:rsidR="00B1226D">
        <w:t xml:space="preserve"> program through a </w:t>
      </w:r>
      <w:r w:rsidR="00E368C7">
        <w:t xml:space="preserve">multifaceted </w:t>
      </w:r>
      <w:r w:rsidR="00B1226D">
        <w:t xml:space="preserve">and informative resource. </w:t>
      </w:r>
      <w:r w:rsidR="002E33BB">
        <w:t xml:space="preserve">Therefore, </w:t>
      </w:r>
      <w:r w:rsidR="0035225F">
        <w:t xml:space="preserve">better communication equipment would help mobilize human resources to initiate and monitor the evacuation process at the </w:t>
      </w:r>
      <w:r w:rsidR="00CF41C9">
        <w:t xml:space="preserve">World Trade Center, changing the </w:t>
      </w:r>
      <w:r w:rsidR="00657A16">
        <w:t xml:space="preserve">overall results or the number of people who died </w:t>
      </w:r>
      <w:r w:rsidR="00842497">
        <w:t>i</w:t>
      </w:r>
      <w:r w:rsidR="00657A16">
        <w:t xml:space="preserve">n the process. </w:t>
      </w:r>
      <w:r w:rsidR="00D65D51">
        <w:t xml:space="preserve">Additionally, </w:t>
      </w:r>
      <w:r w:rsidR="002056FE">
        <w:t xml:space="preserve">during the process, better communication equipment would help in effort coordination among the response team to promote </w:t>
      </w:r>
      <w:r w:rsidR="00842497">
        <w:t xml:space="preserve">a </w:t>
      </w:r>
      <w:r w:rsidR="002352AB">
        <w:t xml:space="preserve">quick and effective response plan. </w:t>
      </w:r>
    </w:p>
    <w:p w:rsidR="001062EC" w:rsidRDefault="00D240C4" w:rsidP="000408D9">
      <w:pPr>
        <w:spacing w:line="480" w:lineRule="auto"/>
      </w:pPr>
      <w:r>
        <w:tab/>
      </w:r>
      <w:r w:rsidR="00AC78C6">
        <w:t xml:space="preserve">Besides, </w:t>
      </w:r>
      <w:r w:rsidR="00140D67">
        <w:t xml:space="preserve">it would be </w:t>
      </w:r>
      <w:r w:rsidR="00842497">
        <w:t>adequat</w:t>
      </w:r>
      <w:r w:rsidR="007E7F31">
        <w:t xml:space="preserve">e to change the results of the 9/11 attacks through better communication </w:t>
      </w:r>
      <w:r w:rsidR="00BB6AAE">
        <w:t xml:space="preserve">equipment </w:t>
      </w:r>
      <w:r w:rsidR="00432CA5">
        <w:t xml:space="preserve">by </w:t>
      </w:r>
      <w:r w:rsidR="00182720">
        <w:t xml:space="preserve">enhancing the resources proficiency in </w:t>
      </w:r>
      <w:r w:rsidR="00127754">
        <w:t xml:space="preserve">promoting the abilities to monitor, control and manage the information flowing </w:t>
      </w:r>
      <w:r w:rsidR="00F842D5">
        <w:t xml:space="preserve">among the response </w:t>
      </w:r>
      <w:r w:rsidR="008422A3">
        <w:t xml:space="preserve">team. </w:t>
      </w:r>
      <w:r w:rsidR="00015A1D" w:rsidRPr="007C22FF">
        <w:t>Fajardo</w:t>
      </w:r>
      <w:r w:rsidR="00015A1D">
        <w:t xml:space="preserve"> </w:t>
      </w:r>
      <w:r w:rsidR="00015A1D">
        <w:lastRenderedPageBreak/>
        <w:t xml:space="preserve">(2019) confirms that </w:t>
      </w:r>
      <w:r w:rsidR="006A67B9">
        <w:t xml:space="preserve">establishing effective emergency communication </w:t>
      </w:r>
      <w:r w:rsidR="00465BDF">
        <w:t xml:space="preserve">is a </w:t>
      </w:r>
      <w:r w:rsidR="00842497">
        <w:t>significant</w:t>
      </w:r>
      <w:r w:rsidR="00465BDF">
        <w:t xml:space="preserve"> pillar for disaster management </w:t>
      </w:r>
      <w:r w:rsidR="00A22BFD">
        <w:t xml:space="preserve">by putting operational </w:t>
      </w:r>
      <w:r w:rsidR="00121542">
        <w:t>infrastructures</w:t>
      </w:r>
      <w:r w:rsidR="00AC0A8B">
        <w:t xml:space="preserve"> for data and image sharing to avail essential</w:t>
      </w:r>
      <w:r w:rsidR="00121542">
        <w:t xml:space="preserve"> information. </w:t>
      </w:r>
      <w:r w:rsidR="006878DC">
        <w:t xml:space="preserve">Notably, information is power; establishing better </w:t>
      </w:r>
      <w:r w:rsidR="005026FA">
        <w:t xml:space="preserve">communication </w:t>
      </w:r>
      <w:r w:rsidR="00D95320">
        <w:t>means vast information is available among the response team</w:t>
      </w:r>
      <w:r w:rsidR="00842497">
        <w:t>,</w:t>
      </w:r>
      <w:r w:rsidR="00D95320">
        <w:t xml:space="preserve"> and they know what </w:t>
      </w:r>
      <w:proofErr w:type="gramStart"/>
      <w:r w:rsidR="00D95320">
        <w:t>is expected</w:t>
      </w:r>
      <w:proofErr w:type="gramEnd"/>
      <w:r w:rsidR="00D95320">
        <w:t xml:space="preserve"> from them and members. </w:t>
      </w:r>
      <w:r w:rsidR="0053355F">
        <w:t xml:space="preserve">Therefore, </w:t>
      </w:r>
      <w:r w:rsidR="000B67CC">
        <w:t xml:space="preserve">better communication equipment </w:t>
      </w:r>
      <w:r w:rsidR="00481FAA">
        <w:t xml:space="preserve">would have changed the outcomes of the 9/11 </w:t>
      </w:r>
      <w:r w:rsidR="00F377A9">
        <w:t xml:space="preserve">attacks </w:t>
      </w:r>
      <w:r w:rsidR="00867F19">
        <w:t xml:space="preserve">by </w:t>
      </w:r>
      <w:r w:rsidR="00523C5F">
        <w:t xml:space="preserve">ensuring quick </w:t>
      </w:r>
      <w:r w:rsidR="005D74D2">
        <w:t xml:space="preserve">response to the disasters through a </w:t>
      </w:r>
      <w:r w:rsidR="00277EA5">
        <w:t xml:space="preserve">seamless system of information flowing. </w:t>
      </w:r>
    </w:p>
    <w:p w:rsidR="000804AE" w:rsidRDefault="00334441" w:rsidP="000408D9">
      <w:pPr>
        <w:spacing w:line="480" w:lineRule="auto"/>
      </w:pPr>
      <w:r>
        <w:tab/>
      </w:r>
      <w:r w:rsidR="004F3845">
        <w:t xml:space="preserve">Better communication </w:t>
      </w:r>
      <w:r w:rsidR="00BF049B">
        <w:t xml:space="preserve">equipment </w:t>
      </w:r>
      <w:r w:rsidR="00E832A1">
        <w:t xml:space="preserve">would mean better connectivity among the teams to </w:t>
      </w:r>
      <w:r w:rsidR="007D26F5">
        <w:t>integrate a teamwork framework for disaster management and response process.</w:t>
      </w:r>
      <w:r w:rsidR="007425DC">
        <w:t xml:space="preserve"> </w:t>
      </w:r>
      <w:r w:rsidR="007425DC" w:rsidRPr="007C22FF">
        <w:t>Fajardo</w:t>
      </w:r>
      <w:r w:rsidR="007425DC">
        <w:t xml:space="preserve"> (2019) </w:t>
      </w:r>
      <w:r w:rsidR="007425DC">
        <w:t>ascertain that</w:t>
      </w:r>
      <w:r w:rsidR="001B3B0E">
        <w:t xml:space="preserve"> </w:t>
      </w:r>
      <w:r w:rsidR="00842497">
        <w:t xml:space="preserve">a </w:t>
      </w:r>
      <w:r w:rsidR="00713067">
        <w:t xml:space="preserve">better emergency communication framework would ensure proper establishment of the </w:t>
      </w:r>
      <w:r w:rsidR="008B0C94">
        <w:t>operational schemes among the</w:t>
      </w:r>
      <w:r w:rsidR="00BA7871">
        <w:t xml:space="preserve"> response</w:t>
      </w:r>
      <w:r w:rsidR="008B0C94">
        <w:t xml:space="preserve"> team members</w:t>
      </w:r>
      <w:r w:rsidR="00BA7871">
        <w:t xml:space="preserve"> through communication standardization </w:t>
      </w:r>
      <w:r w:rsidR="00294CE1">
        <w:t xml:space="preserve">and ensuring broad access to </w:t>
      </w:r>
      <w:r w:rsidR="00EE2604">
        <w:t xml:space="preserve">the </w:t>
      </w:r>
      <w:r w:rsidR="007A390A">
        <w:t xml:space="preserve">response information. </w:t>
      </w:r>
      <w:r w:rsidR="00D71103">
        <w:t>Concerning</w:t>
      </w:r>
      <w:r w:rsidR="00C352D0">
        <w:t xml:space="preserve"> the </w:t>
      </w:r>
      <w:r w:rsidR="006D7707">
        <w:t xml:space="preserve">9/11 attacks, the outcomes would have positively changed </w:t>
      </w:r>
      <w:r w:rsidR="00842497">
        <w:t>by integrating</w:t>
      </w:r>
      <w:r w:rsidR="00E96BD7">
        <w:t xml:space="preserve"> a fast and reliable system </w:t>
      </w:r>
      <w:r w:rsidR="00B509B5">
        <w:t xml:space="preserve">for information </w:t>
      </w:r>
      <w:r w:rsidR="008B79C0">
        <w:t>a</w:t>
      </w:r>
      <w:r w:rsidR="003F6A6A">
        <w:t xml:space="preserve">t the primary stage incident. </w:t>
      </w:r>
      <w:r w:rsidR="00D71103">
        <w:t>It would</w:t>
      </w:r>
      <w:r w:rsidR="008B0C94">
        <w:t xml:space="preserve"> </w:t>
      </w:r>
      <w:r w:rsidR="003B288E">
        <w:t xml:space="preserve">be positively impactful to integrate better communication equipment for establishing a response design </w:t>
      </w:r>
      <w:r w:rsidR="00985C8F">
        <w:t xml:space="preserve">through </w:t>
      </w:r>
      <w:r w:rsidR="00F91BA2">
        <w:t>a co</w:t>
      </w:r>
      <w:r w:rsidR="00842497">
        <w:t>llaborative</w:t>
      </w:r>
      <w:r w:rsidR="00F91BA2">
        <w:t xml:space="preserve"> </w:t>
      </w:r>
      <w:r w:rsidR="00AE7725">
        <w:t xml:space="preserve">process </w:t>
      </w:r>
      <w:r w:rsidR="006A5F89">
        <w:t xml:space="preserve">for prioritizing </w:t>
      </w:r>
      <w:r w:rsidR="000804AE">
        <w:t xml:space="preserve">specific areas of evacuation. </w:t>
      </w:r>
    </w:p>
    <w:p w:rsidR="00D730B7" w:rsidRDefault="005255A9" w:rsidP="000408D9">
      <w:pPr>
        <w:spacing w:line="480" w:lineRule="auto"/>
      </w:pPr>
      <w:r>
        <w:tab/>
      </w:r>
      <w:proofErr w:type="spellStart"/>
      <w:r w:rsidR="00455610" w:rsidRPr="00455610">
        <w:t>Moorthy</w:t>
      </w:r>
      <w:proofErr w:type="spellEnd"/>
      <w:r w:rsidR="00B43EC7">
        <w:t xml:space="preserve"> et al. (2018) confirm that communication is an imperative component </w:t>
      </w:r>
      <w:r w:rsidR="0022248B">
        <w:t xml:space="preserve">in responding to disaster since better communication equipment </w:t>
      </w:r>
      <w:r w:rsidR="00D75A6E">
        <w:t xml:space="preserve">help in setting priorities, </w:t>
      </w:r>
      <w:r w:rsidR="00BA5F0C">
        <w:t xml:space="preserve">dispatching and obtaining information </w:t>
      </w:r>
      <w:r w:rsidR="00073F1F">
        <w:t xml:space="preserve">from the relevant persons or agencies to generate </w:t>
      </w:r>
      <w:r w:rsidR="00842497">
        <w:t xml:space="preserve">an </w:t>
      </w:r>
      <w:r w:rsidR="00DC56B6">
        <w:t xml:space="preserve">instantaneous response. </w:t>
      </w:r>
      <w:r w:rsidR="00D02C3C">
        <w:t xml:space="preserve">Therefore, it would be a perfect framework for </w:t>
      </w:r>
      <w:r w:rsidR="00842497">
        <w:t>responding</w:t>
      </w:r>
      <w:r w:rsidR="00D02C3C">
        <w:t xml:space="preserve"> </w:t>
      </w:r>
      <w:r w:rsidR="00842497">
        <w:t>to</w:t>
      </w:r>
      <w:r w:rsidR="00D02C3C">
        <w:t xml:space="preserve"> the 9/11 attack to </w:t>
      </w:r>
      <w:r w:rsidR="00675B87">
        <w:t xml:space="preserve">implement </w:t>
      </w:r>
      <w:r w:rsidR="00F71E26">
        <w:t xml:space="preserve">communication equipment to prioritize </w:t>
      </w:r>
      <w:r w:rsidR="00842497">
        <w:t xml:space="preserve">the </w:t>
      </w:r>
      <w:r w:rsidR="00F71E26">
        <w:t xml:space="preserve">evacuation </w:t>
      </w:r>
      <w:r w:rsidR="00824BE7">
        <w:t xml:space="preserve">process </w:t>
      </w:r>
      <w:r w:rsidR="003F1449">
        <w:t xml:space="preserve">and centralize communication </w:t>
      </w:r>
      <w:r w:rsidR="001F6AC7">
        <w:t xml:space="preserve">to better the outcomes. </w:t>
      </w:r>
      <w:r w:rsidR="00842497">
        <w:t>Indeed</w:t>
      </w:r>
      <w:r w:rsidR="009C5D67">
        <w:t xml:space="preserve">, </w:t>
      </w:r>
      <w:r w:rsidR="003635FA">
        <w:t xml:space="preserve">better communication equipment would have changed the </w:t>
      </w:r>
      <w:bookmarkStart w:id="0" w:name="_GoBack"/>
      <w:bookmarkEnd w:id="0"/>
      <w:r w:rsidR="00842497">
        <w:t>result</w:t>
      </w:r>
      <w:r w:rsidR="003635FA">
        <w:t xml:space="preserve"> of the 9/11 attack by </w:t>
      </w:r>
      <w:r w:rsidR="008F56F3">
        <w:t xml:space="preserve">promoting a seamless flow of information, </w:t>
      </w:r>
      <w:r w:rsidR="008211CE">
        <w:t xml:space="preserve">helping in prioritization of evacuation process, </w:t>
      </w:r>
      <w:r w:rsidR="00DB36C1">
        <w:t>coordinate the response process for teamwork and effective planning the process during the crisis.</w:t>
      </w:r>
    </w:p>
    <w:p w:rsidR="00D730B7" w:rsidRDefault="00551374" w:rsidP="00551374">
      <w:pPr>
        <w:spacing w:line="480" w:lineRule="auto"/>
        <w:jc w:val="center"/>
        <w:rPr>
          <w:b/>
        </w:rPr>
      </w:pPr>
      <w:r>
        <w:rPr>
          <w:b/>
        </w:rPr>
        <w:lastRenderedPageBreak/>
        <w:t>References</w:t>
      </w:r>
    </w:p>
    <w:p w:rsidR="00551374" w:rsidRDefault="00551374" w:rsidP="00551374">
      <w:pPr>
        <w:spacing w:line="480" w:lineRule="auto"/>
        <w:ind w:left="720" w:hanging="720"/>
      </w:pPr>
      <w:proofErr w:type="spellStart"/>
      <w:r w:rsidRPr="001A7962">
        <w:t>Kapur</w:t>
      </w:r>
      <w:proofErr w:type="spellEnd"/>
      <w:r w:rsidRPr="001A7962">
        <w:t xml:space="preserve">, G. B., </w:t>
      </w:r>
      <w:proofErr w:type="spellStart"/>
      <w:r w:rsidRPr="001A7962">
        <w:t>Bezek</w:t>
      </w:r>
      <w:proofErr w:type="spellEnd"/>
      <w:r w:rsidRPr="001A7962">
        <w:t xml:space="preserve">, S., &amp; </w:t>
      </w:r>
      <w:proofErr w:type="spellStart"/>
      <w:r w:rsidRPr="001A7962">
        <w:t>Dyal</w:t>
      </w:r>
      <w:proofErr w:type="spellEnd"/>
      <w:r w:rsidRPr="001A7962">
        <w:t>, J. (Eds.). (2016). </w:t>
      </w:r>
      <w:r w:rsidRPr="001A7962">
        <w:rPr>
          <w:i/>
          <w:iCs/>
        </w:rPr>
        <w:t xml:space="preserve">Effective Communication </w:t>
      </w:r>
      <w:proofErr w:type="gramStart"/>
      <w:r w:rsidRPr="001A7962">
        <w:rPr>
          <w:i/>
          <w:iCs/>
        </w:rPr>
        <w:t>During</w:t>
      </w:r>
      <w:proofErr w:type="gramEnd"/>
      <w:r w:rsidRPr="001A7962">
        <w:rPr>
          <w:i/>
          <w:iCs/>
        </w:rPr>
        <w:t xml:space="preserve"> Disasters: Making Use of Technology, Media, and Human Resources</w:t>
      </w:r>
      <w:r w:rsidRPr="001A7962">
        <w:t>. CRC Press.</w:t>
      </w:r>
    </w:p>
    <w:p w:rsidR="00551374" w:rsidRDefault="00551374" w:rsidP="00551374">
      <w:pPr>
        <w:spacing w:line="480" w:lineRule="auto"/>
        <w:ind w:left="720" w:hanging="720"/>
      </w:pPr>
      <w:r w:rsidRPr="007C22FF">
        <w:t>Fajardo, C. A. B. (2019). Emergency Communications Network for Disaster Management. </w:t>
      </w:r>
      <w:r w:rsidRPr="007C22FF">
        <w:rPr>
          <w:i/>
          <w:iCs/>
        </w:rPr>
        <w:t>Natural Hazards-Risk, Exposure, Response, and Resilience</w:t>
      </w:r>
      <w:r w:rsidRPr="007C22FF">
        <w:t>, 185.</w:t>
      </w:r>
      <w:r>
        <w:t xml:space="preserve"> </w:t>
      </w:r>
      <w:hyperlink r:id="rId6" w:history="1">
        <w:r w:rsidRPr="00EF67B0">
          <w:rPr>
            <w:rStyle w:val="Hyperlink"/>
          </w:rPr>
          <w:t>https://doi.org/10.5772/intechopen.85872</w:t>
        </w:r>
      </w:hyperlink>
    </w:p>
    <w:p w:rsidR="00551374" w:rsidRDefault="00551374" w:rsidP="00551374">
      <w:pPr>
        <w:spacing w:line="480" w:lineRule="auto"/>
        <w:ind w:left="720" w:hanging="720"/>
      </w:pPr>
      <w:proofErr w:type="spellStart"/>
      <w:r w:rsidRPr="00846F75">
        <w:t>Moorthy</w:t>
      </w:r>
      <w:proofErr w:type="spellEnd"/>
      <w:r w:rsidRPr="00846F75">
        <w:t>, R., Benny, G., &amp; Gill, S. S. (2018). Disaster communication in managing vulnerabilities. </w:t>
      </w:r>
      <w:proofErr w:type="spellStart"/>
      <w:r w:rsidRPr="00846F75">
        <w:rPr>
          <w:i/>
          <w:iCs/>
        </w:rPr>
        <w:t>Jurnal</w:t>
      </w:r>
      <w:proofErr w:type="spellEnd"/>
      <w:r w:rsidRPr="00846F75">
        <w:rPr>
          <w:i/>
          <w:iCs/>
        </w:rPr>
        <w:t xml:space="preserve"> </w:t>
      </w:r>
      <w:proofErr w:type="spellStart"/>
      <w:r w:rsidRPr="00846F75">
        <w:rPr>
          <w:i/>
          <w:iCs/>
        </w:rPr>
        <w:t>Komunikasi</w:t>
      </w:r>
      <w:proofErr w:type="spellEnd"/>
      <w:r w:rsidRPr="00846F75">
        <w:rPr>
          <w:i/>
          <w:iCs/>
        </w:rPr>
        <w:t>, Malaysian Journal of Communication</w:t>
      </w:r>
      <w:r w:rsidRPr="00846F75">
        <w:t>, </w:t>
      </w:r>
      <w:r w:rsidRPr="00846F75">
        <w:rPr>
          <w:i/>
          <w:iCs/>
        </w:rPr>
        <w:t>34</w:t>
      </w:r>
      <w:r w:rsidRPr="00846F75">
        <w:t>(2), 51-66. </w:t>
      </w:r>
      <w:hyperlink r:id="rId7" w:history="1">
        <w:r w:rsidRPr="00846F75">
          <w:rPr>
            <w:rStyle w:val="Hyperlink"/>
          </w:rPr>
          <w:t>https://doi.org/10.17576/jkmjc-2018-3402-04</w:t>
        </w:r>
      </w:hyperlink>
    </w:p>
    <w:p w:rsidR="00551374" w:rsidRPr="00551374" w:rsidRDefault="00551374" w:rsidP="00551374">
      <w:pPr>
        <w:spacing w:line="480" w:lineRule="auto"/>
      </w:pPr>
    </w:p>
    <w:sectPr w:rsidR="00551374" w:rsidRPr="00551374" w:rsidSect="000F38FE">
      <w:headerReference w:type="default" r:id="rId8"/>
      <w:pgSz w:w="11906" w:h="16838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15A" w:rsidRDefault="00B3115A" w:rsidP="005C1326">
      <w:pPr>
        <w:spacing w:line="240" w:lineRule="auto"/>
      </w:pPr>
      <w:r>
        <w:separator/>
      </w:r>
    </w:p>
  </w:endnote>
  <w:endnote w:type="continuationSeparator" w:id="0">
    <w:p w:rsidR="00B3115A" w:rsidRDefault="00B3115A" w:rsidP="005C13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15A" w:rsidRDefault="00B3115A" w:rsidP="005C1326">
      <w:pPr>
        <w:spacing w:line="240" w:lineRule="auto"/>
      </w:pPr>
      <w:r>
        <w:separator/>
      </w:r>
    </w:p>
  </w:footnote>
  <w:footnote w:type="continuationSeparator" w:id="0">
    <w:p w:rsidR="00B3115A" w:rsidRDefault="00B3115A" w:rsidP="005C13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0411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5C1326" w:rsidRDefault="005C132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4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1326" w:rsidRDefault="005C13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zAyMjAzNDMxMrRU0lEKTi0uzszPAykwrAUAjq2+iiwAAAA="/>
  </w:docVars>
  <w:rsids>
    <w:rsidRoot w:val="001709C6"/>
    <w:rsid w:val="00015A1D"/>
    <w:rsid w:val="00015AEF"/>
    <w:rsid w:val="000408D9"/>
    <w:rsid w:val="00073F1F"/>
    <w:rsid w:val="000804AE"/>
    <w:rsid w:val="000B67CC"/>
    <w:rsid w:val="000F38FE"/>
    <w:rsid w:val="001062EC"/>
    <w:rsid w:val="00121542"/>
    <w:rsid w:val="00127754"/>
    <w:rsid w:val="001401F1"/>
    <w:rsid w:val="00140D67"/>
    <w:rsid w:val="001709C6"/>
    <w:rsid w:val="00182720"/>
    <w:rsid w:val="001A60B5"/>
    <w:rsid w:val="001B3B0E"/>
    <w:rsid w:val="001F6AC7"/>
    <w:rsid w:val="00200B71"/>
    <w:rsid w:val="00203F5D"/>
    <w:rsid w:val="002056FE"/>
    <w:rsid w:val="0022248B"/>
    <w:rsid w:val="00232CA9"/>
    <w:rsid w:val="002352AB"/>
    <w:rsid w:val="0024076F"/>
    <w:rsid w:val="00277EA5"/>
    <w:rsid w:val="00294CE1"/>
    <w:rsid w:val="002A03EC"/>
    <w:rsid w:val="002E33BB"/>
    <w:rsid w:val="003234A0"/>
    <w:rsid w:val="00334441"/>
    <w:rsid w:val="0035225F"/>
    <w:rsid w:val="003635FA"/>
    <w:rsid w:val="00373319"/>
    <w:rsid w:val="00377B82"/>
    <w:rsid w:val="00393D92"/>
    <w:rsid w:val="003B288E"/>
    <w:rsid w:val="003F1449"/>
    <w:rsid w:val="003F6A6A"/>
    <w:rsid w:val="00432CA5"/>
    <w:rsid w:val="00455610"/>
    <w:rsid w:val="00465BDF"/>
    <w:rsid w:val="00481FAA"/>
    <w:rsid w:val="004972F0"/>
    <w:rsid w:val="004C2021"/>
    <w:rsid w:val="004F3845"/>
    <w:rsid w:val="004F6359"/>
    <w:rsid w:val="005026FA"/>
    <w:rsid w:val="00517C60"/>
    <w:rsid w:val="00520467"/>
    <w:rsid w:val="00523C5F"/>
    <w:rsid w:val="005255A9"/>
    <w:rsid w:val="0053355F"/>
    <w:rsid w:val="00551374"/>
    <w:rsid w:val="00554499"/>
    <w:rsid w:val="005C1326"/>
    <w:rsid w:val="005D74D2"/>
    <w:rsid w:val="00617F73"/>
    <w:rsid w:val="00651D29"/>
    <w:rsid w:val="00657A16"/>
    <w:rsid w:val="00675B87"/>
    <w:rsid w:val="006773F8"/>
    <w:rsid w:val="006878DC"/>
    <w:rsid w:val="006918C5"/>
    <w:rsid w:val="006A5F89"/>
    <w:rsid w:val="006A67B9"/>
    <w:rsid w:val="006C7B60"/>
    <w:rsid w:val="006D7707"/>
    <w:rsid w:val="00713067"/>
    <w:rsid w:val="007425DC"/>
    <w:rsid w:val="0076095A"/>
    <w:rsid w:val="00764306"/>
    <w:rsid w:val="00766BF5"/>
    <w:rsid w:val="007A390A"/>
    <w:rsid w:val="007D26F5"/>
    <w:rsid w:val="007D41CA"/>
    <w:rsid w:val="007E7F31"/>
    <w:rsid w:val="008211CE"/>
    <w:rsid w:val="00824BE7"/>
    <w:rsid w:val="008422A3"/>
    <w:rsid w:val="00842497"/>
    <w:rsid w:val="00857BC4"/>
    <w:rsid w:val="00867F19"/>
    <w:rsid w:val="008A5D46"/>
    <w:rsid w:val="008B0C94"/>
    <w:rsid w:val="008B79C0"/>
    <w:rsid w:val="008E1A5F"/>
    <w:rsid w:val="008F183E"/>
    <w:rsid w:val="008F56F3"/>
    <w:rsid w:val="00985C8F"/>
    <w:rsid w:val="00997F06"/>
    <w:rsid w:val="009C5D67"/>
    <w:rsid w:val="009D12E7"/>
    <w:rsid w:val="00A22BFD"/>
    <w:rsid w:val="00A62105"/>
    <w:rsid w:val="00AC0A8B"/>
    <w:rsid w:val="00AC78C6"/>
    <w:rsid w:val="00AE7725"/>
    <w:rsid w:val="00B1226D"/>
    <w:rsid w:val="00B3115A"/>
    <w:rsid w:val="00B43EC7"/>
    <w:rsid w:val="00B509B5"/>
    <w:rsid w:val="00B9161F"/>
    <w:rsid w:val="00BA0A6E"/>
    <w:rsid w:val="00BA5F0C"/>
    <w:rsid w:val="00BA73AB"/>
    <w:rsid w:val="00BA7871"/>
    <w:rsid w:val="00BB6AAE"/>
    <w:rsid w:val="00BD0B8B"/>
    <w:rsid w:val="00BD329E"/>
    <w:rsid w:val="00BE65B0"/>
    <w:rsid w:val="00BF049B"/>
    <w:rsid w:val="00C16B7B"/>
    <w:rsid w:val="00C352D0"/>
    <w:rsid w:val="00C51BE6"/>
    <w:rsid w:val="00CF01B7"/>
    <w:rsid w:val="00CF41C9"/>
    <w:rsid w:val="00D02C3C"/>
    <w:rsid w:val="00D07C42"/>
    <w:rsid w:val="00D240C4"/>
    <w:rsid w:val="00D65D51"/>
    <w:rsid w:val="00D71103"/>
    <w:rsid w:val="00D730B7"/>
    <w:rsid w:val="00D75A6E"/>
    <w:rsid w:val="00D95320"/>
    <w:rsid w:val="00DB36C1"/>
    <w:rsid w:val="00DC56B6"/>
    <w:rsid w:val="00DF64D9"/>
    <w:rsid w:val="00E368C7"/>
    <w:rsid w:val="00E622B0"/>
    <w:rsid w:val="00E832A1"/>
    <w:rsid w:val="00E844F2"/>
    <w:rsid w:val="00E96BD7"/>
    <w:rsid w:val="00ED20E6"/>
    <w:rsid w:val="00EE2604"/>
    <w:rsid w:val="00F1300B"/>
    <w:rsid w:val="00F377A9"/>
    <w:rsid w:val="00F71E26"/>
    <w:rsid w:val="00F842D5"/>
    <w:rsid w:val="00F91BA2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628B63-46A1-406B-A826-73EA9881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BC4"/>
    <w:pPr>
      <w:spacing w:after="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137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13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326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13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326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7576/jkmjc-2018-3402-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5772/intechopen.8587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146</cp:revision>
  <dcterms:created xsi:type="dcterms:W3CDTF">2021-05-07T11:22:00Z</dcterms:created>
  <dcterms:modified xsi:type="dcterms:W3CDTF">2021-05-07T12:57:00Z</dcterms:modified>
</cp:coreProperties>
</file>