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25363875"/>
        <w:docPartObj>
          <w:docPartGallery w:val="Table of Contents"/>
          <w:docPartUnique/>
        </w:docPartObj>
      </w:sdtPr>
      <w:sdtEndPr>
        <w:rPr>
          <w:rFonts w:asciiTheme="minorHAnsi" w:eastAsiaTheme="minorHAnsi" w:hAnsiTheme="minorHAnsi" w:cstheme="minorBidi"/>
          <w:noProof/>
          <w:color w:val="auto"/>
          <w:sz w:val="22"/>
          <w:szCs w:val="22"/>
          <w:lang w:val="en-GB" w:eastAsia="en-US"/>
        </w:rPr>
      </w:sdtEndPr>
      <w:sdtContent>
        <w:p w14:paraId="3373ACB3" w14:textId="44884F53" w:rsidR="00AE7DA4" w:rsidRDefault="00AE7DA4">
          <w:pPr>
            <w:pStyle w:val="TOCHeading"/>
          </w:pPr>
          <w:r>
            <w:t>Contents</w:t>
          </w:r>
        </w:p>
        <w:p w14:paraId="1B048219" w14:textId="77777777" w:rsidR="00FE5EDE" w:rsidRDefault="00AE7DA4">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100628536" w:history="1">
            <w:r w:rsidR="00FE5EDE" w:rsidRPr="00DE7EE7">
              <w:rPr>
                <w:rStyle w:val="Hyperlink"/>
                <w:rFonts w:ascii="Times New Roman" w:hAnsi="Times New Roman" w:cs="Times New Roman"/>
                <w:noProof/>
              </w:rPr>
              <w:t>2.0 Introduction</w:t>
            </w:r>
            <w:r w:rsidR="00FE5EDE">
              <w:rPr>
                <w:noProof/>
                <w:webHidden/>
              </w:rPr>
              <w:tab/>
            </w:r>
            <w:r w:rsidR="00FE5EDE">
              <w:rPr>
                <w:noProof/>
                <w:webHidden/>
              </w:rPr>
              <w:fldChar w:fldCharType="begin"/>
            </w:r>
            <w:r w:rsidR="00FE5EDE">
              <w:rPr>
                <w:noProof/>
                <w:webHidden/>
              </w:rPr>
              <w:instrText xml:space="preserve"> PAGEREF _Toc100628536 \h </w:instrText>
            </w:r>
            <w:r w:rsidR="00FE5EDE">
              <w:rPr>
                <w:noProof/>
                <w:webHidden/>
              </w:rPr>
            </w:r>
            <w:r w:rsidR="00FE5EDE">
              <w:rPr>
                <w:noProof/>
                <w:webHidden/>
              </w:rPr>
              <w:fldChar w:fldCharType="separate"/>
            </w:r>
            <w:r w:rsidR="00FE5EDE">
              <w:rPr>
                <w:noProof/>
                <w:webHidden/>
              </w:rPr>
              <w:t>2</w:t>
            </w:r>
            <w:r w:rsidR="00FE5EDE">
              <w:rPr>
                <w:noProof/>
                <w:webHidden/>
              </w:rPr>
              <w:fldChar w:fldCharType="end"/>
            </w:r>
          </w:hyperlink>
        </w:p>
        <w:p w14:paraId="16FFAF55" w14:textId="77777777" w:rsidR="00FE5EDE" w:rsidRDefault="00FE5EDE">
          <w:pPr>
            <w:pStyle w:val="TOC1"/>
            <w:tabs>
              <w:tab w:val="right" w:leader="dot" w:pos="9016"/>
            </w:tabs>
            <w:rPr>
              <w:rFonts w:eastAsiaTheme="minorEastAsia"/>
              <w:noProof/>
              <w:lang w:eastAsia="en-GB"/>
            </w:rPr>
          </w:pPr>
          <w:hyperlink w:anchor="_Toc100628537" w:history="1">
            <w:r w:rsidRPr="00DE7EE7">
              <w:rPr>
                <w:rStyle w:val="Hyperlink"/>
                <w:rFonts w:ascii="Times New Roman" w:hAnsi="Times New Roman" w:cs="Times New Roman"/>
                <w:noProof/>
              </w:rPr>
              <w:t>3.0 Section One: Long-term Sources of Finance</w:t>
            </w:r>
            <w:r>
              <w:rPr>
                <w:noProof/>
                <w:webHidden/>
              </w:rPr>
              <w:tab/>
            </w:r>
            <w:r>
              <w:rPr>
                <w:noProof/>
                <w:webHidden/>
              </w:rPr>
              <w:fldChar w:fldCharType="begin"/>
            </w:r>
            <w:r>
              <w:rPr>
                <w:noProof/>
                <w:webHidden/>
              </w:rPr>
              <w:instrText xml:space="preserve"> PAGEREF _Toc100628537 \h </w:instrText>
            </w:r>
            <w:r>
              <w:rPr>
                <w:noProof/>
                <w:webHidden/>
              </w:rPr>
            </w:r>
            <w:r>
              <w:rPr>
                <w:noProof/>
                <w:webHidden/>
              </w:rPr>
              <w:fldChar w:fldCharType="separate"/>
            </w:r>
            <w:r>
              <w:rPr>
                <w:noProof/>
                <w:webHidden/>
              </w:rPr>
              <w:t>3</w:t>
            </w:r>
            <w:r>
              <w:rPr>
                <w:noProof/>
                <w:webHidden/>
              </w:rPr>
              <w:fldChar w:fldCharType="end"/>
            </w:r>
          </w:hyperlink>
        </w:p>
        <w:p w14:paraId="69F616D5" w14:textId="77777777" w:rsidR="00FE5EDE" w:rsidRDefault="00FE5EDE">
          <w:pPr>
            <w:pStyle w:val="TOC2"/>
            <w:tabs>
              <w:tab w:val="right" w:leader="dot" w:pos="9016"/>
            </w:tabs>
            <w:rPr>
              <w:rFonts w:eastAsiaTheme="minorEastAsia"/>
              <w:noProof/>
              <w:lang w:eastAsia="en-GB"/>
            </w:rPr>
          </w:pPr>
          <w:hyperlink w:anchor="_Toc100628538" w:history="1">
            <w:r w:rsidRPr="00DE7EE7">
              <w:rPr>
                <w:rStyle w:val="Hyperlink"/>
                <w:rFonts w:ascii="Times New Roman" w:hAnsi="Times New Roman" w:cs="Times New Roman"/>
                <w:noProof/>
              </w:rPr>
              <w:t>3.11 Risk and returns</w:t>
            </w:r>
            <w:r>
              <w:rPr>
                <w:noProof/>
                <w:webHidden/>
              </w:rPr>
              <w:tab/>
            </w:r>
            <w:r>
              <w:rPr>
                <w:noProof/>
                <w:webHidden/>
              </w:rPr>
              <w:fldChar w:fldCharType="begin"/>
            </w:r>
            <w:r>
              <w:rPr>
                <w:noProof/>
                <w:webHidden/>
              </w:rPr>
              <w:instrText xml:space="preserve"> PAGEREF _Toc100628538 \h </w:instrText>
            </w:r>
            <w:r>
              <w:rPr>
                <w:noProof/>
                <w:webHidden/>
              </w:rPr>
            </w:r>
            <w:r>
              <w:rPr>
                <w:noProof/>
                <w:webHidden/>
              </w:rPr>
              <w:fldChar w:fldCharType="separate"/>
            </w:r>
            <w:r>
              <w:rPr>
                <w:noProof/>
                <w:webHidden/>
              </w:rPr>
              <w:t>3</w:t>
            </w:r>
            <w:r>
              <w:rPr>
                <w:noProof/>
                <w:webHidden/>
              </w:rPr>
              <w:fldChar w:fldCharType="end"/>
            </w:r>
          </w:hyperlink>
        </w:p>
        <w:p w14:paraId="20D6EA1C" w14:textId="77777777" w:rsidR="00FE5EDE" w:rsidRDefault="00FE5EDE">
          <w:pPr>
            <w:pStyle w:val="TOC2"/>
            <w:tabs>
              <w:tab w:val="right" w:leader="dot" w:pos="9016"/>
            </w:tabs>
            <w:rPr>
              <w:rFonts w:eastAsiaTheme="minorEastAsia"/>
              <w:noProof/>
              <w:lang w:eastAsia="en-GB"/>
            </w:rPr>
          </w:pPr>
          <w:hyperlink w:anchor="_Toc100628539" w:history="1">
            <w:r w:rsidRPr="00DE7EE7">
              <w:rPr>
                <w:rStyle w:val="Hyperlink"/>
                <w:rFonts w:ascii="Times New Roman" w:hAnsi="Times New Roman" w:cs="Times New Roman"/>
                <w:noProof/>
              </w:rPr>
              <w:t>3.12  Pecking Order Theory</w:t>
            </w:r>
            <w:r>
              <w:rPr>
                <w:noProof/>
                <w:webHidden/>
              </w:rPr>
              <w:tab/>
            </w:r>
            <w:r>
              <w:rPr>
                <w:noProof/>
                <w:webHidden/>
              </w:rPr>
              <w:fldChar w:fldCharType="begin"/>
            </w:r>
            <w:r>
              <w:rPr>
                <w:noProof/>
                <w:webHidden/>
              </w:rPr>
              <w:instrText xml:space="preserve"> PAGEREF _Toc100628539 \h </w:instrText>
            </w:r>
            <w:r>
              <w:rPr>
                <w:noProof/>
                <w:webHidden/>
              </w:rPr>
            </w:r>
            <w:r>
              <w:rPr>
                <w:noProof/>
                <w:webHidden/>
              </w:rPr>
              <w:fldChar w:fldCharType="separate"/>
            </w:r>
            <w:r>
              <w:rPr>
                <w:noProof/>
                <w:webHidden/>
              </w:rPr>
              <w:t>5</w:t>
            </w:r>
            <w:r>
              <w:rPr>
                <w:noProof/>
                <w:webHidden/>
              </w:rPr>
              <w:fldChar w:fldCharType="end"/>
            </w:r>
          </w:hyperlink>
        </w:p>
        <w:p w14:paraId="6FDFE9E5" w14:textId="77777777" w:rsidR="00FE5EDE" w:rsidRDefault="00FE5EDE">
          <w:pPr>
            <w:pStyle w:val="TOC2"/>
            <w:tabs>
              <w:tab w:val="right" w:leader="dot" w:pos="9016"/>
            </w:tabs>
            <w:rPr>
              <w:rFonts w:eastAsiaTheme="minorEastAsia"/>
              <w:noProof/>
              <w:lang w:eastAsia="en-GB"/>
            </w:rPr>
          </w:pPr>
          <w:hyperlink w:anchor="_Toc100628540" w:history="1">
            <w:r w:rsidRPr="00DE7EE7">
              <w:rPr>
                <w:rStyle w:val="Hyperlink"/>
                <w:rFonts w:ascii="Times New Roman" w:hAnsi="Times New Roman" w:cs="Times New Roman"/>
                <w:noProof/>
              </w:rPr>
              <w:t>3.13 Static Trade-off Theory</w:t>
            </w:r>
            <w:r>
              <w:rPr>
                <w:noProof/>
                <w:webHidden/>
              </w:rPr>
              <w:tab/>
            </w:r>
            <w:r>
              <w:rPr>
                <w:noProof/>
                <w:webHidden/>
              </w:rPr>
              <w:fldChar w:fldCharType="begin"/>
            </w:r>
            <w:r>
              <w:rPr>
                <w:noProof/>
                <w:webHidden/>
              </w:rPr>
              <w:instrText xml:space="preserve"> PAGEREF _Toc100628540 \h </w:instrText>
            </w:r>
            <w:r>
              <w:rPr>
                <w:noProof/>
                <w:webHidden/>
              </w:rPr>
            </w:r>
            <w:r>
              <w:rPr>
                <w:noProof/>
                <w:webHidden/>
              </w:rPr>
              <w:fldChar w:fldCharType="separate"/>
            </w:r>
            <w:r>
              <w:rPr>
                <w:noProof/>
                <w:webHidden/>
              </w:rPr>
              <w:t>5</w:t>
            </w:r>
            <w:r>
              <w:rPr>
                <w:noProof/>
                <w:webHidden/>
              </w:rPr>
              <w:fldChar w:fldCharType="end"/>
            </w:r>
          </w:hyperlink>
        </w:p>
        <w:p w14:paraId="7C1CD918" w14:textId="77777777" w:rsidR="00FE5EDE" w:rsidRDefault="00FE5EDE">
          <w:pPr>
            <w:pStyle w:val="TOC2"/>
            <w:tabs>
              <w:tab w:val="right" w:leader="dot" w:pos="9016"/>
            </w:tabs>
            <w:rPr>
              <w:rFonts w:eastAsiaTheme="minorEastAsia"/>
              <w:noProof/>
              <w:lang w:eastAsia="en-GB"/>
            </w:rPr>
          </w:pPr>
          <w:hyperlink w:anchor="_Toc100628541" w:history="1">
            <w:r w:rsidRPr="00DE7EE7">
              <w:rPr>
                <w:rStyle w:val="Hyperlink"/>
                <w:rFonts w:ascii="Times New Roman" w:hAnsi="Times New Roman" w:cs="Times New Roman"/>
                <w:noProof/>
              </w:rPr>
              <w:t>3.14  Sources of Finance used by Arsenal Holdings Plc</w:t>
            </w:r>
            <w:r>
              <w:rPr>
                <w:noProof/>
                <w:webHidden/>
              </w:rPr>
              <w:tab/>
            </w:r>
            <w:r>
              <w:rPr>
                <w:noProof/>
                <w:webHidden/>
              </w:rPr>
              <w:fldChar w:fldCharType="begin"/>
            </w:r>
            <w:r>
              <w:rPr>
                <w:noProof/>
                <w:webHidden/>
              </w:rPr>
              <w:instrText xml:space="preserve"> PAGEREF _Toc100628541 \h </w:instrText>
            </w:r>
            <w:r>
              <w:rPr>
                <w:noProof/>
                <w:webHidden/>
              </w:rPr>
            </w:r>
            <w:r>
              <w:rPr>
                <w:noProof/>
                <w:webHidden/>
              </w:rPr>
              <w:fldChar w:fldCharType="separate"/>
            </w:r>
            <w:r>
              <w:rPr>
                <w:noProof/>
                <w:webHidden/>
              </w:rPr>
              <w:t>6</w:t>
            </w:r>
            <w:r>
              <w:rPr>
                <w:noProof/>
                <w:webHidden/>
              </w:rPr>
              <w:fldChar w:fldCharType="end"/>
            </w:r>
          </w:hyperlink>
        </w:p>
        <w:p w14:paraId="79C164ED" w14:textId="77777777" w:rsidR="00FE5EDE" w:rsidRDefault="00FE5EDE">
          <w:pPr>
            <w:pStyle w:val="TOC1"/>
            <w:tabs>
              <w:tab w:val="right" w:leader="dot" w:pos="9016"/>
            </w:tabs>
            <w:rPr>
              <w:rFonts w:eastAsiaTheme="minorEastAsia"/>
              <w:noProof/>
              <w:lang w:eastAsia="en-GB"/>
            </w:rPr>
          </w:pPr>
          <w:hyperlink w:anchor="_Toc100628542" w:history="1">
            <w:r w:rsidRPr="00DE7EE7">
              <w:rPr>
                <w:rStyle w:val="Hyperlink"/>
                <w:rFonts w:ascii="Times New Roman" w:hAnsi="Times New Roman" w:cs="Times New Roman"/>
                <w:noProof/>
              </w:rPr>
              <w:t>4.0 Section two: Working Capital Management</w:t>
            </w:r>
            <w:r>
              <w:rPr>
                <w:noProof/>
                <w:webHidden/>
              </w:rPr>
              <w:tab/>
            </w:r>
            <w:r>
              <w:rPr>
                <w:noProof/>
                <w:webHidden/>
              </w:rPr>
              <w:fldChar w:fldCharType="begin"/>
            </w:r>
            <w:r>
              <w:rPr>
                <w:noProof/>
                <w:webHidden/>
              </w:rPr>
              <w:instrText xml:space="preserve"> PAGEREF _Toc100628542 \h </w:instrText>
            </w:r>
            <w:r>
              <w:rPr>
                <w:noProof/>
                <w:webHidden/>
              </w:rPr>
            </w:r>
            <w:r>
              <w:rPr>
                <w:noProof/>
                <w:webHidden/>
              </w:rPr>
              <w:fldChar w:fldCharType="separate"/>
            </w:r>
            <w:r>
              <w:rPr>
                <w:noProof/>
                <w:webHidden/>
              </w:rPr>
              <w:t>6</w:t>
            </w:r>
            <w:r>
              <w:rPr>
                <w:noProof/>
                <w:webHidden/>
              </w:rPr>
              <w:fldChar w:fldCharType="end"/>
            </w:r>
          </w:hyperlink>
        </w:p>
        <w:p w14:paraId="0B49D801" w14:textId="77777777" w:rsidR="00FE5EDE" w:rsidRDefault="00FE5EDE">
          <w:pPr>
            <w:pStyle w:val="TOC2"/>
            <w:tabs>
              <w:tab w:val="right" w:leader="dot" w:pos="9016"/>
            </w:tabs>
            <w:rPr>
              <w:rFonts w:eastAsiaTheme="minorEastAsia"/>
              <w:noProof/>
              <w:lang w:eastAsia="en-GB"/>
            </w:rPr>
          </w:pPr>
          <w:hyperlink w:anchor="_Toc100628543" w:history="1">
            <w:r w:rsidRPr="00DE7EE7">
              <w:rPr>
                <w:rStyle w:val="Hyperlink"/>
                <w:rFonts w:ascii="Times New Roman" w:hAnsi="Times New Roman" w:cs="Times New Roman"/>
                <w:noProof/>
              </w:rPr>
              <w:t>4.10 Aggressive and conservative theories</w:t>
            </w:r>
            <w:r>
              <w:rPr>
                <w:noProof/>
                <w:webHidden/>
              </w:rPr>
              <w:tab/>
            </w:r>
            <w:r>
              <w:rPr>
                <w:noProof/>
                <w:webHidden/>
              </w:rPr>
              <w:fldChar w:fldCharType="begin"/>
            </w:r>
            <w:r>
              <w:rPr>
                <w:noProof/>
                <w:webHidden/>
              </w:rPr>
              <w:instrText xml:space="preserve"> PAGEREF _Toc100628543 \h </w:instrText>
            </w:r>
            <w:r>
              <w:rPr>
                <w:noProof/>
                <w:webHidden/>
              </w:rPr>
            </w:r>
            <w:r>
              <w:rPr>
                <w:noProof/>
                <w:webHidden/>
              </w:rPr>
              <w:fldChar w:fldCharType="separate"/>
            </w:r>
            <w:r>
              <w:rPr>
                <w:noProof/>
                <w:webHidden/>
              </w:rPr>
              <w:t>6</w:t>
            </w:r>
            <w:r>
              <w:rPr>
                <w:noProof/>
                <w:webHidden/>
              </w:rPr>
              <w:fldChar w:fldCharType="end"/>
            </w:r>
          </w:hyperlink>
        </w:p>
        <w:p w14:paraId="2AF0543D" w14:textId="77777777" w:rsidR="00FE5EDE" w:rsidRDefault="00FE5EDE">
          <w:pPr>
            <w:pStyle w:val="TOC2"/>
            <w:tabs>
              <w:tab w:val="right" w:leader="dot" w:pos="9016"/>
            </w:tabs>
            <w:rPr>
              <w:rFonts w:eastAsiaTheme="minorEastAsia"/>
              <w:noProof/>
              <w:lang w:eastAsia="en-GB"/>
            </w:rPr>
          </w:pPr>
          <w:hyperlink w:anchor="_Toc100628544" w:history="1">
            <w:r w:rsidRPr="00DE7EE7">
              <w:rPr>
                <w:rStyle w:val="Hyperlink"/>
                <w:rFonts w:ascii="Times New Roman" w:hAnsi="Times New Roman" w:cs="Times New Roman"/>
                <w:noProof/>
              </w:rPr>
              <w:t>4.11 Aggressive Working Capital theory</w:t>
            </w:r>
            <w:r>
              <w:rPr>
                <w:noProof/>
                <w:webHidden/>
              </w:rPr>
              <w:tab/>
            </w:r>
            <w:r>
              <w:rPr>
                <w:noProof/>
                <w:webHidden/>
              </w:rPr>
              <w:fldChar w:fldCharType="begin"/>
            </w:r>
            <w:r>
              <w:rPr>
                <w:noProof/>
                <w:webHidden/>
              </w:rPr>
              <w:instrText xml:space="preserve"> PAGEREF _Toc100628544 \h </w:instrText>
            </w:r>
            <w:r>
              <w:rPr>
                <w:noProof/>
                <w:webHidden/>
              </w:rPr>
            </w:r>
            <w:r>
              <w:rPr>
                <w:noProof/>
                <w:webHidden/>
              </w:rPr>
              <w:fldChar w:fldCharType="separate"/>
            </w:r>
            <w:r>
              <w:rPr>
                <w:noProof/>
                <w:webHidden/>
              </w:rPr>
              <w:t>6</w:t>
            </w:r>
            <w:r>
              <w:rPr>
                <w:noProof/>
                <w:webHidden/>
              </w:rPr>
              <w:fldChar w:fldCharType="end"/>
            </w:r>
          </w:hyperlink>
        </w:p>
        <w:p w14:paraId="60DC72A3" w14:textId="77777777" w:rsidR="00FE5EDE" w:rsidRDefault="00FE5EDE">
          <w:pPr>
            <w:pStyle w:val="TOC2"/>
            <w:tabs>
              <w:tab w:val="right" w:leader="dot" w:pos="9016"/>
            </w:tabs>
            <w:rPr>
              <w:rFonts w:eastAsiaTheme="minorEastAsia"/>
              <w:noProof/>
              <w:lang w:eastAsia="en-GB"/>
            </w:rPr>
          </w:pPr>
          <w:hyperlink w:anchor="_Toc100628545" w:history="1">
            <w:r w:rsidRPr="00DE7EE7">
              <w:rPr>
                <w:rStyle w:val="Hyperlink"/>
                <w:rFonts w:ascii="Times New Roman" w:hAnsi="Times New Roman" w:cs="Times New Roman"/>
                <w:noProof/>
              </w:rPr>
              <w:t>4.12 Conservative Working Capital theory</w:t>
            </w:r>
            <w:r>
              <w:rPr>
                <w:noProof/>
                <w:webHidden/>
              </w:rPr>
              <w:tab/>
            </w:r>
            <w:r>
              <w:rPr>
                <w:noProof/>
                <w:webHidden/>
              </w:rPr>
              <w:fldChar w:fldCharType="begin"/>
            </w:r>
            <w:r>
              <w:rPr>
                <w:noProof/>
                <w:webHidden/>
              </w:rPr>
              <w:instrText xml:space="preserve"> PAGEREF _Toc100628545 \h </w:instrText>
            </w:r>
            <w:r>
              <w:rPr>
                <w:noProof/>
                <w:webHidden/>
              </w:rPr>
            </w:r>
            <w:r>
              <w:rPr>
                <w:noProof/>
                <w:webHidden/>
              </w:rPr>
              <w:fldChar w:fldCharType="separate"/>
            </w:r>
            <w:r>
              <w:rPr>
                <w:noProof/>
                <w:webHidden/>
              </w:rPr>
              <w:t>7</w:t>
            </w:r>
            <w:r>
              <w:rPr>
                <w:noProof/>
                <w:webHidden/>
              </w:rPr>
              <w:fldChar w:fldCharType="end"/>
            </w:r>
          </w:hyperlink>
        </w:p>
        <w:p w14:paraId="0426C630" w14:textId="77777777" w:rsidR="00FE5EDE" w:rsidRDefault="00FE5EDE">
          <w:pPr>
            <w:pStyle w:val="TOC1"/>
            <w:tabs>
              <w:tab w:val="right" w:leader="dot" w:pos="9016"/>
            </w:tabs>
            <w:rPr>
              <w:rFonts w:eastAsiaTheme="minorEastAsia"/>
              <w:noProof/>
              <w:lang w:eastAsia="en-GB"/>
            </w:rPr>
          </w:pPr>
          <w:hyperlink w:anchor="_Toc100628546" w:history="1">
            <w:r w:rsidRPr="00DE7EE7">
              <w:rPr>
                <w:rStyle w:val="Hyperlink"/>
                <w:rFonts w:ascii="Times New Roman" w:hAnsi="Times New Roman" w:cs="Times New Roman"/>
                <w:noProof/>
              </w:rPr>
              <w:t>5.0 Section Three: Dividend policy</w:t>
            </w:r>
            <w:r>
              <w:rPr>
                <w:noProof/>
                <w:webHidden/>
              </w:rPr>
              <w:tab/>
            </w:r>
            <w:r>
              <w:rPr>
                <w:noProof/>
                <w:webHidden/>
              </w:rPr>
              <w:fldChar w:fldCharType="begin"/>
            </w:r>
            <w:r>
              <w:rPr>
                <w:noProof/>
                <w:webHidden/>
              </w:rPr>
              <w:instrText xml:space="preserve"> PAGEREF _Toc100628546 \h </w:instrText>
            </w:r>
            <w:r>
              <w:rPr>
                <w:noProof/>
                <w:webHidden/>
              </w:rPr>
            </w:r>
            <w:r>
              <w:rPr>
                <w:noProof/>
                <w:webHidden/>
              </w:rPr>
              <w:fldChar w:fldCharType="separate"/>
            </w:r>
            <w:r>
              <w:rPr>
                <w:noProof/>
                <w:webHidden/>
              </w:rPr>
              <w:t>7</w:t>
            </w:r>
            <w:r>
              <w:rPr>
                <w:noProof/>
                <w:webHidden/>
              </w:rPr>
              <w:fldChar w:fldCharType="end"/>
            </w:r>
          </w:hyperlink>
        </w:p>
        <w:p w14:paraId="01EF8C0A" w14:textId="10C87D52" w:rsidR="00FE5EDE" w:rsidRDefault="00FE5EDE" w:rsidP="009E73EB">
          <w:pPr>
            <w:pStyle w:val="TOC2"/>
            <w:tabs>
              <w:tab w:val="right" w:leader="dot" w:pos="9016"/>
            </w:tabs>
            <w:rPr>
              <w:rFonts w:eastAsiaTheme="minorEastAsia"/>
              <w:noProof/>
              <w:lang w:eastAsia="en-GB"/>
            </w:rPr>
          </w:pPr>
          <w:hyperlink w:anchor="_Toc100628547" w:history="1">
            <w:r w:rsidRPr="00DE7EE7">
              <w:rPr>
                <w:rStyle w:val="Hyperlink"/>
                <w:rFonts w:ascii="Times New Roman" w:hAnsi="Times New Roman" w:cs="Times New Roman"/>
                <w:noProof/>
              </w:rPr>
              <w:t>5.10 Dividend Irrelevance Theory</w:t>
            </w:r>
            <w:r>
              <w:rPr>
                <w:noProof/>
                <w:webHidden/>
              </w:rPr>
              <w:tab/>
            </w:r>
            <w:r>
              <w:rPr>
                <w:noProof/>
                <w:webHidden/>
              </w:rPr>
              <w:fldChar w:fldCharType="begin"/>
            </w:r>
            <w:r>
              <w:rPr>
                <w:noProof/>
                <w:webHidden/>
              </w:rPr>
              <w:instrText xml:space="preserve"> PAGEREF _Toc100628547 \h </w:instrText>
            </w:r>
            <w:r>
              <w:rPr>
                <w:noProof/>
                <w:webHidden/>
              </w:rPr>
            </w:r>
            <w:r>
              <w:rPr>
                <w:noProof/>
                <w:webHidden/>
              </w:rPr>
              <w:fldChar w:fldCharType="separate"/>
            </w:r>
            <w:r>
              <w:rPr>
                <w:noProof/>
                <w:webHidden/>
              </w:rPr>
              <w:t>7</w:t>
            </w:r>
            <w:r>
              <w:rPr>
                <w:noProof/>
                <w:webHidden/>
              </w:rPr>
              <w:fldChar w:fldCharType="end"/>
            </w:r>
          </w:hyperlink>
        </w:p>
        <w:p w14:paraId="5DDBFA0D" w14:textId="77777777" w:rsidR="00FE5EDE" w:rsidRDefault="00FE5EDE">
          <w:pPr>
            <w:pStyle w:val="TOC2"/>
            <w:tabs>
              <w:tab w:val="right" w:leader="dot" w:pos="9016"/>
            </w:tabs>
            <w:rPr>
              <w:rFonts w:eastAsiaTheme="minorEastAsia"/>
              <w:noProof/>
              <w:lang w:eastAsia="en-GB"/>
            </w:rPr>
          </w:pPr>
          <w:hyperlink w:anchor="_Toc100628549" w:history="1">
            <w:r w:rsidRPr="00DE7EE7">
              <w:rPr>
                <w:rStyle w:val="Hyperlink"/>
                <w:rFonts w:ascii="Times New Roman" w:hAnsi="Times New Roman" w:cs="Times New Roman"/>
                <w:noProof/>
              </w:rPr>
              <w:t>5.11 Dividend Clientele Theory</w:t>
            </w:r>
            <w:r>
              <w:rPr>
                <w:noProof/>
                <w:webHidden/>
              </w:rPr>
              <w:tab/>
            </w:r>
            <w:r>
              <w:rPr>
                <w:noProof/>
                <w:webHidden/>
              </w:rPr>
              <w:fldChar w:fldCharType="begin"/>
            </w:r>
            <w:r>
              <w:rPr>
                <w:noProof/>
                <w:webHidden/>
              </w:rPr>
              <w:instrText xml:space="preserve"> PAGEREF _Toc100628549 \h </w:instrText>
            </w:r>
            <w:r>
              <w:rPr>
                <w:noProof/>
                <w:webHidden/>
              </w:rPr>
            </w:r>
            <w:r>
              <w:rPr>
                <w:noProof/>
                <w:webHidden/>
              </w:rPr>
              <w:fldChar w:fldCharType="separate"/>
            </w:r>
            <w:r>
              <w:rPr>
                <w:noProof/>
                <w:webHidden/>
              </w:rPr>
              <w:t>8</w:t>
            </w:r>
            <w:r>
              <w:rPr>
                <w:noProof/>
                <w:webHidden/>
              </w:rPr>
              <w:fldChar w:fldCharType="end"/>
            </w:r>
          </w:hyperlink>
        </w:p>
        <w:p w14:paraId="5B14BB2F" w14:textId="77777777" w:rsidR="00FE5EDE" w:rsidRDefault="00FE5EDE">
          <w:pPr>
            <w:pStyle w:val="TOC2"/>
            <w:tabs>
              <w:tab w:val="right" w:leader="dot" w:pos="9016"/>
            </w:tabs>
            <w:rPr>
              <w:rFonts w:eastAsiaTheme="minorEastAsia"/>
              <w:noProof/>
              <w:lang w:eastAsia="en-GB"/>
            </w:rPr>
          </w:pPr>
          <w:hyperlink w:anchor="_Toc100628550" w:history="1">
            <w:r w:rsidRPr="00DE7EE7">
              <w:rPr>
                <w:rStyle w:val="Hyperlink"/>
                <w:rFonts w:ascii="Times New Roman" w:hAnsi="Times New Roman" w:cs="Times New Roman"/>
                <w:noProof/>
              </w:rPr>
              <w:t>4.12 Bird in Hand Theory</w:t>
            </w:r>
            <w:r>
              <w:rPr>
                <w:noProof/>
                <w:webHidden/>
              </w:rPr>
              <w:tab/>
            </w:r>
            <w:r>
              <w:rPr>
                <w:noProof/>
                <w:webHidden/>
              </w:rPr>
              <w:fldChar w:fldCharType="begin"/>
            </w:r>
            <w:r>
              <w:rPr>
                <w:noProof/>
                <w:webHidden/>
              </w:rPr>
              <w:instrText xml:space="preserve"> PAGEREF _Toc100628550 \h </w:instrText>
            </w:r>
            <w:r>
              <w:rPr>
                <w:noProof/>
                <w:webHidden/>
              </w:rPr>
            </w:r>
            <w:r>
              <w:rPr>
                <w:noProof/>
                <w:webHidden/>
              </w:rPr>
              <w:fldChar w:fldCharType="separate"/>
            </w:r>
            <w:r>
              <w:rPr>
                <w:noProof/>
                <w:webHidden/>
              </w:rPr>
              <w:t>8</w:t>
            </w:r>
            <w:r>
              <w:rPr>
                <w:noProof/>
                <w:webHidden/>
              </w:rPr>
              <w:fldChar w:fldCharType="end"/>
            </w:r>
          </w:hyperlink>
        </w:p>
        <w:p w14:paraId="455DF196" w14:textId="77777777" w:rsidR="00FE5EDE" w:rsidRDefault="00FE5EDE">
          <w:pPr>
            <w:pStyle w:val="TOC2"/>
            <w:tabs>
              <w:tab w:val="right" w:leader="dot" w:pos="9016"/>
            </w:tabs>
            <w:rPr>
              <w:rFonts w:eastAsiaTheme="minorEastAsia"/>
              <w:noProof/>
              <w:lang w:eastAsia="en-GB"/>
            </w:rPr>
          </w:pPr>
          <w:hyperlink w:anchor="_Toc100628551" w:history="1">
            <w:r w:rsidRPr="00DE7EE7">
              <w:rPr>
                <w:rStyle w:val="Hyperlink"/>
                <w:rFonts w:ascii="Times New Roman" w:hAnsi="Times New Roman" w:cs="Times New Roman"/>
                <w:noProof/>
              </w:rPr>
              <w:t>5.14 Application of the chosen company to the theories</w:t>
            </w:r>
            <w:r>
              <w:rPr>
                <w:noProof/>
                <w:webHidden/>
              </w:rPr>
              <w:tab/>
            </w:r>
            <w:r>
              <w:rPr>
                <w:noProof/>
                <w:webHidden/>
              </w:rPr>
              <w:fldChar w:fldCharType="begin"/>
            </w:r>
            <w:r>
              <w:rPr>
                <w:noProof/>
                <w:webHidden/>
              </w:rPr>
              <w:instrText xml:space="preserve"> PAGEREF _Toc100628551 \h </w:instrText>
            </w:r>
            <w:r>
              <w:rPr>
                <w:noProof/>
                <w:webHidden/>
              </w:rPr>
            </w:r>
            <w:r>
              <w:rPr>
                <w:noProof/>
                <w:webHidden/>
              </w:rPr>
              <w:fldChar w:fldCharType="separate"/>
            </w:r>
            <w:r>
              <w:rPr>
                <w:noProof/>
                <w:webHidden/>
              </w:rPr>
              <w:t>9</w:t>
            </w:r>
            <w:r>
              <w:rPr>
                <w:noProof/>
                <w:webHidden/>
              </w:rPr>
              <w:fldChar w:fldCharType="end"/>
            </w:r>
          </w:hyperlink>
        </w:p>
        <w:p w14:paraId="4009D678" w14:textId="77777777" w:rsidR="00FE5EDE" w:rsidRDefault="00FE5EDE">
          <w:pPr>
            <w:pStyle w:val="TOC1"/>
            <w:tabs>
              <w:tab w:val="right" w:leader="dot" w:pos="9016"/>
            </w:tabs>
            <w:rPr>
              <w:rFonts w:eastAsiaTheme="minorEastAsia"/>
              <w:noProof/>
              <w:lang w:eastAsia="en-GB"/>
            </w:rPr>
          </w:pPr>
          <w:hyperlink w:anchor="_Toc100628552" w:history="1">
            <w:r w:rsidRPr="00DE7EE7">
              <w:rPr>
                <w:rStyle w:val="Hyperlink"/>
                <w:rFonts w:ascii="Times New Roman" w:hAnsi="Times New Roman" w:cs="Times New Roman"/>
                <w:noProof/>
              </w:rPr>
              <w:t>6.0 Section Four: Profitability and Risk of the Company</w:t>
            </w:r>
            <w:r>
              <w:rPr>
                <w:noProof/>
                <w:webHidden/>
              </w:rPr>
              <w:tab/>
            </w:r>
            <w:r>
              <w:rPr>
                <w:noProof/>
                <w:webHidden/>
              </w:rPr>
              <w:fldChar w:fldCharType="begin"/>
            </w:r>
            <w:r>
              <w:rPr>
                <w:noProof/>
                <w:webHidden/>
              </w:rPr>
              <w:instrText xml:space="preserve"> PAGEREF _Toc100628552 \h </w:instrText>
            </w:r>
            <w:r>
              <w:rPr>
                <w:noProof/>
                <w:webHidden/>
              </w:rPr>
            </w:r>
            <w:r>
              <w:rPr>
                <w:noProof/>
                <w:webHidden/>
              </w:rPr>
              <w:fldChar w:fldCharType="separate"/>
            </w:r>
            <w:r>
              <w:rPr>
                <w:noProof/>
                <w:webHidden/>
              </w:rPr>
              <w:t>9</w:t>
            </w:r>
            <w:r>
              <w:rPr>
                <w:noProof/>
                <w:webHidden/>
              </w:rPr>
              <w:fldChar w:fldCharType="end"/>
            </w:r>
          </w:hyperlink>
        </w:p>
        <w:p w14:paraId="54757E4D" w14:textId="77777777" w:rsidR="00FE5EDE" w:rsidRDefault="00FE5EDE">
          <w:pPr>
            <w:pStyle w:val="TOC2"/>
            <w:tabs>
              <w:tab w:val="right" w:leader="dot" w:pos="9016"/>
            </w:tabs>
            <w:rPr>
              <w:rFonts w:eastAsiaTheme="minorEastAsia"/>
              <w:noProof/>
              <w:lang w:eastAsia="en-GB"/>
            </w:rPr>
          </w:pPr>
          <w:hyperlink w:anchor="_Toc100628553" w:history="1">
            <w:r w:rsidRPr="00DE7EE7">
              <w:rPr>
                <w:rStyle w:val="Hyperlink"/>
                <w:rFonts w:ascii="Times New Roman" w:hAnsi="Times New Roman" w:cs="Times New Roman"/>
                <w:noProof/>
              </w:rPr>
              <w:t>6.10 Calculation and evaluation of suitable profitability ratios</w:t>
            </w:r>
            <w:r>
              <w:rPr>
                <w:noProof/>
                <w:webHidden/>
              </w:rPr>
              <w:tab/>
            </w:r>
            <w:r>
              <w:rPr>
                <w:noProof/>
                <w:webHidden/>
              </w:rPr>
              <w:fldChar w:fldCharType="begin"/>
            </w:r>
            <w:r>
              <w:rPr>
                <w:noProof/>
                <w:webHidden/>
              </w:rPr>
              <w:instrText xml:space="preserve"> PAGEREF _Toc100628553 \h </w:instrText>
            </w:r>
            <w:r>
              <w:rPr>
                <w:noProof/>
                <w:webHidden/>
              </w:rPr>
            </w:r>
            <w:r>
              <w:rPr>
                <w:noProof/>
                <w:webHidden/>
              </w:rPr>
              <w:fldChar w:fldCharType="separate"/>
            </w:r>
            <w:r>
              <w:rPr>
                <w:noProof/>
                <w:webHidden/>
              </w:rPr>
              <w:t>9</w:t>
            </w:r>
            <w:r>
              <w:rPr>
                <w:noProof/>
                <w:webHidden/>
              </w:rPr>
              <w:fldChar w:fldCharType="end"/>
            </w:r>
          </w:hyperlink>
        </w:p>
        <w:p w14:paraId="3A7B3F77" w14:textId="77777777" w:rsidR="00FE5EDE" w:rsidRDefault="00FE5EDE">
          <w:pPr>
            <w:pStyle w:val="TOC2"/>
            <w:tabs>
              <w:tab w:val="right" w:leader="dot" w:pos="9016"/>
            </w:tabs>
            <w:rPr>
              <w:rFonts w:eastAsiaTheme="minorEastAsia"/>
              <w:noProof/>
              <w:lang w:eastAsia="en-GB"/>
            </w:rPr>
          </w:pPr>
          <w:hyperlink w:anchor="_Toc100628554" w:history="1">
            <w:r w:rsidRPr="00DE7EE7">
              <w:rPr>
                <w:rStyle w:val="Hyperlink"/>
                <w:rFonts w:ascii="Times New Roman" w:hAnsi="Times New Roman" w:cs="Times New Roman"/>
                <w:noProof/>
              </w:rPr>
              <w:t>6.11 Evaluation of return concerning risk Capital Asset Pricing Model</w:t>
            </w:r>
            <w:r>
              <w:rPr>
                <w:noProof/>
                <w:webHidden/>
              </w:rPr>
              <w:tab/>
            </w:r>
            <w:r>
              <w:rPr>
                <w:noProof/>
                <w:webHidden/>
              </w:rPr>
              <w:fldChar w:fldCharType="begin"/>
            </w:r>
            <w:r>
              <w:rPr>
                <w:noProof/>
                <w:webHidden/>
              </w:rPr>
              <w:instrText xml:space="preserve"> PAGEREF _Toc100628554 \h </w:instrText>
            </w:r>
            <w:r>
              <w:rPr>
                <w:noProof/>
                <w:webHidden/>
              </w:rPr>
            </w:r>
            <w:r>
              <w:rPr>
                <w:noProof/>
                <w:webHidden/>
              </w:rPr>
              <w:fldChar w:fldCharType="separate"/>
            </w:r>
            <w:r>
              <w:rPr>
                <w:noProof/>
                <w:webHidden/>
              </w:rPr>
              <w:t>9</w:t>
            </w:r>
            <w:r>
              <w:rPr>
                <w:noProof/>
                <w:webHidden/>
              </w:rPr>
              <w:fldChar w:fldCharType="end"/>
            </w:r>
          </w:hyperlink>
        </w:p>
        <w:p w14:paraId="253E9CDC" w14:textId="77777777" w:rsidR="00FE5EDE" w:rsidRDefault="00FE5EDE">
          <w:pPr>
            <w:pStyle w:val="TOC2"/>
            <w:tabs>
              <w:tab w:val="right" w:leader="dot" w:pos="9016"/>
            </w:tabs>
            <w:rPr>
              <w:rFonts w:eastAsiaTheme="minorEastAsia"/>
              <w:noProof/>
              <w:lang w:eastAsia="en-GB"/>
            </w:rPr>
          </w:pPr>
          <w:hyperlink w:anchor="_Toc100628555" w:history="1">
            <w:r w:rsidRPr="00DE7EE7">
              <w:rPr>
                <w:rStyle w:val="Hyperlink"/>
                <w:rFonts w:ascii="Times New Roman" w:hAnsi="Times New Roman" w:cs="Times New Roman"/>
                <w:noProof/>
              </w:rPr>
              <w:t>6.12 Pest Analysis</w:t>
            </w:r>
            <w:r>
              <w:rPr>
                <w:noProof/>
                <w:webHidden/>
              </w:rPr>
              <w:tab/>
            </w:r>
            <w:r>
              <w:rPr>
                <w:noProof/>
                <w:webHidden/>
              </w:rPr>
              <w:fldChar w:fldCharType="begin"/>
            </w:r>
            <w:r>
              <w:rPr>
                <w:noProof/>
                <w:webHidden/>
              </w:rPr>
              <w:instrText xml:space="preserve"> PAGEREF _Toc100628555 \h </w:instrText>
            </w:r>
            <w:r>
              <w:rPr>
                <w:noProof/>
                <w:webHidden/>
              </w:rPr>
            </w:r>
            <w:r>
              <w:rPr>
                <w:noProof/>
                <w:webHidden/>
              </w:rPr>
              <w:fldChar w:fldCharType="separate"/>
            </w:r>
            <w:r>
              <w:rPr>
                <w:noProof/>
                <w:webHidden/>
              </w:rPr>
              <w:t>10</w:t>
            </w:r>
            <w:r>
              <w:rPr>
                <w:noProof/>
                <w:webHidden/>
              </w:rPr>
              <w:fldChar w:fldCharType="end"/>
            </w:r>
          </w:hyperlink>
        </w:p>
        <w:p w14:paraId="6E147B96" w14:textId="77777777" w:rsidR="00FE5EDE" w:rsidRDefault="00FE5EDE">
          <w:pPr>
            <w:pStyle w:val="TOC2"/>
            <w:tabs>
              <w:tab w:val="right" w:leader="dot" w:pos="9016"/>
            </w:tabs>
            <w:rPr>
              <w:rFonts w:eastAsiaTheme="minorEastAsia"/>
              <w:noProof/>
              <w:lang w:eastAsia="en-GB"/>
            </w:rPr>
          </w:pPr>
          <w:hyperlink w:anchor="_Toc100628556" w:history="1">
            <w:r w:rsidRPr="00DE7EE7">
              <w:rPr>
                <w:rStyle w:val="Hyperlink"/>
                <w:rFonts w:ascii="Times New Roman" w:hAnsi="Times New Roman" w:cs="Times New Roman"/>
                <w:noProof/>
              </w:rPr>
              <w:t>6.13 Evaluation and application of Minsky analysis</w:t>
            </w:r>
            <w:r>
              <w:rPr>
                <w:noProof/>
                <w:webHidden/>
              </w:rPr>
              <w:tab/>
            </w:r>
            <w:r>
              <w:rPr>
                <w:noProof/>
                <w:webHidden/>
              </w:rPr>
              <w:fldChar w:fldCharType="begin"/>
            </w:r>
            <w:r>
              <w:rPr>
                <w:noProof/>
                <w:webHidden/>
              </w:rPr>
              <w:instrText xml:space="preserve"> PAGEREF _Toc100628556 \h </w:instrText>
            </w:r>
            <w:r>
              <w:rPr>
                <w:noProof/>
                <w:webHidden/>
              </w:rPr>
            </w:r>
            <w:r>
              <w:rPr>
                <w:noProof/>
                <w:webHidden/>
              </w:rPr>
              <w:fldChar w:fldCharType="separate"/>
            </w:r>
            <w:r>
              <w:rPr>
                <w:noProof/>
                <w:webHidden/>
              </w:rPr>
              <w:t>11</w:t>
            </w:r>
            <w:r>
              <w:rPr>
                <w:noProof/>
                <w:webHidden/>
              </w:rPr>
              <w:fldChar w:fldCharType="end"/>
            </w:r>
          </w:hyperlink>
        </w:p>
        <w:p w14:paraId="22D61744" w14:textId="77777777" w:rsidR="00FE5EDE" w:rsidRDefault="00FE5EDE">
          <w:pPr>
            <w:pStyle w:val="TOC1"/>
            <w:tabs>
              <w:tab w:val="right" w:leader="dot" w:pos="9016"/>
            </w:tabs>
            <w:rPr>
              <w:rFonts w:eastAsiaTheme="minorEastAsia"/>
              <w:noProof/>
              <w:lang w:eastAsia="en-GB"/>
            </w:rPr>
          </w:pPr>
          <w:hyperlink w:anchor="_Toc100628557" w:history="1">
            <w:r w:rsidRPr="00DE7EE7">
              <w:rPr>
                <w:rStyle w:val="Hyperlink"/>
                <w:rFonts w:ascii="Times New Roman" w:hAnsi="Times New Roman" w:cs="Times New Roman"/>
                <w:noProof/>
              </w:rPr>
              <w:t>7.0 Conclusion</w:t>
            </w:r>
            <w:r>
              <w:rPr>
                <w:noProof/>
                <w:webHidden/>
              </w:rPr>
              <w:tab/>
            </w:r>
            <w:r>
              <w:rPr>
                <w:noProof/>
                <w:webHidden/>
              </w:rPr>
              <w:fldChar w:fldCharType="begin"/>
            </w:r>
            <w:r>
              <w:rPr>
                <w:noProof/>
                <w:webHidden/>
              </w:rPr>
              <w:instrText xml:space="preserve"> PAGEREF _Toc100628557 \h </w:instrText>
            </w:r>
            <w:r>
              <w:rPr>
                <w:noProof/>
                <w:webHidden/>
              </w:rPr>
            </w:r>
            <w:r>
              <w:rPr>
                <w:noProof/>
                <w:webHidden/>
              </w:rPr>
              <w:fldChar w:fldCharType="separate"/>
            </w:r>
            <w:r>
              <w:rPr>
                <w:noProof/>
                <w:webHidden/>
              </w:rPr>
              <w:t>11</w:t>
            </w:r>
            <w:r>
              <w:rPr>
                <w:noProof/>
                <w:webHidden/>
              </w:rPr>
              <w:fldChar w:fldCharType="end"/>
            </w:r>
          </w:hyperlink>
        </w:p>
        <w:p w14:paraId="0A47433B" w14:textId="77777777" w:rsidR="00FE5EDE" w:rsidRDefault="00FE5EDE">
          <w:pPr>
            <w:pStyle w:val="TOC1"/>
            <w:tabs>
              <w:tab w:val="right" w:leader="dot" w:pos="9016"/>
            </w:tabs>
            <w:rPr>
              <w:rFonts w:eastAsiaTheme="minorEastAsia"/>
              <w:noProof/>
              <w:lang w:eastAsia="en-GB"/>
            </w:rPr>
          </w:pPr>
          <w:hyperlink w:anchor="_Toc100628558" w:history="1">
            <w:r w:rsidRPr="00DE7EE7">
              <w:rPr>
                <w:rStyle w:val="Hyperlink"/>
                <w:rFonts w:ascii="Times New Roman" w:hAnsi="Times New Roman" w:cs="Times New Roman"/>
                <w:noProof/>
              </w:rPr>
              <w:t>8.0 References</w:t>
            </w:r>
            <w:r>
              <w:rPr>
                <w:noProof/>
                <w:webHidden/>
              </w:rPr>
              <w:tab/>
            </w:r>
            <w:r>
              <w:rPr>
                <w:noProof/>
                <w:webHidden/>
              </w:rPr>
              <w:fldChar w:fldCharType="begin"/>
            </w:r>
            <w:r>
              <w:rPr>
                <w:noProof/>
                <w:webHidden/>
              </w:rPr>
              <w:instrText xml:space="preserve"> PAGEREF _Toc100628558 \h </w:instrText>
            </w:r>
            <w:r>
              <w:rPr>
                <w:noProof/>
                <w:webHidden/>
              </w:rPr>
            </w:r>
            <w:r>
              <w:rPr>
                <w:noProof/>
                <w:webHidden/>
              </w:rPr>
              <w:fldChar w:fldCharType="separate"/>
            </w:r>
            <w:r>
              <w:rPr>
                <w:noProof/>
                <w:webHidden/>
              </w:rPr>
              <w:t>13</w:t>
            </w:r>
            <w:r>
              <w:rPr>
                <w:noProof/>
                <w:webHidden/>
              </w:rPr>
              <w:fldChar w:fldCharType="end"/>
            </w:r>
          </w:hyperlink>
        </w:p>
        <w:p w14:paraId="6AEAD266" w14:textId="77777777" w:rsidR="00FE5EDE" w:rsidRDefault="00FE5EDE">
          <w:pPr>
            <w:pStyle w:val="TOC1"/>
            <w:tabs>
              <w:tab w:val="right" w:leader="dot" w:pos="9016"/>
            </w:tabs>
            <w:rPr>
              <w:rFonts w:eastAsiaTheme="minorEastAsia"/>
              <w:noProof/>
              <w:lang w:eastAsia="en-GB"/>
            </w:rPr>
          </w:pPr>
          <w:hyperlink w:anchor="_Toc100628559" w:history="1">
            <w:r w:rsidRPr="00DE7EE7">
              <w:rPr>
                <w:rStyle w:val="Hyperlink"/>
                <w:rFonts w:ascii="Times New Roman" w:hAnsi="Times New Roman" w:cs="Times New Roman"/>
                <w:noProof/>
              </w:rPr>
              <w:t>9.0 Appendices</w:t>
            </w:r>
            <w:r>
              <w:rPr>
                <w:noProof/>
                <w:webHidden/>
              </w:rPr>
              <w:tab/>
            </w:r>
            <w:r>
              <w:rPr>
                <w:noProof/>
                <w:webHidden/>
              </w:rPr>
              <w:fldChar w:fldCharType="begin"/>
            </w:r>
            <w:r>
              <w:rPr>
                <w:noProof/>
                <w:webHidden/>
              </w:rPr>
              <w:instrText xml:space="preserve"> PAGEREF _Toc100628559 \h </w:instrText>
            </w:r>
            <w:r>
              <w:rPr>
                <w:noProof/>
                <w:webHidden/>
              </w:rPr>
            </w:r>
            <w:r>
              <w:rPr>
                <w:noProof/>
                <w:webHidden/>
              </w:rPr>
              <w:fldChar w:fldCharType="separate"/>
            </w:r>
            <w:r>
              <w:rPr>
                <w:noProof/>
                <w:webHidden/>
              </w:rPr>
              <w:t>15</w:t>
            </w:r>
            <w:r>
              <w:rPr>
                <w:noProof/>
                <w:webHidden/>
              </w:rPr>
              <w:fldChar w:fldCharType="end"/>
            </w:r>
          </w:hyperlink>
        </w:p>
        <w:p w14:paraId="0A31F685" w14:textId="77777777" w:rsidR="00AE7DA4" w:rsidRDefault="00AE7DA4" w:rsidP="00AE7DA4">
          <w:pPr>
            <w:rPr>
              <w:b/>
              <w:bCs/>
              <w:noProof/>
            </w:rPr>
          </w:pPr>
          <w:r>
            <w:rPr>
              <w:b/>
              <w:bCs/>
              <w:noProof/>
            </w:rPr>
            <w:fldChar w:fldCharType="end"/>
          </w:r>
        </w:p>
      </w:sdtContent>
    </w:sdt>
    <w:p w14:paraId="4D967416" w14:textId="77777777" w:rsidR="00FE5EDE" w:rsidRDefault="00FE5EDE" w:rsidP="005B1C35">
      <w:pPr>
        <w:spacing w:after="0" w:line="480" w:lineRule="auto"/>
        <w:rPr>
          <w:rFonts w:ascii="Times New Roman" w:hAnsi="Times New Roman" w:cs="Times New Roman"/>
          <w:b/>
          <w:sz w:val="24"/>
          <w:szCs w:val="24"/>
        </w:rPr>
      </w:pPr>
    </w:p>
    <w:p w14:paraId="6A6A4B22" w14:textId="77777777" w:rsidR="0097450B" w:rsidRDefault="0097450B" w:rsidP="005B1C35">
      <w:pPr>
        <w:spacing w:after="0" w:line="480" w:lineRule="auto"/>
        <w:rPr>
          <w:rFonts w:ascii="Times New Roman" w:hAnsi="Times New Roman" w:cs="Times New Roman"/>
          <w:b/>
          <w:sz w:val="24"/>
          <w:szCs w:val="24"/>
        </w:rPr>
      </w:pPr>
    </w:p>
    <w:p w14:paraId="0AD138FD" w14:textId="77777777" w:rsidR="0097450B" w:rsidRDefault="0097450B" w:rsidP="005B1C35">
      <w:pPr>
        <w:spacing w:after="0" w:line="480" w:lineRule="auto"/>
        <w:rPr>
          <w:rFonts w:ascii="Times New Roman" w:hAnsi="Times New Roman" w:cs="Times New Roman"/>
          <w:b/>
          <w:sz w:val="24"/>
          <w:szCs w:val="24"/>
        </w:rPr>
      </w:pPr>
    </w:p>
    <w:p w14:paraId="1783E907" w14:textId="77777777" w:rsidR="0097450B" w:rsidRDefault="0097450B" w:rsidP="005B1C35">
      <w:pPr>
        <w:spacing w:after="0" w:line="480" w:lineRule="auto"/>
        <w:rPr>
          <w:rFonts w:ascii="Times New Roman" w:hAnsi="Times New Roman" w:cs="Times New Roman"/>
          <w:b/>
          <w:sz w:val="24"/>
          <w:szCs w:val="24"/>
        </w:rPr>
      </w:pPr>
    </w:p>
    <w:p w14:paraId="3A8F5DFA" w14:textId="77777777" w:rsidR="0097450B" w:rsidRDefault="0097450B" w:rsidP="005B1C35">
      <w:pPr>
        <w:spacing w:after="0" w:line="480" w:lineRule="auto"/>
        <w:rPr>
          <w:rFonts w:ascii="Times New Roman" w:hAnsi="Times New Roman" w:cs="Times New Roman"/>
          <w:b/>
          <w:sz w:val="24"/>
          <w:szCs w:val="24"/>
        </w:rPr>
      </w:pPr>
    </w:p>
    <w:p w14:paraId="29150EA6" w14:textId="77777777" w:rsidR="0097450B" w:rsidRDefault="0097450B" w:rsidP="005B1C35">
      <w:pPr>
        <w:spacing w:after="0" w:line="480" w:lineRule="auto"/>
        <w:rPr>
          <w:rFonts w:ascii="Times New Roman" w:hAnsi="Times New Roman" w:cs="Times New Roman"/>
          <w:b/>
          <w:sz w:val="24"/>
          <w:szCs w:val="24"/>
        </w:rPr>
      </w:pPr>
    </w:p>
    <w:p w14:paraId="731401BB" w14:textId="5AD00EFC" w:rsidR="00743898" w:rsidRPr="005B1C35" w:rsidRDefault="005B1C35" w:rsidP="005B1C35">
      <w:pPr>
        <w:spacing w:after="0" w:line="480" w:lineRule="auto"/>
        <w:rPr>
          <w:rFonts w:ascii="Times New Roman" w:hAnsi="Times New Roman" w:cs="Times New Roman"/>
          <w:sz w:val="24"/>
          <w:szCs w:val="24"/>
        </w:rPr>
      </w:pPr>
      <w:r>
        <w:rPr>
          <w:rFonts w:ascii="Times New Roman" w:hAnsi="Times New Roman" w:cs="Times New Roman"/>
          <w:b/>
          <w:sz w:val="24"/>
          <w:szCs w:val="24"/>
        </w:rPr>
        <w:lastRenderedPageBreak/>
        <w:t xml:space="preserve">1.0 </w:t>
      </w:r>
      <w:r w:rsidR="00743898" w:rsidRPr="005B1C35">
        <w:rPr>
          <w:rFonts w:ascii="Times New Roman" w:hAnsi="Times New Roman" w:cs="Times New Roman"/>
          <w:b/>
          <w:sz w:val="24"/>
          <w:szCs w:val="24"/>
        </w:rPr>
        <w:t>Executive summary</w:t>
      </w:r>
    </w:p>
    <w:p w14:paraId="61934A08" w14:textId="715891E8" w:rsidR="0047059C" w:rsidRPr="005B1C35" w:rsidRDefault="0047059C"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The financial performance of any organization is dependent on financial decision-making. Successful decision-making requires effective financial management strategies, including; budgeting, conducting periodical analysis of financial statements, estimating the financial impact of investments</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 and consistently scrutinizing financial performance. This paper aims to evaluate the financial decision-making styles of Arsenal Holdings Ltd and ascertain their success and role in the company's financial performance. Section one of the body of the paper examines the company's long-term sources of finance by discussing its risk/return characteristics of equity and debt and evaluating the gearing ratio. The section also examines long-term funding through the lenses of the Pecking Order and the Static Trade-off theories. Section two of the paper is concerned with evaluating working capital management through aggressive and conservative working capital management theories. The section also evaluates current and liquidity ratios, day ratios</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 and cash conversion cycle. Section three of the paper evaluates Arsenal Holding's dividend policy through dividend irrelevance, Clientele, Bird in the Hand</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 and </w:t>
      </w:r>
      <w:proofErr w:type="spellStart"/>
      <w:r w:rsidRPr="005B1C35">
        <w:rPr>
          <w:rFonts w:ascii="Times New Roman" w:hAnsi="Times New Roman" w:cs="Times New Roman"/>
          <w:sz w:val="24"/>
          <w:szCs w:val="24"/>
        </w:rPr>
        <w:t>Signaling</w:t>
      </w:r>
      <w:proofErr w:type="spellEnd"/>
      <w:r w:rsidRPr="005B1C35">
        <w:rPr>
          <w:rFonts w:ascii="Times New Roman" w:hAnsi="Times New Roman" w:cs="Times New Roman"/>
          <w:sz w:val="24"/>
          <w:szCs w:val="24"/>
        </w:rPr>
        <w:t xml:space="preserve"> theories. Meanwhile, section four of the paper evaluates the company's profitability and risk through profitability ratios, the Capital Asset Pricing Model, PEST analysis</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 and Minsky Analysis. </w:t>
      </w:r>
    </w:p>
    <w:p w14:paraId="6A8C12B5" w14:textId="77777777" w:rsidR="0047059C" w:rsidRPr="005B1C35" w:rsidRDefault="0047059C" w:rsidP="005B1C35">
      <w:pPr>
        <w:spacing w:after="0" w:line="480" w:lineRule="auto"/>
        <w:rPr>
          <w:rFonts w:ascii="Times New Roman" w:hAnsi="Times New Roman" w:cs="Times New Roman"/>
          <w:sz w:val="24"/>
          <w:szCs w:val="24"/>
        </w:rPr>
      </w:pPr>
    </w:p>
    <w:p w14:paraId="1AB6A8FC" w14:textId="77777777" w:rsidR="0047059C" w:rsidRPr="005B1C35" w:rsidRDefault="0047059C" w:rsidP="005B1C35">
      <w:pPr>
        <w:spacing w:after="0" w:line="480" w:lineRule="auto"/>
        <w:rPr>
          <w:rFonts w:ascii="Times New Roman" w:hAnsi="Times New Roman" w:cs="Times New Roman"/>
          <w:sz w:val="24"/>
          <w:szCs w:val="24"/>
        </w:rPr>
      </w:pPr>
    </w:p>
    <w:p w14:paraId="6C7D8F5B" w14:textId="77777777" w:rsidR="0047059C" w:rsidRPr="005B1C35" w:rsidRDefault="0047059C" w:rsidP="005B1C35">
      <w:pPr>
        <w:spacing w:after="0" w:line="480" w:lineRule="auto"/>
        <w:rPr>
          <w:rFonts w:ascii="Times New Roman" w:hAnsi="Times New Roman" w:cs="Times New Roman"/>
          <w:sz w:val="24"/>
          <w:szCs w:val="24"/>
        </w:rPr>
      </w:pPr>
    </w:p>
    <w:p w14:paraId="27F17EA9" w14:textId="77777777" w:rsidR="0047059C" w:rsidRPr="005B1C35" w:rsidRDefault="0047059C" w:rsidP="005B1C35">
      <w:pPr>
        <w:spacing w:after="0" w:line="480" w:lineRule="auto"/>
        <w:rPr>
          <w:rFonts w:ascii="Times New Roman" w:hAnsi="Times New Roman" w:cs="Times New Roman"/>
          <w:sz w:val="24"/>
          <w:szCs w:val="24"/>
        </w:rPr>
      </w:pPr>
    </w:p>
    <w:p w14:paraId="7694E2BF" w14:textId="77777777" w:rsidR="0047059C" w:rsidRPr="005B1C35" w:rsidRDefault="0047059C" w:rsidP="005B1C35">
      <w:pPr>
        <w:spacing w:after="0" w:line="480" w:lineRule="auto"/>
        <w:rPr>
          <w:rFonts w:ascii="Times New Roman" w:hAnsi="Times New Roman" w:cs="Times New Roman"/>
          <w:sz w:val="24"/>
          <w:szCs w:val="24"/>
        </w:rPr>
      </w:pPr>
    </w:p>
    <w:p w14:paraId="50BED1CB" w14:textId="77777777" w:rsidR="00AE2246" w:rsidRPr="005B1C35" w:rsidRDefault="00AE2246" w:rsidP="005B1C35">
      <w:pPr>
        <w:spacing w:after="0" w:line="480" w:lineRule="auto"/>
        <w:rPr>
          <w:rFonts w:ascii="Times New Roman" w:hAnsi="Times New Roman" w:cs="Times New Roman"/>
          <w:sz w:val="24"/>
          <w:szCs w:val="24"/>
        </w:rPr>
      </w:pPr>
    </w:p>
    <w:p w14:paraId="499BD330" w14:textId="6DA8794E" w:rsidR="00743898" w:rsidRPr="005B1C35" w:rsidRDefault="00AE2246" w:rsidP="005B1C35">
      <w:pPr>
        <w:pStyle w:val="Heading1"/>
        <w:spacing w:before="0" w:line="480" w:lineRule="auto"/>
        <w:rPr>
          <w:rFonts w:ascii="Times New Roman" w:hAnsi="Times New Roman" w:cs="Times New Roman"/>
          <w:color w:val="auto"/>
          <w:sz w:val="24"/>
          <w:szCs w:val="24"/>
        </w:rPr>
      </w:pPr>
      <w:bookmarkStart w:id="0" w:name="_Toc100628536"/>
      <w:r w:rsidRPr="005B1C35">
        <w:rPr>
          <w:rFonts w:ascii="Times New Roman" w:hAnsi="Times New Roman" w:cs="Times New Roman"/>
          <w:color w:val="auto"/>
          <w:sz w:val="24"/>
          <w:szCs w:val="24"/>
        </w:rPr>
        <w:lastRenderedPageBreak/>
        <w:t xml:space="preserve">2.0 </w:t>
      </w:r>
      <w:r w:rsidR="00743898" w:rsidRPr="005B1C35">
        <w:rPr>
          <w:rFonts w:ascii="Times New Roman" w:hAnsi="Times New Roman" w:cs="Times New Roman"/>
          <w:color w:val="auto"/>
          <w:sz w:val="24"/>
          <w:szCs w:val="24"/>
        </w:rPr>
        <w:t>Introduction</w:t>
      </w:r>
      <w:bookmarkEnd w:id="0"/>
    </w:p>
    <w:p w14:paraId="7A01AEE7" w14:textId="181C2B77" w:rsidR="0047059C" w:rsidRPr="005B1C35" w:rsidRDefault="0047059C"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Arsenal Holdings Ltd is the parent company of Arsenal Football Club and Arsenal Women Football Club. The company was incorporated in 2001 as a private limited company, and its headquarters is in London, United Kingdom. At the same time, the bulk of its customers </w:t>
      </w:r>
      <w:proofErr w:type="gramStart"/>
      <w:r w:rsidRPr="005B1C35">
        <w:rPr>
          <w:rFonts w:ascii="Times New Roman" w:hAnsi="Times New Roman" w:cs="Times New Roman"/>
          <w:sz w:val="24"/>
          <w:szCs w:val="24"/>
        </w:rPr>
        <w:t>originates</w:t>
      </w:r>
      <w:proofErr w:type="gramEnd"/>
      <w:r w:rsidRPr="005B1C35">
        <w:rPr>
          <w:rFonts w:ascii="Times New Roman" w:hAnsi="Times New Roman" w:cs="Times New Roman"/>
          <w:sz w:val="24"/>
          <w:szCs w:val="24"/>
        </w:rPr>
        <w:t xml:space="preserve"> from the UK. Arsenal Holdings' primary sources of revenue include gate receipts, merchandise</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 and broadcasting rights (Bloomberg, </w:t>
      </w:r>
      <w:proofErr w:type="spellStart"/>
      <w:r w:rsidRPr="005B1C35">
        <w:rPr>
          <w:rFonts w:ascii="Times New Roman" w:hAnsi="Times New Roman" w:cs="Times New Roman"/>
          <w:sz w:val="24"/>
          <w:szCs w:val="24"/>
        </w:rPr>
        <w:t>nd</w:t>
      </w:r>
      <w:proofErr w:type="spellEnd"/>
      <w:r w:rsidRPr="005B1C35">
        <w:rPr>
          <w:rFonts w:ascii="Times New Roman" w:hAnsi="Times New Roman" w:cs="Times New Roman"/>
          <w:sz w:val="24"/>
          <w:szCs w:val="24"/>
        </w:rPr>
        <w:t xml:space="preserve">). The other sources of revenue for the company include hospitality operations and retail activities at its football clubs' stadium, the Emirates. In 2021, the company reported a group turnover of </w:t>
      </w:r>
      <w:r w:rsidR="00D2635D" w:rsidRPr="005B1C35">
        <w:rPr>
          <w:rFonts w:ascii="Times New Roman" w:hAnsi="Times New Roman" w:cs="Times New Roman"/>
          <w:sz w:val="24"/>
          <w:szCs w:val="24"/>
        </w:rPr>
        <w:t>£</w:t>
      </w:r>
      <w:r w:rsidRPr="005B1C35">
        <w:rPr>
          <w:rFonts w:ascii="Times New Roman" w:hAnsi="Times New Roman" w:cs="Times New Roman"/>
          <w:sz w:val="24"/>
          <w:szCs w:val="24"/>
        </w:rPr>
        <w:t xml:space="preserve">328,222 million, compared to </w:t>
      </w:r>
      <w:r w:rsidR="00D2635D" w:rsidRPr="005B1C35">
        <w:rPr>
          <w:rFonts w:ascii="Times New Roman" w:hAnsi="Times New Roman" w:cs="Times New Roman"/>
          <w:sz w:val="24"/>
          <w:szCs w:val="24"/>
        </w:rPr>
        <w:t>£</w:t>
      </w:r>
      <w:r w:rsidRPr="005B1C35">
        <w:rPr>
          <w:rFonts w:ascii="Times New Roman" w:hAnsi="Times New Roman" w:cs="Times New Roman"/>
          <w:sz w:val="24"/>
          <w:szCs w:val="24"/>
        </w:rPr>
        <w:t>344,527 in 2020 (Arsenal Holdings Plc., 2021). The drop in revenues is primarily attributed to the COVID-19 pandemic, which significantly disrupted sporting activities in the UK. The pandemic saw physical stadium attendance being banned, effectively cutting off revenues from ticket sales. At the same time, minimal football activities disrupted the sale of merchandise and reduced revenues from commercials and broadcasting rights.</w:t>
      </w:r>
    </w:p>
    <w:p w14:paraId="4945D2D8" w14:textId="7ADBCFA2" w:rsidR="00A61CE0" w:rsidRPr="005B1C35" w:rsidRDefault="005B1C35" w:rsidP="005B1C35">
      <w:pPr>
        <w:pStyle w:val="Heading1"/>
        <w:spacing w:before="0" w:line="480" w:lineRule="auto"/>
        <w:rPr>
          <w:rFonts w:ascii="Times New Roman" w:hAnsi="Times New Roman" w:cs="Times New Roman"/>
          <w:color w:val="auto"/>
          <w:sz w:val="24"/>
          <w:szCs w:val="24"/>
        </w:rPr>
      </w:pPr>
      <w:bookmarkStart w:id="1" w:name="_Toc100628537"/>
      <w:r>
        <w:rPr>
          <w:rFonts w:ascii="Times New Roman" w:hAnsi="Times New Roman" w:cs="Times New Roman"/>
          <w:color w:val="auto"/>
          <w:sz w:val="24"/>
          <w:szCs w:val="24"/>
        </w:rPr>
        <w:t xml:space="preserve">3.0 </w:t>
      </w:r>
      <w:r w:rsidR="00743898" w:rsidRPr="005B1C35">
        <w:rPr>
          <w:rFonts w:ascii="Times New Roman" w:hAnsi="Times New Roman" w:cs="Times New Roman"/>
          <w:color w:val="auto"/>
          <w:sz w:val="24"/>
          <w:szCs w:val="24"/>
        </w:rPr>
        <w:t>Section One: Long-term Sources of Finance</w:t>
      </w:r>
      <w:bookmarkEnd w:id="1"/>
    </w:p>
    <w:p w14:paraId="6560549D" w14:textId="5DB96958" w:rsidR="00743898" w:rsidRPr="005B1C35" w:rsidRDefault="007F13B0" w:rsidP="005B1C35">
      <w:pPr>
        <w:pStyle w:val="Heading2"/>
        <w:spacing w:before="0" w:line="480" w:lineRule="auto"/>
        <w:rPr>
          <w:rFonts w:ascii="Times New Roman" w:hAnsi="Times New Roman" w:cs="Times New Roman"/>
          <w:color w:val="auto"/>
          <w:sz w:val="24"/>
          <w:szCs w:val="24"/>
        </w:rPr>
      </w:pPr>
      <w:r w:rsidRPr="005B1C35">
        <w:rPr>
          <w:rFonts w:ascii="Times New Roman" w:hAnsi="Times New Roman" w:cs="Times New Roman"/>
          <w:color w:val="auto"/>
          <w:sz w:val="24"/>
          <w:szCs w:val="24"/>
        </w:rPr>
        <w:t xml:space="preserve"> </w:t>
      </w:r>
      <w:bookmarkStart w:id="2" w:name="_Toc100628538"/>
      <w:r w:rsidR="005B1C35">
        <w:rPr>
          <w:rFonts w:ascii="Times New Roman" w:hAnsi="Times New Roman" w:cs="Times New Roman"/>
          <w:color w:val="auto"/>
          <w:sz w:val="24"/>
          <w:szCs w:val="24"/>
        </w:rPr>
        <w:t xml:space="preserve">3.11 </w:t>
      </w:r>
      <w:r w:rsidR="00A61CE0" w:rsidRPr="005B1C35">
        <w:rPr>
          <w:rFonts w:ascii="Times New Roman" w:hAnsi="Times New Roman" w:cs="Times New Roman"/>
          <w:color w:val="auto"/>
          <w:sz w:val="24"/>
          <w:szCs w:val="24"/>
        </w:rPr>
        <w:t>Risk and returns</w:t>
      </w:r>
      <w:bookmarkEnd w:id="2"/>
    </w:p>
    <w:p w14:paraId="3B9AF5BC" w14:textId="712A7ACA" w:rsidR="00743898" w:rsidRPr="005B1C35" w:rsidRDefault="00743898"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Firms are formed with the objectives to conduct business stated in their article and memorandum of association. However, management </w:t>
      </w:r>
      <w:r w:rsidR="00426230" w:rsidRPr="005B1C35">
        <w:rPr>
          <w:rFonts w:ascii="Times New Roman" w:hAnsi="Times New Roman" w:cs="Times New Roman"/>
          <w:sz w:val="24"/>
          <w:szCs w:val="24"/>
        </w:rPr>
        <w:t>is guided by the shareholders' needs to manage business to increase shareholder</w:t>
      </w:r>
      <w:r w:rsidRPr="005B1C35">
        <w:rPr>
          <w:rFonts w:ascii="Times New Roman" w:hAnsi="Times New Roman" w:cs="Times New Roman"/>
          <w:sz w:val="24"/>
          <w:szCs w:val="24"/>
        </w:rPr>
        <w:t xml:space="preserve"> value. This relationship is widely known in the business world as the princip</w:t>
      </w:r>
      <w:r w:rsidR="00426230" w:rsidRPr="005B1C35">
        <w:rPr>
          <w:rFonts w:ascii="Times New Roman" w:hAnsi="Times New Roman" w:cs="Times New Roman"/>
          <w:sz w:val="24"/>
          <w:szCs w:val="24"/>
        </w:rPr>
        <w:t>al-</w:t>
      </w:r>
      <w:r w:rsidRPr="005B1C35">
        <w:rPr>
          <w:rFonts w:ascii="Times New Roman" w:hAnsi="Times New Roman" w:cs="Times New Roman"/>
          <w:sz w:val="24"/>
          <w:szCs w:val="24"/>
        </w:rPr>
        <w:t>agent relationship in the agency theory of the firm</w:t>
      </w:r>
      <w:r w:rsidR="004011D4" w:rsidRPr="005B1C35">
        <w:rPr>
          <w:rFonts w:ascii="Times New Roman" w:hAnsi="Times New Roman" w:cs="Times New Roman"/>
          <w:sz w:val="24"/>
          <w:szCs w:val="24"/>
        </w:rPr>
        <w:t xml:space="preserve"> (</w:t>
      </w:r>
      <w:proofErr w:type="spellStart"/>
      <w:r w:rsidR="004011D4" w:rsidRPr="005B1C35">
        <w:rPr>
          <w:rFonts w:ascii="Times New Roman" w:hAnsi="Times New Roman" w:cs="Times New Roman"/>
          <w:sz w:val="24"/>
          <w:szCs w:val="24"/>
          <w:shd w:val="clear" w:color="auto" w:fill="FFFFFF"/>
        </w:rPr>
        <w:t>Ardalan</w:t>
      </w:r>
      <w:proofErr w:type="spellEnd"/>
      <w:r w:rsidR="004011D4" w:rsidRPr="005B1C35">
        <w:rPr>
          <w:rFonts w:ascii="Times New Roman" w:hAnsi="Times New Roman" w:cs="Times New Roman"/>
          <w:sz w:val="24"/>
          <w:szCs w:val="24"/>
          <w:shd w:val="clear" w:color="auto" w:fill="FFFFFF"/>
        </w:rPr>
        <w:t>, 2017)</w:t>
      </w:r>
      <w:r w:rsidRPr="005B1C35">
        <w:rPr>
          <w:rFonts w:ascii="Times New Roman" w:hAnsi="Times New Roman" w:cs="Times New Roman"/>
          <w:sz w:val="24"/>
          <w:szCs w:val="24"/>
        </w:rPr>
        <w:t xml:space="preserve">. </w:t>
      </w:r>
      <w:r w:rsidR="00613AAE" w:rsidRPr="005B1C35">
        <w:rPr>
          <w:rFonts w:ascii="Times New Roman" w:hAnsi="Times New Roman" w:cs="Times New Roman"/>
          <w:sz w:val="24"/>
          <w:szCs w:val="24"/>
        </w:rPr>
        <w:t>For these and many more reasons</w:t>
      </w:r>
      <w:r w:rsidR="00426230" w:rsidRPr="005B1C35">
        <w:rPr>
          <w:rFonts w:ascii="Times New Roman" w:hAnsi="Times New Roman" w:cs="Times New Roman"/>
          <w:sz w:val="24"/>
          <w:szCs w:val="24"/>
        </w:rPr>
        <w:t>,</w:t>
      </w:r>
      <w:r w:rsidR="00613AAE" w:rsidRPr="005B1C35">
        <w:rPr>
          <w:rFonts w:ascii="Times New Roman" w:hAnsi="Times New Roman" w:cs="Times New Roman"/>
          <w:sz w:val="24"/>
          <w:szCs w:val="24"/>
        </w:rPr>
        <w:t xml:space="preserve"> firms </w:t>
      </w:r>
      <w:r w:rsidR="00426230" w:rsidRPr="005B1C35">
        <w:rPr>
          <w:rFonts w:ascii="Times New Roman" w:hAnsi="Times New Roman" w:cs="Times New Roman"/>
          <w:sz w:val="24"/>
          <w:szCs w:val="24"/>
        </w:rPr>
        <w:t>face myriad</w:t>
      </w:r>
      <w:r w:rsidR="00613AAE" w:rsidRPr="005B1C35">
        <w:rPr>
          <w:rFonts w:ascii="Times New Roman" w:hAnsi="Times New Roman" w:cs="Times New Roman"/>
          <w:sz w:val="24"/>
          <w:szCs w:val="24"/>
        </w:rPr>
        <w:t xml:space="preserve"> risks due to the environment in which they operate. The mode of investment capital will determine the risks of the project. Generally, projects are financed by a combination of debt and equity. Each has its risks complexion. </w:t>
      </w:r>
    </w:p>
    <w:p w14:paraId="49C1F0C7" w14:textId="40C66C32" w:rsidR="00426230" w:rsidRPr="005B1C35" w:rsidRDefault="000855F4"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Firms that finance projects through equity do so because it is acquired at no cost. In most cases, the management defer</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xml:space="preserve"> the </w:t>
      </w:r>
      <w:r w:rsidR="00426230" w:rsidRPr="005B1C35">
        <w:rPr>
          <w:rFonts w:ascii="Times New Roman" w:hAnsi="Times New Roman" w:cs="Times New Roman"/>
          <w:sz w:val="24"/>
          <w:szCs w:val="24"/>
        </w:rPr>
        <w:t>dividend payment</w:t>
      </w:r>
      <w:r w:rsidRPr="005B1C35">
        <w:rPr>
          <w:rFonts w:ascii="Times New Roman" w:hAnsi="Times New Roman" w:cs="Times New Roman"/>
          <w:sz w:val="24"/>
          <w:szCs w:val="24"/>
        </w:rPr>
        <w:t xml:space="preserve"> to set aside retained earnings for </w:t>
      </w:r>
      <w:r w:rsidRPr="005B1C35">
        <w:rPr>
          <w:rFonts w:ascii="Times New Roman" w:hAnsi="Times New Roman" w:cs="Times New Roman"/>
          <w:sz w:val="24"/>
          <w:szCs w:val="24"/>
        </w:rPr>
        <w:lastRenderedPageBreak/>
        <w:t>investment</w:t>
      </w:r>
      <w:r w:rsidR="00856790" w:rsidRPr="005B1C35">
        <w:rPr>
          <w:rFonts w:ascii="Times New Roman" w:hAnsi="Times New Roman" w:cs="Times New Roman"/>
          <w:sz w:val="24"/>
          <w:szCs w:val="24"/>
        </w:rPr>
        <w:t xml:space="preserve"> (</w:t>
      </w:r>
      <w:proofErr w:type="spellStart"/>
      <w:r w:rsidR="00856790" w:rsidRPr="005B1C35">
        <w:rPr>
          <w:rFonts w:ascii="Times New Roman" w:hAnsi="Times New Roman" w:cs="Times New Roman"/>
          <w:sz w:val="24"/>
          <w:szCs w:val="24"/>
          <w:shd w:val="clear" w:color="auto" w:fill="FFFFFF"/>
        </w:rPr>
        <w:t>Jabbouri</w:t>
      </w:r>
      <w:proofErr w:type="spellEnd"/>
      <w:r w:rsidR="00856790" w:rsidRPr="005B1C35">
        <w:rPr>
          <w:rFonts w:ascii="Times New Roman" w:hAnsi="Times New Roman" w:cs="Times New Roman"/>
          <w:sz w:val="24"/>
          <w:szCs w:val="24"/>
          <w:shd w:val="clear" w:color="auto" w:fill="FFFFFF"/>
        </w:rPr>
        <w:t xml:space="preserve"> &amp; Attar, 2018)</w:t>
      </w:r>
      <w:r w:rsidRPr="005B1C35">
        <w:rPr>
          <w:rFonts w:ascii="Times New Roman" w:hAnsi="Times New Roman" w:cs="Times New Roman"/>
          <w:sz w:val="24"/>
          <w:szCs w:val="24"/>
        </w:rPr>
        <w:t xml:space="preserve">. Other forms of equity financing include </w:t>
      </w:r>
      <w:r w:rsidR="00426230" w:rsidRPr="005B1C35">
        <w:rPr>
          <w:rFonts w:ascii="Times New Roman" w:hAnsi="Times New Roman" w:cs="Times New Roman"/>
          <w:sz w:val="24"/>
          <w:szCs w:val="24"/>
        </w:rPr>
        <w:t xml:space="preserve">the </w:t>
      </w:r>
      <w:r w:rsidRPr="005B1C35">
        <w:rPr>
          <w:rFonts w:ascii="Times New Roman" w:hAnsi="Times New Roman" w:cs="Times New Roman"/>
          <w:sz w:val="24"/>
          <w:szCs w:val="24"/>
        </w:rPr>
        <w:t xml:space="preserve">sale of shares in the IPO. However, besides retained earnings, IPO has </w:t>
      </w:r>
      <w:r w:rsidR="00426230" w:rsidRPr="005B1C35">
        <w:rPr>
          <w:rFonts w:ascii="Times New Roman" w:hAnsi="Times New Roman" w:cs="Times New Roman"/>
          <w:sz w:val="24"/>
          <w:szCs w:val="24"/>
        </w:rPr>
        <w:t xml:space="preserve">an </w:t>
      </w:r>
      <w:r w:rsidRPr="005B1C35">
        <w:rPr>
          <w:rFonts w:ascii="Times New Roman" w:hAnsi="Times New Roman" w:cs="Times New Roman"/>
          <w:sz w:val="24"/>
          <w:szCs w:val="24"/>
        </w:rPr>
        <w:t xml:space="preserve">initial </w:t>
      </w:r>
      <w:r w:rsidR="00086554" w:rsidRPr="005B1C35">
        <w:rPr>
          <w:rFonts w:ascii="Times New Roman" w:hAnsi="Times New Roman" w:cs="Times New Roman"/>
          <w:sz w:val="24"/>
          <w:szCs w:val="24"/>
        </w:rPr>
        <w:t>cost</w:t>
      </w:r>
      <w:r w:rsidR="00426230" w:rsidRPr="005B1C35">
        <w:rPr>
          <w:rFonts w:ascii="Times New Roman" w:hAnsi="Times New Roman" w:cs="Times New Roman"/>
          <w:sz w:val="24"/>
          <w:szCs w:val="24"/>
        </w:rPr>
        <w:t>, including</w:t>
      </w:r>
      <w:r w:rsidRPr="005B1C35">
        <w:rPr>
          <w:rFonts w:ascii="Times New Roman" w:hAnsi="Times New Roman" w:cs="Times New Roman"/>
          <w:sz w:val="24"/>
          <w:szCs w:val="24"/>
        </w:rPr>
        <w:t xml:space="preserve"> the cost of underwriting th</w:t>
      </w:r>
      <w:r w:rsidR="00D556AF">
        <w:rPr>
          <w:rFonts w:ascii="Times New Roman" w:hAnsi="Times New Roman" w:cs="Times New Roman"/>
          <w:sz w:val="24"/>
          <w:szCs w:val="24"/>
        </w:rPr>
        <w:t>e issuance of shares. R</w:t>
      </w:r>
      <w:r w:rsidRPr="005B1C35">
        <w:rPr>
          <w:rFonts w:ascii="Times New Roman" w:hAnsi="Times New Roman" w:cs="Times New Roman"/>
          <w:sz w:val="24"/>
          <w:szCs w:val="24"/>
        </w:rPr>
        <w:t xml:space="preserve">etained earnings are still desirable for managers because they do not </w:t>
      </w:r>
      <w:r w:rsidR="00426230" w:rsidRPr="005B1C35">
        <w:rPr>
          <w:rFonts w:ascii="Times New Roman" w:hAnsi="Times New Roman" w:cs="Times New Roman"/>
          <w:sz w:val="24"/>
          <w:szCs w:val="24"/>
        </w:rPr>
        <w:t>require considerable acquisition costs</w:t>
      </w:r>
      <w:r w:rsidR="00A57C3A" w:rsidRPr="005B1C35">
        <w:rPr>
          <w:rFonts w:ascii="Times New Roman" w:hAnsi="Times New Roman" w:cs="Times New Roman"/>
          <w:sz w:val="24"/>
          <w:szCs w:val="24"/>
        </w:rPr>
        <w:t xml:space="preserve"> (</w:t>
      </w:r>
      <w:proofErr w:type="spellStart"/>
      <w:r w:rsidR="00A57C3A" w:rsidRPr="005B1C35">
        <w:rPr>
          <w:rFonts w:ascii="Times New Roman" w:hAnsi="Times New Roman" w:cs="Times New Roman"/>
          <w:sz w:val="24"/>
          <w:szCs w:val="24"/>
          <w:shd w:val="clear" w:color="auto" w:fill="FFFFFF"/>
        </w:rPr>
        <w:t>Matsa</w:t>
      </w:r>
      <w:proofErr w:type="spellEnd"/>
      <w:r w:rsidR="00A57C3A" w:rsidRPr="005B1C35">
        <w:rPr>
          <w:rFonts w:ascii="Times New Roman" w:hAnsi="Times New Roman" w:cs="Times New Roman"/>
          <w:sz w:val="24"/>
          <w:szCs w:val="24"/>
          <w:shd w:val="clear" w:color="auto" w:fill="FFFFFF"/>
        </w:rPr>
        <w:t>, 2018)</w:t>
      </w:r>
      <w:r w:rsidR="00430674" w:rsidRPr="005B1C35">
        <w:rPr>
          <w:rFonts w:ascii="Times New Roman" w:hAnsi="Times New Roman" w:cs="Times New Roman"/>
          <w:sz w:val="24"/>
          <w:szCs w:val="24"/>
        </w:rPr>
        <w:t xml:space="preserve">. </w:t>
      </w:r>
      <w:r w:rsidRPr="005B1C35">
        <w:rPr>
          <w:rFonts w:ascii="Times New Roman" w:hAnsi="Times New Roman" w:cs="Times New Roman"/>
          <w:sz w:val="24"/>
          <w:szCs w:val="24"/>
        </w:rPr>
        <w:t>However, once invested, the equity funds have an opportunity cost</w:t>
      </w:r>
      <w:r w:rsidR="00086554" w:rsidRPr="005B1C35">
        <w:rPr>
          <w:rFonts w:ascii="Times New Roman" w:hAnsi="Times New Roman" w:cs="Times New Roman"/>
          <w:sz w:val="24"/>
          <w:szCs w:val="24"/>
        </w:rPr>
        <w:t>.</w:t>
      </w:r>
    </w:p>
    <w:p w14:paraId="42D1F9F3" w14:textId="3B2F9DC3" w:rsidR="00086554" w:rsidRPr="005B1C35" w:rsidRDefault="00086554"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In most cases, the opportunity cost drives the managers to look for alternative </w:t>
      </w:r>
      <w:r w:rsidR="00426230" w:rsidRPr="005B1C35">
        <w:rPr>
          <w:rFonts w:ascii="Times New Roman" w:hAnsi="Times New Roman" w:cs="Times New Roman"/>
          <w:sz w:val="24"/>
          <w:szCs w:val="24"/>
        </w:rPr>
        <w:t>funding sources,</w:t>
      </w:r>
      <w:r w:rsidRPr="005B1C35">
        <w:rPr>
          <w:rFonts w:ascii="Times New Roman" w:hAnsi="Times New Roman" w:cs="Times New Roman"/>
          <w:sz w:val="24"/>
          <w:szCs w:val="24"/>
        </w:rPr>
        <w:t xml:space="preserve"> which i</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xml:space="preserve"> debt financing. </w:t>
      </w:r>
      <w:r w:rsidR="00DA16C0" w:rsidRPr="005B1C35">
        <w:rPr>
          <w:rFonts w:ascii="Times New Roman" w:hAnsi="Times New Roman" w:cs="Times New Roman"/>
          <w:sz w:val="24"/>
          <w:szCs w:val="24"/>
        </w:rPr>
        <w:t xml:space="preserve">Also, the retained earnings are based on the previous earnings after tax and dividend </w:t>
      </w:r>
      <w:proofErr w:type="spellStart"/>
      <w:r w:rsidR="00DA16C0" w:rsidRPr="005B1C35">
        <w:rPr>
          <w:rFonts w:ascii="Times New Roman" w:hAnsi="Times New Roman" w:cs="Times New Roman"/>
          <w:sz w:val="24"/>
          <w:szCs w:val="24"/>
        </w:rPr>
        <w:t>payout</w:t>
      </w:r>
      <w:proofErr w:type="spellEnd"/>
      <w:r w:rsidR="00DA16C0" w:rsidRPr="005B1C35">
        <w:rPr>
          <w:rFonts w:ascii="Times New Roman" w:hAnsi="Times New Roman" w:cs="Times New Roman"/>
          <w:sz w:val="24"/>
          <w:szCs w:val="24"/>
        </w:rPr>
        <w:t xml:space="preserve"> ratio</w:t>
      </w:r>
      <w:r w:rsidR="00F00955" w:rsidRPr="005B1C35">
        <w:rPr>
          <w:rFonts w:ascii="Times New Roman" w:hAnsi="Times New Roman" w:cs="Times New Roman"/>
          <w:sz w:val="24"/>
          <w:szCs w:val="24"/>
        </w:rPr>
        <w:t xml:space="preserve"> (</w:t>
      </w:r>
      <w:proofErr w:type="spellStart"/>
      <w:r w:rsidR="00F00955" w:rsidRPr="005B1C35">
        <w:rPr>
          <w:rFonts w:ascii="Times New Roman" w:hAnsi="Times New Roman" w:cs="Times New Roman"/>
          <w:sz w:val="24"/>
          <w:szCs w:val="24"/>
          <w:shd w:val="clear" w:color="auto" w:fill="FFFFFF"/>
        </w:rPr>
        <w:t>Murtaza</w:t>
      </w:r>
      <w:proofErr w:type="spellEnd"/>
      <w:r w:rsidR="00F00955" w:rsidRPr="005B1C35">
        <w:rPr>
          <w:rFonts w:ascii="Times New Roman" w:hAnsi="Times New Roman" w:cs="Times New Roman"/>
          <w:sz w:val="24"/>
          <w:szCs w:val="24"/>
          <w:shd w:val="clear" w:color="auto" w:fill="FFFFFF"/>
        </w:rPr>
        <w:t xml:space="preserve"> et al., 2015</w:t>
      </w:r>
      <w:proofErr w:type="gramStart"/>
      <w:r w:rsidR="00F00955" w:rsidRPr="005B1C35">
        <w:rPr>
          <w:rFonts w:ascii="Times New Roman" w:hAnsi="Times New Roman" w:cs="Times New Roman"/>
          <w:sz w:val="24"/>
          <w:szCs w:val="24"/>
          <w:shd w:val="clear" w:color="auto" w:fill="FFFFFF"/>
        </w:rPr>
        <w:t xml:space="preserve">) </w:t>
      </w:r>
      <w:r w:rsidR="00DA16C0" w:rsidRPr="005B1C35">
        <w:rPr>
          <w:rFonts w:ascii="Times New Roman" w:hAnsi="Times New Roman" w:cs="Times New Roman"/>
          <w:sz w:val="24"/>
          <w:szCs w:val="24"/>
        </w:rPr>
        <w:t>.</w:t>
      </w:r>
      <w:proofErr w:type="gramEnd"/>
      <w:r w:rsidR="00DA16C0" w:rsidRPr="005B1C35">
        <w:rPr>
          <w:rFonts w:ascii="Times New Roman" w:hAnsi="Times New Roman" w:cs="Times New Roman"/>
          <w:sz w:val="24"/>
          <w:szCs w:val="24"/>
        </w:rPr>
        <w:t xml:space="preserve"> </w:t>
      </w:r>
      <w:r w:rsidR="00426230" w:rsidRPr="005B1C35">
        <w:rPr>
          <w:rFonts w:ascii="Times New Roman" w:hAnsi="Times New Roman" w:cs="Times New Roman"/>
          <w:sz w:val="24"/>
          <w:szCs w:val="24"/>
        </w:rPr>
        <w:t>Equity financing is</w:t>
      </w:r>
      <w:r w:rsidR="00DA16C0" w:rsidRPr="005B1C35">
        <w:rPr>
          <w:rFonts w:ascii="Times New Roman" w:hAnsi="Times New Roman" w:cs="Times New Roman"/>
          <w:sz w:val="24"/>
          <w:szCs w:val="24"/>
        </w:rPr>
        <w:t xml:space="preserve"> limited because most companies use retained earnings to sort out liquidity or working capital management.</w:t>
      </w:r>
    </w:p>
    <w:p w14:paraId="0C6EB227" w14:textId="0DF9D452" w:rsidR="000855F4" w:rsidRPr="005B1C35" w:rsidRDefault="00086554"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Debt financing involves securities such as bonds</w:t>
      </w:r>
      <w:r w:rsidR="00DA16C0" w:rsidRPr="005B1C35">
        <w:rPr>
          <w:rFonts w:ascii="Times New Roman" w:hAnsi="Times New Roman" w:cs="Times New Roman"/>
          <w:sz w:val="24"/>
          <w:szCs w:val="24"/>
        </w:rPr>
        <w:t>, bank loans, overdraft</w:t>
      </w:r>
      <w:r w:rsidR="00426230" w:rsidRPr="005B1C35">
        <w:rPr>
          <w:rFonts w:ascii="Times New Roman" w:hAnsi="Times New Roman" w:cs="Times New Roman"/>
          <w:sz w:val="24"/>
          <w:szCs w:val="24"/>
        </w:rPr>
        <w:t>s</w:t>
      </w:r>
      <w:r w:rsidR="00E642B3" w:rsidRPr="005B1C35">
        <w:rPr>
          <w:rFonts w:ascii="Times New Roman" w:hAnsi="Times New Roman" w:cs="Times New Roman"/>
          <w:sz w:val="24"/>
          <w:szCs w:val="24"/>
        </w:rPr>
        <w:t xml:space="preserve">, and </w:t>
      </w:r>
      <w:r w:rsidR="00DA16C0" w:rsidRPr="005B1C35">
        <w:rPr>
          <w:rFonts w:ascii="Times New Roman" w:hAnsi="Times New Roman" w:cs="Times New Roman"/>
          <w:sz w:val="24"/>
          <w:szCs w:val="24"/>
        </w:rPr>
        <w:t>market debts</w:t>
      </w:r>
      <w:r w:rsidR="00E642B3" w:rsidRPr="005B1C35">
        <w:rPr>
          <w:rFonts w:ascii="Times New Roman" w:hAnsi="Times New Roman" w:cs="Times New Roman"/>
          <w:sz w:val="24"/>
          <w:szCs w:val="24"/>
        </w:rPr>
        <w:t xml:space="preserve">. </w:t>
      </w:r>
      <w:r w:rsidR="00997986" w:rsidRPr="005B1C35">
        <w:rPr>
          <w:rFonts w:ascii="Times New Roman" w:hAnsi="Times New Roman" w:cs="Times New Roman"/>
          <w:sz w:val="24"/>
          <w:szCs w:val="24"/>
        </w:rPr>
        <w:t xml:space="preserve">These instruments have considerable cost to the firm because </w:t>
      </w:r>
      <w:r w:rsidR="00426230" w:rsidRPr="005B1C35">
        <w:rPr>
          <w:rFonts w:ascii="Times New Roman" w:hAnsi="Times New Roman" w:cs="Times New Roman"/>
          <w:sz w:val="24"/>
          <w:szCs w:val="24"/>
        </w:rPr>
        <w:t>the lender must pay periodic payments</w:t>
      </w:r>
      <w:r w:rsidR="001622BC" w:rsidRPr="005B1C35">
        <w:rPr>
          <w:rFonts w:ascii="Times New Roman" w:hAnsi="Times New Roman" w:cs="Times New Roman"/>
          <w:sz w:val="24"/>
          <w:szCs w:val="24"/>
        </w:rPr>
        <w:t xml:space="preserve"> based on the compounded interest rates. </w:t>
      </w:r>
      <w:r w:rsidR="006D6EB5" w:rsidRPr="005B1C35">
        <w:rPr>
          <w:rFonts w:ascii="Times New Roman" w:hAnsi="Times New Roman" w:cs="Times New Roman"/>
          <w:sz w:val="24"/>
          <w:szCs w:val="24"/>
        </w:rPr>
        <w:t>Additionally, debts are issued based on collateral and guarantee. Here, an asset of the firm is used to provide security to the lender. The security acts as a buffer stock for the lender</w:t>
      </w:r>
      <w:r w:rsidR="00426230" w:rsidRPr="005B1C35">
        <w:rPr>
          <w:rFonts w:ascii="Times New Roman" w:hAnsi="Times New Roman" w:cs="Times New Roman"/>
          <w:sz w:val="24"/>
          <w:szCs w:val="24"/>
        </w:rPr>
        <w:t>,</w:t>
      </w:r>
      <w:r w:rsidR="006D6EB5" w:rsidRPr="005B1C35">
        <w:rPr>
          <w:rFonts w:ascii="Times New Roman" w:hAnsi="Times New Roman" w:cs="Times New Roman"/>
          <w:sz w:val="24"/>
          <w:szCs w:val="24"/>
        </w:rPr>
        <w:t xml:space="preserve"> which can be foreclosed to recover the full amount of the debt upon bankruptcy or </w:t>
      </w:r>
      <w:r w:rsidR="00426230" w:rsidRPr="005B1C35">
        <w:rPr>
          <w:rFonts w:ascii="Times New Roman" w:hAnsi="Times New Roman" w:cs="Times New Roman"/>
          <w:sz w:val="24"/>
          <w:szCs w:val="24"/>
        </w:rPr>
        <w:t xml:space="preserve">the </w:t>
      </w:r>
      <w:r w:rsidR="006D6EB5" w:rsidRPr="005B1C35">
        <w:rPr>
          <w:rFonts w:ascii="Times New Roman" w:hAnsi="Times New Roman" w:cs="Times New Roman"/>
          <w:sz w:val="24"/>
          <w:szCs w:val="24"/>
        </w:rPr>
        <w:t xml:space="preserve">inability of the borrower to pay the loan. Essentially, </w:t>
      </w:r>
      <w:r w:rsidR="00DD3FD5" w:rsidRPr="005B1C35">
        <w:rPr>
          <w:rFonts w:ascii="Times New Roman" w:hAnsi="Times New Roman" w:cs="Times New Roman"/>
          <w:sz w:val="24"/>
          <w:szCs w:val="24"/>
        </w:rPr>
        <w:t xml:space="preserve">debt capital limits the ability of the firm </w:t>
      </w:r>
      <w:r w:rsidR="00426230" w:rsidRPr="005B1C35">
        <w:rPr>
          <w:rFonts w:ascii="Times New Roman" w:hAnsi="Times New Roman" w:cs="Times New Roman"/>
          <w:sz w:val="24"/>
          <w:szCs w:val="24"/>
        </w:rPr>
        <w:t>to</w:t>
      </w:r>
      <w:r w:rsidR="00DD3FD5" w:rsidRPr="005B1C35">
        <w:rPr>
          <w:rFonts w:ascii="Times New Roman" w:hAnsi="Times New Roman" w:cs="Times New Roman"/>
          <w:sz w:val="24"/>
          <w:szCs w:val="24"/>
        </w:rPr>
        <w:t xml:space="preserve"> uninterrupted use its assets. </w:t>
      </w:r>
    </w:p>
    <w:p w14:paraId="0DB5319A" w14:textId="2EB0B1B9" w:rsidR="00411B4F" w:rsidRPr="005B1C35" w:rsidRDefault="00411B4F"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The outstanding features of both debt and equity capital drive most firms to use </w:t>
      </w:r>
      <w:r w:rsidR="00426230" w:rsidRPr="005B1C35">
        <w:rPr>
          <w:rFonts w:ascii="Times New Roman" w:hAnsi="Times New Roman" w:cs="Times New Roman"/>
          <w:sz w:val="24"/>
          <w:szCs w:val="24"/>
        </w:rPr>
        <w:t xml:space="preserve">a </w:t>
      </w:r>
      <w:r w:rsidRPr="005B1C35">
        <w:rPr>
          <w:rFonts w:ascii="Times New Roman" w:hAnsi="Times New Roman" w:cs="Times New Roman"/>
          <w:sz w:val="24"/>
          <w:szCs w:val="24"/>
        </w:rPr>
        <w:t xml:space="preserve">combination of equity and debt to finance projects. The desirability of both </w:t>
      </w:r>
      <w:r w:rsidR="00426230" w:rsidRPr="005B1C35">
        <w:rPr>
          <w:rFonts w:ascii="Times New Roman" w:hAnsi="Times New Roman" w:cs="Times New Roman"/>
          <w:sz w:val="24"/>
          <w:szCs w:val="24"/>
        </w:rPr>
        <w:t>is</w:t>
      </w:r>
      <w:r w:rsidRPr="005B1C35">
        <w:rPr>
          <w:rFonts w:ascii="Times New Roman" w:hAnsi="Times New Roman" w:cs="Times New Roman"/>
          <w:sz w:val="24"/>
          <w:szCs w:val="24"/>
        </w:rPr>
        <w:t xml:space="preserve"> determined based on the ability of the management and shareholders to take risks</w:t>
      </w:r>
      <w:r w:rsidR="00AD556D" w:rsidRPr="005B1C35">
        <w:rPr>
          <w:rFonts w:ascii="Times New Roman" w:hAnsi="Times New Roman" w:cs="Times New Roman"/>
          <w:sz w:val="24"/>
          <w:szCs w:val="24"/>
        </w:rPr>
        <w:t xml:space="preserve">. This is called gearing and is based on the optimum capital structure of the firm. </w:t>
      </w:r>
      <w:proofErr w:type="spellStart"/>
      <w:r w:rsidR="0045316E" w:rsidRPr="005B1C35">
        <w:rPr>
          <w:rFonts w:ascii="Times New Roman" w:hAnsi="Times New Roman" w:cs="Times New Roman"/>
          <w:sz w:val="24"/>
          <w:szCs w:val="24"/>
          <w:shd w:val="clear" w:color="auto" w:fill="FFFFFF"/>
        </w:rPr>
        <w:t>Matsa</w:t>
      </w:r>
      <w:proofErr w:type="spellEnd"/>
      <w:r w:rsidR="0045316E" w:rsidRPr="005B1C35">
        <w:rPr>
          <w:rFonts w:ascii="Times New Roman" w:hAnsi="Times New Roman" w:cs="Times New Roman"/>
          <w:sz w:val="24"/>
          <w:szCs w:val="24"/>
          <w:shd w:val="clear" w:color="auto" w:fill="FFFFFF"/>
        </w:rPr>
        <w:t xml:space="preserve"> (2018) define </w:t>
      </w:r>
      <w:proofErr w:type="spellStart"/>
      <w:r w:rsidR="00AD556D" w:rsidRPr="005B1C35">
        <w:rPr>
          <w:rFonts w:ascii="Times New Roman" w:hAnsi="Times New Roman" w:cs="Times New Roman"/>
          <w:sz w:val="24"/>
          <w:szCs w:val="24"/>
        </w:rPr>
        <w:t>ptimum</w:t>
      </w:r>
      <w:proofErr w:type="spellEnd"/>
      <w:r w:rsidR="00AD556D" w:rsidRPr="005B1C35">
        <w:rPr>
          <w:rFonts w:ascii="Times New Roman" w:hAnsi="Times New Roman" w:cs="Times New Roman"/>
          <w:sz w:val="24"/>
          <w:szCs w:val="24"/>
        </w:rPr>
        <w:t xml:space="preserve"> capital structure is determined by the combination of debt and equity capital</w:t>
      </w:r>
      <w:r w:rsidR="00426230" w:rsidRPr="005B1C35">
        <w:rPr>
          <w:rFonts w:ascii="Times New Roman" w:hAnsi="Times New Roman" w:cs="Times New Roman"/>
          <w:sz w:val="24"/>
          <w:szCs w:val="24"/>
        </w:rPr>
        <w:t>,</w:t>
      </w:r>
      <w:r w:rsidR="00AD556D" w:rsidRPr="005B1C35">
        <w:rPr>
          <w:rFonts w:ascii="Times New Roman" w:hAnsi="Times New Roman" w:cs="Times New Roman"/>
          <w:sz w:val="24"/>
          <w:szCs w:val="24"/>
        </w:rPr>
        <w:t xml:space="preserve"> beyond which any additional capital will lead to zero additional marginal benefit</w:t>
      </w:r>
      <w:r w:rsidR="00426230" w:rsidRPr="005B1C35">
        <w:rPr>
          <w:rFonts w:ascii="Times New Roman" w:hAnsi="Times New Roman" w:cs="Times New Roman"/>
          <w:sz w:val="24"/>
          <w:szCs w:val="24"/>
        </w:rPr>
        <w:t>s</w:t>
      </w:r>
      <w:r w:rsidR="00AD556D" w:rsidRPr="005B1C35">
        <w:rPr>
          <w:rFonts w:ascii="Times New Roman" w:hAnsi="Times New Roman" w:cs="Times New Roman"/>
          <w:sz w:val="24"/>
          <w:szCs w:val="24"/>
        </w:rPr>
        <w:t xml:space="preserve"> to the firm. </w:t>
      </w:r>
      <w:r w:rsidR="00BA3D65" w:rsidRPr="005B1C35">
        <w:rPr>
          <w:rFonts w:ascii="Times New Roman" w:hAnsi="Times New Roman" w:cs="Times New Roman"/>
          <w:sz w:val="24"/>
          <w:szCs w:val="24"/>
        </w:rPr>
        <w:t xml:space="preserve">The </w:t>
      </w:r>
      <w:r w:rsidR="00426230" w:rsidRPr="005B1C35">
        <w:rPr>
          <w:rFonts w:ascii="Times New Roman" w:hAnsi="Times New Roman" w:cs="Times New Roman"/>
          <w:sz w:val="24"/>
          <w:szCs w:val="24"/>
        </w:rPr>
        <w:t>gearing ratio determines the capital structure, which can be elucidated based on the pecking order theory and static trade-</w:t>
      </w:r>
      <w:r w:rsidR="00BA3D65" w:rsidRPr="005B1C35">
        <w:rPr>
          <w:rFonts w:ascii="Times New Roman" w:hAnsi="Times New Roman" w:cs="Times New Roman"/>
          <w:sz w:val="24"/>
          <w:szCs w:val="24"/>
        </w:rPr>
        <w:t>off theory.</w:t>
      </w:r>
    </w:p>
    <w:p w14:paraId="5DF72654" w14:textId="6D429E02" w:rsidR="00F21014" w:rsidRPr="005B1C35" w:rsidRDefault="00E722EF" w:rsidP="005B1C35">
      <w:pPr>
        <w:pStyle w:val="Heading2"/>
        <w:spacing w:before="0" w:line="480" w:lineRule="auto"/>
        <w:rPr>
          <w:rFonts w:ascii="Times New Roman" w:hAnsi="Times New Roman" w:cs="Times New Roman"/>
          <w:color w:val="auto"/>
          <w:sz w:val="24"/>
          <w:szCs w:val="24"/>
        </w:rPr>
      </w:pPr>
      <w:bookmarkStart w:id="3" w:name="_Toc100628539"/>
      <w:proofErr w:type="gramStart"/>
      <w:r>
        <w:rPr>
          <w:rFonts w:ascii="Times New Roman" w:hAnsi="Times New Roman" w:cs="Times New Roman"/>
          <w:color w:val="auto"/>
          <w:sz w:val="24"/>
          <w:szCs w:val="24"/>
        </w:rPr>
        <w:lastRenderedPageBreak/>
        <w:t xml:space="preserve">3.12 </w:t>
      </w:r>
      <w:r w:rsidR="007F13B0" w:rsidRPr="005B1C35">
        <w:rPr>
          <w:rFonts w:ascii="Times New Roman" w:hAnsi="Times New Roman" w:cs="Times New Roman"/>
          <w:color w:val="auto"/>
          <w:sz w:val="24"/>
          <w:szCs w:val="24"/>
        </w:rPr>
        <w:t xml:space="preserve"> </w:t>
      </w:r>
      <w:r w:rsidR="00F21014" w:rsidRPr="005B1C35">
        <w:rPr>
          <w:rFonts w:ascii="Times New Roman" w:hAnsi="Times New Roman" w:cs="Times New Roman"/>
          <w:color w:val="auto"/>
          <w:sz w:val="24"/>
          <w:szCs w:val="24"/>
        </w:rPr>
        <w:t>Pecking</w:t>
      </w:r>
      <w:proofErr w:type="gramEnd"/>
      <w:r w:rsidR="00F21014" w:rsidRPr="005B1C35">
        <w:rPr>
          <w:rFonts w:ascii="Times New Roman" w:hAnsi="Times New Roman" w:cs="Times New Roman"/>
          <w:color w:val="auto"/>
          <w:sz w:val="24"/>
          <w:szCs w:val="24"/>
        </w:rPr>
        <w:t xml:space="preserve"> Order Theory</w:t>
      </w:r>
      <w:bookmarkEnd w:id="3"/>
    </w:p>
    <w:p w14:paraId="6D8644F2" w14:textId="77777777" w:rsidR="00F21014" w:rsidRPr="005B1C35" w:rsidRDefault="00F21014"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According to the Pecking Order Model, financial managers follow a particular pecking order when seeking funds for a project. The order of the hierarchy involves retained earnings as the first choice, followed by debt and equity financing as the last option. The key driver of the model is asymmetric information, a situation where the business manager possesses more information about the company's performance than external stakeholders </w:t>
      </w:r>
      <w:r w:rsidRPr="005B1C35">
        <w:rPr>
          <w:rFonts w:ascii="Times New Roman" w:hAnsi="Times New Roman" w:cs="Times New Roman"/>
          <w:bCs/>
          <w:sz w:val="24"/>
          <w:szCs w:val="24"/>
        </w:rPr>
        <w:t>(</w:t>
      </w:r>
      <w:proofErr w:type="spellStart"/>
      <w:r w:rsidRPr="005B1C35">
        <w:rPr>
          <w:rFonts w:ascii="Times New Roman" w:hAnsi="Times New Roman" w:cs="Times New Roman"/>
          <w:sz w:val="24"/>
          <w:szCs w:val="24"/>
        </w:rPr>
        <w:t>Asai</w:t>
      </w:r>
      <w:proofErr w:type="spellEnd"/>
      <w:r w:rsidRPr="005B1C35">
        <w:rPr>
          <w:rFonts w:ascii="Times New Roman" w:hAnsi="Times New Roman" w:cs="Times New Roman"/>
          <w:sz w:val="24"/>
          <w:szCs w:val="24"/>
        </w:rPr>
        <w:t>, 2020). Due to this imbalance, creditors, being external stakeholders, usually demand higher returns on their investments to compensate for the perceived risk arising from information failure. As a result, companies find it cheaper to fund investments using retained earnings due to its minimal information asymmetry and ultimately less risk. On the other hand, the risks attributed to information failure make the cost of funding through debt or equity pretty high. However, where the only option available is external financing, a business manager would mostly opt for debt because it's cheaper than equity.</w:t>
      </w:r>
    </w:p>
    <w:p w14:paraId="530FEF59" w14:textId="473EDF97" w:rsidR="00F21014" w:rsidRPr="005B1C35" w:rsidRDefault="00E722EF" w:rsidP="005B1C35">
      <w:pPr>
        <w:pStyle w:val="Heading2"/>
        <w:spacing w:before="0" w:line="480" w:lineRule="auto"/>
        <w:rPr>
          <w:rFonts w:ascii="Times New Roman" w:hAnsi="Times New Roman" w:cs="Times New Roman"/>
          <w:color w:val="auto"/>
          <w:sz w:val="24"/>
          <w:szCs w:val="24"/>
        </w:rPr>
      </w:pPr>
      <w:bookmarkStart w:id="4" w:name="_Toc100628540"/>
      <w:r>
        <w:rPr>
          <w:rFonts w:ascii="Times New Roman" w:hAnsi="Times New Roman" w:cs="Times New Roman"/>
          <w:color w:val="auto"/>
          <w:sz w:val="24"/>
          <w:szCs w:val="24"/>
        </w:rPr>
        <w:t xml:space="preserve">3.13 </w:t>
      </w:r>
      <w:r w:rsidR="00F21014" w:rsidRPr="005B1C35">
        <w:rPr>
          <w:rFonts w:ascii="Times New Roman" w:hAnsi="Times New Roman" w:cs="Times New Roman"/>
          <w:color w:val="auto"/>
          <w:sz w:val="24"/>
          <w:szCs w:val="24"/>
        </w:rPr>
        <w:t>Static Trade-off Theory</w:t>
      </w:r>
      <w:bookmarkEnd w:id="4"/>
    </w:p>
    <w:p w14:paraId="255E17DA" w14:textId="49F50E14" w:rsidR="00F21014" w:rsidRPr="005B1C35" w:rsidRDefault="00F21014"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The Static Trade-off theory is concerned with the capital structure of corporations</w:t>
      </w:r>
      <w:r w:rsidR="00E73D7C" w:rsidRPr="005B1C35">
        <w:rPr>
          <w:rFonts w:ascii="Times New Roman" w:hAnsi="Times New Roman" w:cs="Times New Roman"/>
          <w:sz w:val="24"/>
          <w:szCs w:val="24"/>
        </w:rPr>
        <w:t xml:space="preserve"> (</w:t>
      </w:r>
      <w:proofErr w:type="spellStart"/>
      <w:r w:rsidR="00E73D7C" w:rsidRPr="005B1C35">
        <w:rPr>
          <w:rFonts w:ascii="Times New Roman" w:hAnsi="Times New Roman" w:cs="Times New Roman"/>
          <w:sz w:val="24"/>
          <w:szCs w:val="24"/>
          <w:shd w:val="clear" w:color="auto" w:fill="FFFFFF"/>
        </w:rPr>
        <w:t>Ardalan</w:t>
      </w:r>
      <w:proofErr w:type="spellEnd"/>
      <w:r w:rsidR="00E73D7C" w:rsidRPr="005B1C35">
        <w:rPr>
          <w:rFonts w:ascii="Times New Roman" w:hAnsi="Times New Roman" w:cs="Times New Roman"/>
          <w:sz w:val="24"/>
          <w:szCs w:val="24"/>
          <w:shd w:val="clear" w:color="auto" w:fill="FFFFFF"/>
        </w:rPr>
        <w:t>, 2017)</w:t>
      </w:r>
      <w:r w:rsidRPr="005B1C35">
        <w:rPr>
          <w:rFonts w:ascii="Times New Roman" w:hAnsi="Times New Roman" w:cs="Times New Roman"/>
          <w:sz w:val="24"/>
          <w:szCs w:val="24"/>
        </w:rPr>
        <w:t xml:space="preserve">. The model stipulates that firms realize an optimal capital structure at some point in the combination of debt and equity. The model stems from the capital structure irrelevance theory but branches off where it eliminates one of the assumptions of the original theory. The Static Trade-off theory eliminates the assumption that there's no cost attached to the financial distress caused by acquiring debt </w:t>
      </w:r>
      <w:r w:rsidRPr="005B1C35">
        <w:rPr>
          <w:rFonts w:ascii="Times New Roman" w:hAnsi="Times New Roman" w:cs="Times New Roman"/>
          <w:bCs/>
          <w:sz w:val="24"/>
          <w:szCs w:val="24"/>
        </w:rPr>
        <w:t>(</w:t>
      </w:r>
      <w:proofErr w:type="spellStart"/>
      <w:r w:rsidRPr="005B1C35">
        <w:rPr>
          <w:rFonts w:ascii="Times New Roman" w:hAnsi="Times New Roman" w:cs="Times New Roman"/>
          <w:sz w:val="24"/>
          <w:szCs w:val="24"/>
        </w:rPr>
        <w:t>Asai</w:t>
      </w:r>
      <w:proofErr w:type="spellEnd"/>
      <w:r w:rsidRPr="005B1C35">
        <w:rPr>
          <w:rFonts w:ascii="Times New Roman" w:hAnsi="Times New Roman" w:cs="Times New Roman"/>
          <w:sz w:val="24"/>
          <w:szCs w:val="24"/>
        </w:rPr>
        <w:t xml:space="preserve">, 2020). If the assumption is eliminated, increasing debt does not necessarily lower the Weighted Average Cost of Capital (WACC). Consequently, the phenomenon will lead to a point where the extra value received from acquiring more debt becomes less than the cost of financial distress caused by borrowing. In this case, debt creates a degree of shield from tax. If the above happens, the company is said to have an optimal capital structure, accompanied by value maximization. </w:t>
      </w:r>
    </w:p>
    <w:p w14:paraId="1C3680FA" w14:textId="14ACCE18" w:rsidR="001F0B3F" w:rsidRPr="005B1C35" w:rsidRDefault="00E722EF" w:rsidP="005B1C35">
      <w:pPr>
        <w:pStyle w:val="Heading2"/>
        <w:spacing w:before="0" w:line="480" w:lineRule="auto"/>
        <w:rPr>
          <w:rFonts w:ascii="Times New Roman" w:hAnsi="Times New Roman" w:cs="Times New Roman"/>
          <w:color w:val="auto"/>
          <w:sz w:val="24"/>
          <w:szCs w:val="24"/>
        </w:rPr>
      </w:pPr>
      <w:bookmarkStart w:id="5" w:name="_Toc100628541"/>
      <w:proofErr w:type="gramStart"/>
      <w:r>
        <w:rPr>
          <w:rFonts w:ascii="Times New Roman" w:hAnsi="Times New Roman" w:cs="Times New Roman"/>
          <w:color w:val="auto"/>
          <w:sz w:val="24"/>
          <w:szCs w:val="24"/>
        </w:rPr>
        <w:lastRenderedPageBreak/>
        <w:t xml:space="preserve">3.14 </w:t>
      </w:r>
      <w:r w:rsidR="001F0B3F" w:rsidRPr="005B1C35">
        <w:rPr>
          <w:rFonts w:ascii="Times New Roman" w:hAnsi="Times New Roman" w:cs="Times New Roman"/>
          <w:color w:val="auto"/>
          <w:sz w:val="24"/>
          <w:szCs w:val="24"/>
        </w:rPr>
        <w:t xml:space="preserve"> Sources</w:t>
      </w:r>
      <w:proofErr w:type="gramEnd"/>
      <w:r w:rsidR="001F0B3F" w:rsidRPr="005B1C35">
        <w:rPr>
          <w:rFonts w:ascii="Times New Roman" w:hAnsi="Times New Roman" w:cs="Times New Roman"/>
          <w:color w:val="auto"/>
          <w:sz w:val="24"/>
          <w:szCs w:val="24"/>
        </w:rPr>
        <w:t xml:space="preserve"> of Finance used by Arsenal Holdings Plc</w:t>
      </w:r>
      <w:bookmarkEnd w:id="5"/>
    </w:p>
    <w:p w14:paraId="32BAB03F" w14:textId="71FEBF20" w:rsidR="00942F42" w:rsidRPr="005B1C35" w:rsidRDefault="00942F42"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Arsenal Holdings Plc uses a combination of equity and debt capital. Currently, it operates as </w:t>
      </w:r>
      <w:r w:rsidR="00426230" w:rsidRPr="005B1C35">
        <w:rPr>
          <w:rFonts w:ascii="Times New Roman" w:hAnsi="Times New Roman" w:cs="Times New Roman"/>
          <w:sz w:val="24"/>
          <w:szCs w:val="24"/>
        </w:rPr>
        <w:t xml:space="preserve">a </w:t>
      </w:r>
      <w:r w:rsidR="00A471F1" w:rsidRPr="005B1C35">
        <w:rPr>
          <w:rFonts w:ascii="Times New Roman" w:hAnsi="Times New Roman" w:cs="Times New Roman"/>
          <w:sz w:val="24"/>
          <w:szCs w:val="24"/>
        </w:rPr>
        <w:t>single-family</w:t>
      </w:r>
      <w:r w:rsidRPr="005B1C35">
        <w:rPr>
          <w:rFonts w:ascii="Times New Roman" w:hAnsi="Times New Roman" w:cs="Times New Roman"/>
          <w:sz w:val="24"/>
          <w:szCs w:val="24"/>
        </w:rPr>
        <w:t xml:space="preserve"> business with two divisions</w:t>
      </w:r>
      <w:r w:rsidR="0005730D" w:rsidRPr="005B1C35">
        <w:rPr>
          <w:rFonts w:ascii="Times New Roman" w:hAnsi="Times New Roman" w:cs="Times New Roman"/>
          <w:sz w:val="24"/>
          <w:szCs w:val="24"/>
        </w:rPr>
        <w:t xml:space="preserve">; Arsenal FC and Arsenal Investment. It has outstanding shares capital of </w:t>
      </w:r>
      <w:r w:rsidR="00D2635D" w:rsidRPr="005B1C35">
        <w:rPr>
          <w:rFonts w:ascii="Times New Roman" w:hAnsi="Times New Roman" w:cs="Times New Roman"/>
          <w:sz w:val="24"/>
          <w:szCs w:val="24"/>
        </w:rPr>
        <w:t>£</w:t>
      </w:r>
      <w:r w:rsidR="00450502" w:rsidRPr="005B1C35">
        <w:rPr>
          <w:rFonts w:ascii="Times New Roman" w:hAnsi="Times New Roman" w:cs="Times New Roman"/>
          <w:sz w:val="24"/>
          <w:szCs w:val="24"/>
        </w:rPr>
        <w:t xml:space="preserve">62 million and debt amounting to </w:t>
      </w:r>
      <w:r w:rsidR="00D2635D" w:rsidRPr="005B1C35">
        <w:rPr>
          <w:rFonts w:ascii="Times New Roman" w:hAnsi="Times New Roman" w:cs="Times New Roman"/>
          <w:sz w:val="24"/>
          <w:szCs w:val="24"/>
        </w:rPr>
        <w:t>£</w:t>
      </w:r>
      <w:r w:rsidR="00081332" w:rsidRPr="005B1C35">
        <w:rPr>
          <w:rFonts w:ascii="Times New Roman" w:hAnsi="Times New Roman" w:cs="Times New Roman"/>
          <w:sz w:val="24"/>
          <w:szCs w:val="24"/>
        </w:rPr>
        <w:t>199,097 million. A look at the gearing ratio indicate</w:t>
      </w:r>
      <w:r w:rsidR="00426230" w:rsidRPr="005B1C35">
        <w:rPr>
          <w:rFonts w:ascii="Times New Roman" w:hAnsi="Times New Roman" w:cs="Times New Roman"/>
          <w:sz w:val="24"/>
          <w:szCs w:val="24"/>
        </w:rPr>
        <w:t>s</w:t>
      </w:r>
      <w:r w:rsidR="00081332" w:rsidRPr="005B1C35">
        <w:rPr>
          <w:rFonts w:ascii="Times New Roman" w:hAnsi="Times New Roman" w:cs="Times New Roman"/>
          <w:sz w:val="24"/>
          <w:szCs w:val="24"/>
        </w:rPr>
        <w:t xml:space="preserve"> that Arsenal is </w:t>
      </w:r>
      <w:r w:rsidR="00A471F1" w:rsidRPr="005B1C35">
        <w:rPr>
          <w:rFonts w:ascii="Times New Roman" w:hAnsi="Times New Roman" w:cs="Times New Roman"/>
          <w:sz w:val="24"/>
          <w:szCs w:val="24"/>
        </w:rPr>
        <w:t xml:space="preserve">highly geared. The Club has </w:t>
      </w:r>
      <w:r w:rsidR="00426230" w:rsidRPr="005B1C35">
        <w:rPr>
          <w:rFonts w:ascii="Times New Roman" w:hAnsi="Times New Roman" w:cs="Times New Roman"/>
          <w:sz w:val="24"/>
          <w:szCs w:val="24"/>
        </w:rPr>
        <w:t>a debt-to-</w:t>
      </w:r>
      <w:r w:rsidR="00A471F1" w:rsidRPr="005B1C35">
        <w:rPr>
          <w:rFonts w:ascii="Times New Roman" w:hAnsi="Times New Roman" w:cs="Times New Roman"/>
          <w:sz w:val="24"/>
          <w:szCs w:val="24"/>
        </w:rPr>
        <w:t>equity ratio of 63.15% in 2020</w:t>
      </w:r>
      <w:r w:rsidR="00426230" w:rsidRPr="005B1C35">
        <w:rPr>
          <w:rFonts w:ascii="Times New Roman" w:hAnsi="Times New Roman" w:cs="Times New Roman"/>
          <w:sz w:val="24"/>
          <w:szCs w:val="24"/>
        </w:rPr>
        <w:t>,</w:t>
      </w:r>
      <w:r w:rsidR="00A471F1" w:rsidRPr="005B1C35">
        <w:rPr>
          <w:rFonts w:ascii="Times New Roman" w:hAnsi="Times New Roman" w:cs="Times New Roman"/>
          <w:sz w:val="24"/>
          <w:szCs w:val="24"/>
        </w:rPr>
        <w:t xml:space="preserve"> which increased to 69.82% in 2021. </w:t>
      </w:r>
      <w:r w:rsidR="001A31FF" w:rsidRPr="005B1C35">
        <w:rPr>
          <w:rFonts w:ascii="Times New Roman" w:hAnsi="Times New Roman" w:cs="Times New Roman"/>
          <w:sz w:val="24"/>
          <w:szCs w:val="24"/>
        </w:rPr>
        <w:t xml:space="preserve">Therefore, the optimum capital structure of Arsenal </w:t>
      </w:r>
      <w:r w:rsidR="002D5E24" w:rsidRPr="005B1C35">
        <w:rPr>
          <w:rFonts w:ascii="Times New Roman" w:hAnsi="Times New Roman" w:cs="Times New Roman"/>
          <w:sz w:val="24"/>
          <w:szCs w:val="24"/>
        </w:rPr>
        <w:t>stands</w:t>
      </w:r>
      <w:r w:rsidR="001A31FF" w:rsidRPr="005B1C35">
        <w:rPr>
          <w:rFonts w:ascii="Times New Roman" w:hAnsi="Times New Roman" w:cs="Times New Roman"/>
          <w:sz w:val="24"/>
          <w:szCs w:val="24"/>
        </w:rPr>
        <w:t xml:space="preserve"> at </w:t>
      </w:r>
      <w:r w:rsidR="002D5E24" w:rsidRPr="005B1C35">
        <w:rPr>
          <w:rFonts w:ascii="Times New Roman" w:hAnsi="Times New Roman" w:cs="Times New Roman"/>
          <w:sz w:val="24"/>
          <w:szCs w:val="24"/>
        </w:rPr>
        <w:t xml:space="preserve">63.15% debt and equity of 36.85%. </w:t>
      </w:r>
      <w:r w:rsidR="00426230" w:rsidRPr="005B1C35">
        <w:rPr>
          <w:rFonts w:ascii="Times New Roman" w:hAnsi="Times New Roman" w:cs="Times New Roman"/>
          <w:sz w:val="24"/>
          <w:szCs w:val="24"/>
        </w:rPr>
        <w:t>The firm's working capital requirement stands</w:t>
      </w:r>
      <w:r w:rsidR="002D5E24" w:rsidRPr="005B1C35">
        <w:rPr>
          <w:rFonts w:ascii="Times New Roman" w:hAnsi="Times New Roman" w:cs="Times New Roman"/>
          <w:sz w:val="24"/>
          <w:szCs w:val="24"/>
        </w:rPr>
        <w:t xml:space="preserve"> at -</w:t>
      </w:r>
      <w:r w:rsidR="00D2635D" w:rsidRPr="005B1C35">
        <w:rPr>
          <w:rFonts w:ascii="Times New Roman" w:hAnsi="Times New Roman" w:cs="Times New Roman"/>
          <w:sz w:val="24"/>
          <w:szCs w:val="24"/>
        </w:rPr>
        <w:t>£</w:t>
      </w:r>
      <w:r w:rsidR="002D5E24" w:rsidRPr="005B1C35">
        <w:rPr>
          <w:rFonts w:ascii="Times New Roman" w:hAnsi="Times New Roman" w:cs="Times New Roman"/>
          <w:sz w:val="24"/>
          <w:szCs w:val="24"/>
        </w:rPr>
        <w:t>132,512</w:t>
      </w:r>
      <w:r w:rsidR="00426230" w:rsidRPr="005B1C35">
        <w:rPr>
          <w:rFonts w:ascii="Times New Roman" w:hAnsi="Times New Roman" w:cs="Times New Roman"/>
          <w:sz w:val="24"/>
          <w:szCs w:val="24"/>
        </w:rPr>
        <w:t>,</w:t>
      </w:r>
      <w:r w:rsidR="002D5E24" w:rsidRPr="005B1C35">
        <w:rPr>
          <w:rFonts w:ascii="Times New Roman" w:hAnsi="Times New Roman" w:cs="Times New Roman"/>
          <w:sz w:val="24"/>
          <w:szCs w:val="24"/>
        </w:rPr>
        <w:t xml:space="preserve"> </w:t>
      </w:r>
      <w:r w:rsidR="00426230" w:rsidRPr="005B1C35">
        <w:rPr>
          <w:rFonts w:ascii="Times New Roman" w:hAnsi="Times New Roman" w:cs="Times New Roman"/>
          <w:sz w:val="24"/>
          <w:szCs w:val="24"/>
        </w:rPr>
        <w:t xml:space="preserve">a </w:t>
      </w:r>
      <w:r w:rsidR="002D5E24" w:rsidRPr="005B1C35">
        <w:rPr>
          <w:rFonts w:ascii="Times New Roman" w:hAnsi="Times New Roman" w:cs="Times New Roman"/>
          <w:sz w:val="24"/>
          <w:szCs w:val="24"/>
        </w:rPr>
        <w:t xml:space="preserve">majorly </w:t>
      </w:r>
      <w:r w:rsidR="00FA6D0F" w:rsidRPr="005B1C35">
        <w:rPr>
          <w:rFonts w:ascii="Times New Roman" w:hAnsi="Times New Roman" w:cs="Times New Roman"/>
          <w:sz w:val="24"/>
          <w:szCs w:val="24"/>
        </w:rPr>
        <w:t xml:space="preserve">acquired </w:t>
      </w:r>
      <w:r w:rsidR="002D5E24" w:rsidRPr="005B1C35">
        <w:rPr>
          <w:rFonts w:ascii="Times New Roman" w:hAnsi="Times New Roman" w:cs="Times New Roman"/>
          <w:sz w:val="24"/>
          <w:szCs w:val="24"/>
        </w:rPr>
        <w:t>bank overdraft.</w:t>
      </w:r>
    </w:p>
    <w:p w14:paraId="3643CB77" w14:textId="0BC13043" w:rsidR="00743898" w:rsidRPr="005B1C35" w:rsidRDefault="005C0E84" w:rsidP="005B1C35">
      <w:pPr>
        <w:pStyle w:val="Heading1"/>
        <w:spacing w:before="0" w:line="480" w:lineRule="auto"/>
        <w:rPr>
          <w:rFonts w:ascii="Times New Roman" w:hAnsi="Times New Roman" w:cs="Times New Roman"/>
          <w:color w:val="auto"/>
          <w:sz w:val="24"/>
          <w:szCs w:val="24"/>
        </w:rPr>
      </w:pPr>
      <w:bookmarkStart w:id="6" w:name="_Toc100628542"/>
      <w:r>
        <w:rPr>
          <w:rFonts w:ascii="Times New Roman" w:hAnsi="Times New Roman" w:cs="Times New Roman"/>
          <w:color w:val="auto"/>
          <w:sz w:val="24"/>
          <w:szCs w:val="24"/>
        </w:rPr>
        <w:t xml:space="preserve">4.0 </w:t>
      </w:r>
      <w:r w:rsidR="00743898" w:rsidRPr="005B1C35">
        <w:rPr>
          <w:rFonts w:ascii="Times New Roman" w:hAnsi="Times New Roman" w:cs="Times New Roman"/>
          <w:color w:val="auto"/>
          <w:sz w:val="24"/>
          <w:szCs w:val="24"/>
        </w:rPr>
        <w:t>Section two: Working Capital Management</w:t>
      </w:r>
      <w:bookmarkEnd w:id="6"/>
    </w:p>
    <w:p w14:paraId="1CD0422D" w14:textId="1DC27BDA" w:rsidR="00761539" w:rsidRPr="005B1C35" w:rsidRDefault="005C0E84" w:rsidP="005B1C35">
      <w:pPr>
        <w:pStyle w:val="Heading2"/>
        <w:spacing w:before="0" w:line="480" w:lineRule="auto"/>
        <w:rPr>
          <w:rFonts w:ascii="Times New Roman" w:hAnsi="Times New Roman" w:cs="Times New Roman"/>
          <w:color w:val="auto"/>
          <w:sz w:val="24"/>
          <w:szCs w:val="24"/>
        </w:rPr>
      </w:pPr>
      <w:bookmarkStart w:id="7" w:name="_Toc100628543"/>
      <w:r>
        <w:rPr>
          <w:rFonts w:ascii="Times New Roman" w:hAnsi="Times New Roman" w:cs="Times New Roman"/>
          <w:color w:val="auto"/>
          <w:sz w:val="24"/>
          <w:szCs w:val="24"/>
        </w:rPr>
        <w:t xml:space="preserve">4.10 </w:t>
      </w:r>
      <w:r w:rsidR="00761539" w:rsidRPr="005B1C35">
        <w:rPr>
          <w:rFonts w:ascii="Times New Roman" w:hAnsi="Times New Roman" w:cs="Times New Roman"/>
          <w:color w:val="auto"/>
          <w:sz w:val="24"/>
          <w:szCs w:val="24"/>
        </w:rPr>
        <w:t>Aggressive and conservative theories</w:t>
      </w:r>
      <w:bookmarkEnd w:id="7"/>
    </w:p>
    <w:p w14:paraId="7C8772CA" w14:textId="2D5DA55B" w:rsidR="00761539" w:rsidRPr="005B1C35" w:rsidRDefault="00D37738"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Aggressive and conservative working capital management theories play</w:t>
      </w:r>
      <w:r w:rsidR="00761539" w:rsidRPr="005B1C35">
        <w:rPr>
          <w:rFonts w:ascii="Times New Roman" w:hAnsi="Times New Roman" w:cs="Times New Roman"/>
          <w:sz w:val="24"/>
          <w:szCs w:val="24"/>
        </w:rPr>
        <w:t xml:space="preserve"> </w:t>
      </w:r>
      <w:r w:rsidR="00426230" w:rsidRPr="005B1C35">
        <w:rPr>
          <w:rFonts w:ascii="Times New Roman" w:hAnsi="Times New Roman" w:cs="Times New Roman"/>
          <w:sz w:val="24"/>
          <w:szCs w:val="24"/>
        </w:rPr>
        <w:t xml:space="preserve">an </w:t>
      </w:r>
      <w:r w:rsidR="00761539" w:rsidRPr="005B1C35">
        <w:rPr>
          <w:rFonts w:ascii="Times New Roman" w:hAnsi="Times New Roman" w:cs="Times New Roman"/>
          <w:sz w:val="24"/>
          <w:szCs w:val="24"/>
        </w:rPr>
        <w:t xml:space="preserve">essential part in </w:t>
      </w:r>
      <w:proofErr w:type="spellStart"/>
      <w:r w:rsidRPr="005B1C35">
        <w:rPr>
          <w:rFonts w:ascii="Times New Roman" w:hAnsi="Times New Roman" w:cs="Times New Roman"/>
          <w:sz w:val="24"/>
          <w:szCs w:val="24"/>
        </w:rPr>
        <w:t>analy</w:t>
      </w:r>
      <w:r w:rsidR="00426230" w:rsidRPr="005B1C35">
        <w:rPr>
          <w:rFonts w:ascii="Times New Roman" w:hAnsi="Times New Roman" w:cs="Times New Roman"/>
          <w:sz w:val="24"/>
          <w:szCs w:val="24"/>
        </w:rPr>
        <w:t>z</w:t>
      </w:r>
      <w:r w:rsidRPr="005B1C35">
        <w:rPr>
          <w:rFonts w:ascii="Times New Roman" w:hAnsi="Times New Roman" w:cs="Times New Roman"/>
          <w:sz w:val="24"/>
          <w:szCs w:val="24"/>
        </w:rPr>
        <w:t>ing</w:t>
      </w:r>
      <w:proofErr w:type="spellEnd"/>
      <w:r w:rsidR="00761539" w:rsidRPr="005B1C35">
        <w:rPr>
          <w:rFonts w:ascii="Times New Roman" w:hAnsi="Times New Roman" w:cs="Times New Roman"/>
          <w:sz w:val="24"/>
          <w:szCs w:val="24"/>
        </w:rPr>
        <w:t xml:space="preserve"> an entity</w:t>
      </w:r>
      <w:r w:rsidR="00426230" w:rsidRPr="005B1C35">
        <w:rPr>
          <w:rFonts w:ascii="Times New Roman" w:hAnsi="Times New Roman" w:cs="Times New Roman"/>
          <w:sz w:val="24"/>
          <w:szCs w:val="24"/>
        </w:rPr>
        <w:t>'s</w:t>
      </w:r>
      <w:r w:rsidR="00761539" w:rsidRPr="005B1C35">
        <w:rPr>
          <w:rFonts w:ascii="Times New Roman" w:hAnsi="Times New Roman" w:cs="Times New Roman"/>
          <w:sz w:val="24"/>
          <w:szCs w:val="24"/>
        </w:rPr>
        <w:t xml:space="preserve"> performance. An aggressive theory </w:t>
      </w:r>
      <w:r w:rsidR="00426230" w:rsidRPr="005B1C35">
        <w:rPr>
          <w:rFonts w:ascii="Times New Roman" w:hAnsi="Times New Roman" w:cs="Times New Roman"/>
          <w:sz w:val="24"/>
          <w:szCs w:val="24"/>
        </w:rPr>
        <w:t>maximizes</w:t>
      </w:r>
      <w:r w:rsidR="00761539" w:rsidRPr="005B1C35">
        <w:rPr>
          <w:rFonts w:ascii="Times New Roman" w:hAnsi="Times New Roman" w:cs="Times New Roman"/>
          <w:sz w:val="24"/>
          <w:szCs w:val="24"/>
        </w:rPr>
        <w:t xml:space="preserve"> expenditure in delivering services, product manufacturing</w:t>
      </w:r>
      <w:r w:rsidR="00426230" w:rsidRPr="005B1C35">
        <w:rPr>
          <w:rFonts w:ascii="Times New Roman" w:hAnsi="Times New Roman" w:cs="Times New Roman"/>
          <w:sz w:val="24"/>
          <w:szCs w:val="24"/>
        </w:rPr>
        <w:t>,</w:t>
      </w:r>
      <w:r w:rsidR="00761539" w:rsidRPr="005B1C35">
        <w:rPr>
          <w:rFonts w:ascii="Times New Roman" w:hAnsi="Times New Roman" w:cs="Times New Roman"/>
          <w:sz w:val="24"/>
          <w:szCs w:val="24"/>
        </w:rPr>
        <w:t xml:space="preserve"> and spending as much inventory supply. Conversely, </w:t>
      </w:r>
      <w:r w:rsidR="00426230" w:rsidRPr="005B1C35">
        <w:rPr>
          <w:rFonts w:ascii="Times New Roman" w:hAnsi="Times New Roman" w:cs="Times New Roman"/>
          <w:sz w:val="24"/>
          <w:szCs w:val="24"/>
        </w:rPr>
        <w:t xml:space="preserve">the </w:t>
      </w:r>
      <w:r w:rsidR="00761539" w:rsidRPr="005B1C35">
        <w:rPr>
          <w:rFonts w:ascii="Times New Roman" w:hAnsi="Times New Roman" w:cs="Times New Roman"/>
          <w:sz w:val="24"/>
          <w:szCs w:val="24"/>
        </w:rPr>
        <w:t xml:space="preserve">conservative theory deals with minimizing expenses </w:t>
      </w:r>
      <w:r w:rsidR="00426230" w:rsidRPr="005B1C35">
        <w:rPr>
          <w:rFonts w:ascii="Times New Roman" w:hAnsi="Times New Roman" w:cs="Times New Roman"/>
          <w:sz w:val="24"/>
          <w:szCs w:val="24"/>
        </w:rPr>
        <w:t>to save</w:t>
      </w:r>
      <w:r w:rsidR="00761539" w:rsidRPr="005B1C35">
        <w:rPr>
          <w:rFonts w:ascii="Times New Roman" w:hAnsi="Times New Roman" w:cs="Times New Roman"/>
          <w:sz w:val="24"/>
          <w:szCs w:val="24"/>
        </w:rPr>
        <w:t xml:space="preserve"> money against </w:t>
      </w:r>
      <w:r w:rsidR="00426230" w:rsidRPr="005B1C35">
        <w:rPr>
          <w:rFonts w:ascii="Times New Roman" w:hAnsi="Times New Roman" w:cs="Times New Roman"/>
          <w:sz w:val="24"/>
          <w:szCs w:val="24"/>
        </w:rPr>
        <w:t xml:space="preserve">the </w:t>
      </w:r>
      <w:r w:rsidR="00761539" w:rsidRPr="005B1C35">
        <w:rPr>
          <w:rFonts w:ascii="Times New Roman" w:hAnsi="Times New Roman" w:cs="Times New Roman"/>
          <w:sz w:val="24"/>
          <w:szCs w:val="24"/>
        </w:rPr>
        <w:t xml:space="preserve">potential risk. Therefore, an </w:t>
      </w:r>
      <w:r w:rsidRPr="005B1C35">
        <w:rPr>
          <w:rFonts w:ascii="Times New Roman" w:hAnsi="Times New Roman" w:cs="Times New Roman"/>
          <w:sz w:val="24"/>
          <w:szCs w:val="24"/>
        </w:rPr>
        <w:t>organization</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s optimal</w:t>
      </w:r>
      <w:r w:rsidR="00761539" w:rsidRPr="005B1C35">
        <w:rPr>
          <w:rFonts w:ascii="Times New Roman" w:hAnsi="Times New Roman" w:cs="Times New Roman"/>
          <w:sz w:val="24"/>
          <w:szCs w:val="24"/>
        </w:rPr>
        <w:t xml:space="preserve"> working capital ranges </w:t>
      </w:r>
      <w:r w:rsidR="00426230" w:rsidRPr="005B1C35">
        <w:rPr>
          <w:rFonts w:ascii="Times New Roman" w:hAnsi="Times New Roman" w:cs="Times New Roman"/>
          <w:sz w:val="24"/>
          <w:szCs w:val="24"/>
        </w:rPr>
        <w:t xml:space="preserve">between </w:t>
      </w:r>
      <w:r w:rsidR="00761539" w:rsidRPr="005B1C35">
        <w:rPr>
          <w:rFonts w:ascii="Times New Roman" w:hAnsi="Times New Roman" w:cs="Times New Roman"/>
          <w:sz w:val="24"/>
          <w:szCs w:val="24"/>
        </w:rPr>
        <w:t>aggressive and conservative approach</w:t>
      </w:r>
      <w:r w:rsidR="00426230" w:rsidRPr="005B1C35">
        <w:rPr>
          <w:rFonts w:ascii="Times New Roman" w:hAnsi="Times New Roman" w:cs="Times New Roman"/>
          <w:sz w:val="24"/>
          <w:szCs w:val="24"/>
        </w:rPr>
        <w:t>es</w:t>
      </w:r>
      <w:r w:rsidR="00761539" w:rsidRPr="005B1C35">
        <w:rPr>
          <w:rFonts w:ascii="Times New Roman" w:hAnsi="Times New Roman" w:cs="Times New Roman"/>
          <w:sz w:val="24"/>
          <w:szCs w:val="24"/>
        </w:rPr>
        <w:t>. In most cases</w:t>
      </w:r>
      <w:r w:rsidR="00426230" w:rsidRPr="005B1C35">
        <w:rPr>
          <w:rFonts w:ascii="Times New Roman" w:hAnsi="Times New Roman" w:cs="Times New Roman"/>
          <w:sz w:val="24"/>
          <w:szCs w:val="24"/>
        </w:rPr>
        <w:t>,</w:t>
      </w:r>
      <w:r w:rsidR="00761539" w:rsidRPr="005B1C35">
        <w:rPr>
          <w:rFonts w:ascii="Times New Roman" w:hAnsi="Times New Roman" w:cs="Times New Roman"/>
          <w:sz w:val="24"/>
          <w:szCs w:val="24"/>
        </w:rPr>
        <w:t xml:space="preserve"> an organization</w:t>
      </w:r>
      <w:r w:rsidR="00426230" w:rsidRPr="005B1C35">
        <w:rPr>
          <w:rFonts w:ascii="Times New Roman" w:hAnsi="Times New Roman" w:cs="Times New Roman"/>
          <w:sz w:val="24"/>
          <w:szCs w:val="24"/>
        </w:rPr>
        <w:t>'s</w:t>
      </w:r>
      <w:r w:rsidR="00761539" w:rsidRPr="005B1C35">
        <w:rPr>
          <w:rFonts w:ascii="Times New Roman" w:hAnsi="Times New Roman" w:cs="Times New Roman"/>
          <w:sz w:val="24"/>
          <w:szCs w:val="24"/>
        </w:rPr>
        <w:t xml:space="preserve"> working capital is calculated by subtracting current liabilities from current assets. </w:t>
      </w:r>
    </w:p>
    <w:p w14:paraId="734BA34B" w14:textId="1951F375" w:rsidR="00761539" w:rsidRPr="005B1C35" w:rsidRDefault="005C0E84" w:rsidP="005B1C35">
      <w:pPr>
        <w:pStyle w:val="Heading2"/>
        <w:spacing w:before="0" w:line="480" w:lineRule="auto"/>
        <w:rPr>
          <w:rFonts w:ascii="Times New Roman" w:hAnsi="Times New Roman" w:cs="Times New Roman"/>
          <w:color w:val="auto"/>
          <w:sz w:val="24"/>
          <w:szCs w:val="24"/>
        </w:rPr>
      </w:pPr>
      <w:bookmarkStart w:id="8" w:name="_Toc100628544"/>
      <w:r>
        <w:rPr>
          <w:rFonts w:ascii="Times New Roman" w:hAnsi="Times New Roman" w:cs="Times New Roman"/>
          <w:color w:val="auto"/>
          <w:sz w:val="24"/>
          <w:szCs w:val="24"/>
        </w:rPr>
        <w:t>4.11</w:t>
      </w:r>
      <w:r w:rsidR="002B1A53" w:rsidRPr="005B1C35">
        <w:rPr>
          <w:rFonts w:ascii="Times New Roman" w:hAnsi="Times New Roman" w:cs="Times New Roman"/>
          <w:color w:val="auto"/>
          <w:sz w:val="24"/>
          <w:szCs w:val="24"/>
        </w:rPr>
        <w:t xml:space="preserve"> </w:t>
      </w:r>
      <w:r w:rsidR="00761539" w:rsidRPr="005B1C35">
        <w:rPr>
          <w:rFonts w:ascii="Times New Roman" w:hAnsi="Times New Roman" w:cs="Times New Roman"/>
          <w:color w:val="auto"/>
          <w:sz w:val="24"/>
          <w:szCs w:val="24"/>
        </w:rPr>
        <w:t>Aggressive Working Capital theory</w:t>
      </w:r>
      <w:bookmarkEnd w:id="8"/>
    </w:p>
    <w:p w14:paraId="37C47473" w14:textId="2E418AFB" w:rsidR="00761539" w:rsidRPr="005B1C35" w:rsidRDefault="00761539"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An aggressive working capital theory focuses on maximizing expenses </w:t>
      </w:r>
      <w:r w:rsidR="00426230" w:rsidRPr="005B1C35">
        <w:rPr>
          <w:rFonts w:ascii="Times New Roman" w:hAnsi="Times New Roman" w:cs="Times New Roman"/>
          <w:sz w:val="24"/>
          <w:szCs w:val="24"/>
        </w:rPr>
        <w:t>to enhance</w:t>
      </w:r>
      <w:r w:rsidRPr="005B1C35">
        <w:rPr>
          <w:rFonts w:ascii="Times New Roman" w:hAnsi="Times New Roman" w:cs="Times New Roman"/>
          <w:sz w:val="24"/>
          <w:szCs w:val="24"/>
        </w:rPr>
        <w:t xml:space="preserve"> </w:t>
      </w:r>
      <w:r w:rsidR="00426230" w:rsidRPr="005B1C35">
        <w:rPr>
          <w:rFonts w:ascii="Times New Roman" w:hAnsi="Times New Roman" w:cs="Times New Roman"/>
          <w:sz w:val="24"/>
          <w:szCs w:val="24"/>
        </w:rPr>
        <w:t>production efficiency</w:t>
      </w:r>
      <w:r w:rsidRPr="005B1C35">
        <w:rPr>
          <w:rFonts w:ascii="Times New Roman" w:hAnsi="Times New Roman" w:cs="Times New Roman"/>
          <w:sz w:val="24"/>
          <w:szCs w:val="24"/>
        </w:rPr>
        <w:t xml:space="preserve">. </w:t>
      </w:r>
      <w:r w:rsidR="00192C57" w:rsidRPr="005B1C35">
        <w:rPr>
          <w:rFonts w:ascii="Times New Roman" w:hAnsi="Times New Roman" w:cs="Times New Roman"/>
          <w:sz w:val="24"/>
          <w:szCs w:val="24"/>
        </w:rPr>
        <w:t>Organizations utilize</w:t>
      </w:r>
      <w:r w:rsidRPr="005B1C35">
        <w:rPr>
          <w:rFonts w:ascii="Times New Roman" w:hAnsi="Times New Roman" w:cs="Times New Roman"/>
          <w:sz w:val="24"/>
          <w:szCs w:val="24"/>
        </w:rPr>
        <w:t xml:space="preserve"> their short</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term credit to maximize production, sales and marketing, and inventory turnover within the shortest time possible. For example, arsenal football club contract</w:t>
      </w:r>
      <w:r w:rsidR="00426230" w:rsidRPr="005B1C35">
        <w:rPr>
          <w:rFonts w:ascii="Times New Roman" w:hAnsi="Times New Roman" w:cs="Times New Roman"/>
          <w:sz w:val="24"/>
          <w:szCs w:val="24"/>
        </w:rPr>
        <w:t>s some players for a short period</w:t>
      </w:r>
      <w:r w:rsidRPr="005B1C35">
        <w:rPr>
          <w:rFonts w:ascii="Times New Roman" w:hAnsi="Times New Roman" w:cs="Times New Roman"/>
          <w:sz w:val="24"/>
          <w:szCs w:val="24"/>
        </w:rPr>
        <w:t xml:space="preserve"> while paying them a lot of money. Since the contract is short, they try to utilize the footballer</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xml:space="preserve"> skills to attain their objectives.  </w:t>
      </w:r>
    </w:p>
    <w:p w14:paraId="06B43187" w14:textId="4959E848" w:rsidR="00761539" w:rsidRPr="005B1C35" w:rsidRDefault="005C0E84" w:rsidP="005B1C35">
      <w:pPr>
        <w:pStyle w:val="Heading2"/>
        <w:spacing w:before="0" w:line="480" w:lineRule="auto"/>
        <w:rPr>
          <w:rFonts w:ascii="Times New Roman" w:hAnsi="Times New Roman" w:cs="Times New Roman"/>
          <w:color w:val="auto"/>
          <w:sz w:val="24"/>
          <w:szCs w:val="24"/>
        </w:rPr>
      </w:pPr>
      <w:bookmarkStart w:id="9" w:name="_Toc100628545"/>
      <w:r>
        <w:rPr>
          <w:rFonts w:ascii="Times New Roman" w:hAnsi="Times New Roman" w:cs="Times New Roman"/>
          <w:color w:val="auto"/>
          <w:sz w:val="24"/>
          <w:szCs w:val="24"/>
        </w:rPr>
        <w:lastRenderedPageBreak/>
        <w:t xml:space="preserve">4.12 </w:t>
      </w:r>
      <w:r w:rsidR="00761539" w:rsidRPr="005B1C35">
        <w:rPr>
          <w:rFonts w:ascii="Times New Roman" w:hAnsi="Times New Roman" w:cs="Times New Roman"/>
          <w:color w:val="auto"/>
          <w:sz w:val="24"/>
          <w:szCs w:val="24"/>
        </w:rPr>
        <w:t>Conservative Working Capital theory</w:t>
      </w:r>
      <w:bookmarkEnd w:id="9"/>
    </w:p>
    <w:p w14:paraId="49DCC20A" w14:textId="1528DCEC" w:rsidR="00761539" w:rsidRPr="005B1C35" w:rsidRDefault="00761539"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The theory focuses on reducing expenses </w:t>
      </w:r>
      <w:r w:rsidR="00426230" w:rsidRPr="005B1C35">
        <w:rPr>
          <w:rFonts w:ascii="Times New Roman" w:hAnsi="Times New Roman" w:cs="Times New Roman"/>
          <w:sz w:val="24"/>
          <w:szCs w:val="24"/>
        </w:rPr>
        <w:t>to manage</w:t>
      </w:r>
      <w:r w:rsidRPr="005B1C35">
        <w:rPr>
          <w:rFonts w:ascii="Times New Roman" w:hAnsi="Times New Roman" w:cs="Times New Roman"/>
          <w:sz w:val="24"/>
          <w:szCs w:val="24"/>
        </w:rPr>
        <w:t xml:space="preserve"> risk. The policy allows an organization to have much capital for its business operations. For example, </w:t>
      </w:r>
      <w:r w:rsidR="00426230" w:rsidRPr="005B1C35">
        <w:rPr>
          <w:rFonts w:ascii="Times New Roman" w:hAnsi="Times New Roman" w:cs="Times New Roman"/>
          <w:sz w:val="24"/>
          <w:szCs w:val="24"/>
        </w:rPr>
        <w:t xml:space="preserve">the </w:t>
      </w:r>
      <w:r w:rsidRPr="005B1C35">
        <w:rPr>
          <w:rFonts w:ascii="Times New Roman" w:hAnsi="Times New Roman" w:cs="Times New Roman"/>
          <w:sz w:val="24"/>
          <w:szCs w:val="24"/>
        </w:rPr>
        <w:t>arsenal club can only replace a player</w:t>
      </w:r>
      <w:r w:rsidR="00426230" w:rsidRPr="005B1C35">
        <w:rPr>
          <w:rFonts w:ascii="Times New Roman" w:hAnsi="Times New Roman" w:cs="Times New Roman"/>
          <w:sz w:val="24"/>
          <w:szCs w:val="24"/>
        </w:rPr>
        <w:t>'s shoes upon ascertaining that the latter needs</w:t>
      </w:r>
      <w:r w:rsidRPr="005B1C35">
        <w:rPr>
          <w:rFonts w:ascii="Times New Roman" w:hAnsi="Times New Roman" w:cs="Times New Roman"/>
          <w:sz w:val="24"/>
          <w:szCs w:val="24"/>
        </w:rPr>
        <w:t xml:space="preserve"> new shoes. They will take the old one</w:t>
      </w:r>
      <w:r w:rsidR="00426230" w:rsidRPr="005B1C35">
        <w:rPr>
          <w:rFonts w:ascii="Times New Roman" w:hAnsi="Times New Roman" w:cs="Times New Roman"/>
          <w:sz w:val="24"/>
          <w:szCs w:val="24"/>
        </w:rPr>
        <w:t>, store it for future use, and</w:t>
      </w:r>
      <w:r w:rsidRPr="005B1C35">
        <w:rPr>
          <w:rFonts w:ascii="Times New Roman" w:hAnsi="Times New Roman" w:cs="Times New Roman"/>
          <w:sz w:val="24"/>
          <w:szCs w:val="24"/>
        </w:rPr>
        <w:t xml:space="preserve"> then give the player a new soccer shoe. </w:t>
      </w:r>
      <w:proofErr w:type="gramStart"/>
      <w:r w:rsidRPr="005B1C35">
        <w:rPr>
          <w:rFonts w:ascii="Times New Roman" w:hAnsi="Times New Roman" w:cs="Times New Roman"/>
          <w:sz w:val="24"/>
          <w:szCs w:val="24"/>
        </w:rPr>
        <w:t>Though an organization m benefit but the policy might not motivate employees.</w:t>
      </w:r>
      <w:proofErr w:type="gramEnd"/>
      <w:r w:rsidRPr="005B1C35">
        <w:rPr>
          <w:rFonts w:ascii="Times New Roman" w:hAnsi="Times New Roman" w:cs="Times New Roman"/>
          <w:sz w:val="24"/>
          <w:szCs w:val="24"/>
        </w:rPr>
        <w:t xml:space="preserve"> </w:t>
      </w:r>
    </w:p>
    <w:p w14:paraId="0248C40D" w14:textId="70FB0F6F" w:rsidR="002B1A53" w:rsidRPr="005B1C35" w:rsidRDefault="005C0E84" w:rsidP="005B1C35">
      <w:pPr>
        <w:spacing w:after="0" w:line="480" w:lineRule="auto"/>
        <w:rPr>
          <w:rFonts w:ascii="Times New Roman" w:hAnsi="Times New Roman" w:cs="Times New Roman"/>
          <w:b/>
          <w:sz w:val="24"/>
          <w:szCs w:val="24"/>
        </w:rPr>
      </w:pPr>
      <w:proofErr w:type="gramStart"/>
      <w:r>
        <w:rPr>
          <w:rFonts w:ascii="Times New Roman" w:hAnsi="Times New Roman" w:cs="Times New Roman"/>
          <w:b/>
          <w:sz w:val="24"/>
          <w:szCs w:val="24"/>
        </w:rPr>
        <w:t xml:space="preserve">4.13 </w:t>
      </w:r>
      <w:r w:rsidR="002B1A53" w:rsidRPr="005B1C35">
        <w:rPr>
          <w:rFonts w:ascii="Times New Roman" w:hAnsi="Times New Roman" w:cs="Times New Roman"/>
          <w:b/>
          <w:sz w:val="24"/>
          <w:szCs w:val="24"/>
        </w:rPr>
        <w:t xml:space="preserve"> </w:t>
      </w:r>
      <w:r w:rsidR="002B1A53" w:rsidRPr="005B1C35">
        <w:rPr>
          <w:rStyle w:val="Heading2Char"/>
          <w:rFonts w:ascii="Times New Roman" w:hAnsi="Times New Roman" w:cs="Times New Roman"/>
          <w:color w:val="auto"/>
          <w:sz w:val="24"/>
          <w:szCs w:val="24"/>
        </w:rPr>
        <w:t>Evaluation</w:t>
      </w:r>
      <w:proofErr w:type="gramEnd"/>
      <w:r w:rsidR="002B1A53" w:rsidRPr="005B1C35">
        <w:rPr>
          <w:rStyle w:val="Heading2Char"/>
          <w:rFonts w:ascii="Times New Roman" w:hAnsi="Times New Roman" w:cs="Times New Roman"/>
          <w:color w:val="auto"/>
          <w:sz w:val="24"/>
          <w:szCs w:val="24"/>
        </w:rPr>
        <w:t xml:space="preserve"> of Liquidity Ratios</w:t>
      </w:r>
    </w:p>
    <w:p w14:paraId="238B0ED7" w14:textId="3C95E716" w:rsidR="002067BA" w:rsidRPr="005B1C35" w:rsidRDefault="00426230"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The c</w:t>
      </w:r>
      <w:r w:rsidR="002067BA" w:rsidRPr="005B1C35">
        <w:rPr>
          <w:rFonts w:ascii="Times New Roman" w:hAnsi="Times New Roman" w:cs="Times New Roman"/>
          <w:sz w:val="24"/>
          <w:szCs w:val="24"/>
        </w:rPr>
        <w:t xml:space="preserve">urrent ratio and liquid ratio are liquidity ratios that measure the </w:t>
      </w:r>
      <w:r w:rsidRPr="005B1C35">
        <w:rPr>
          <w:rFonts w:ascii="Times New Roman" w:hAnsi="Times New Roman" w:cs="Times New Roman"/>
          <w:sz w:val="24"/>
          <w:szCs w:val="24"/>
        </w:rPr>
        <w:t>firm's liquidity or working capital requirement</w:t>
      </w:r>
      <w:r w:rsidR="002067BA" w:rsidRPr="005B1C35">
        <w:rPr>
          <w:rFonts w:ascii="Times New Roman" w:hAnsi="Times New Roman" w:cs="Times New Roman"/>
          <w:sz w:val="24"/>
          <w:szCs w:val="24"/>
        </w:rPr>
        <w:t>. Low current and liquidity ratio</w:t>
      </w:r>
      <w:r w:rsidRPr="005B1C35">
        <w:rPr>
          <w:rFonts w:ascii="Times New Roman" w:hAnsi="Times New Roman" w:cs="Times New Roman"/>
          <w:sz w:val="24"/>
          <w:szCs w:val="24"/>
        </w:rPr>
        <w:t>s</w:t>
      </w:r>
      <w:r w:rsidR="002067BA" w:rsidRPr="005B1C35">
        <w:rPr>
          <w:rFonts w:ascii="Times New Roman" w:hAnsi="Times New Roman" w:cs="Times New Roman"/>
          <w:sz w:val="24"/>
          <w:szCs w:val="24"/>
        </w:rPr>
        <w:t xml:space="preserve"> indicate poor working capital management. </w:t>
      </w:r>
      <w:r w:rsidRPr="005B1C35">
        <w:rPr>
          <w:rFonts w:ascii="Times New Roman" w:hAnsi="Times New Roman" w:cs="Times New Roman"/>
          <w:sz w:val="24"/>
          <w:szCs w:val="24"/>
        </w:rPr>
        <w:t>A h</w:t>
      </w:r>
      <w:r w:rsidR="002067BA" w:rsidRPr="005B1C35">
        <w:rPr>
          <w:rFonts w:ascii="Times New Roman" w:hAnsi="Times New Roman" w:cs="Times New Roman"/>
          <w:sz w:val="24"/>
          <w:szCs w:val="24"/>
        </w:rPr>
        <w:t>igh</w:t>
      </w:r>
      <w:r w:rsidR="00412295" w:rsidRPr="005B1C35">
        <w:rPr>
          <w:rFonts w:ascii="Times New Roman" w:hAnsi="Times New Roman" w:cs="Times New Roman"/>
          <w:sz w:val="24"/>
          <w:szCs w:val="24"/>
        </w:rPr>
        <w:t xml:space="preserve"> liquidity ratio is good for the firm because it shows that </w:t>
      </w:r>
      <w:r w:rsidRPr="005B1C35">
        <w:rPr>
          <w:rFonts w:ascii="Times New Roman" w:hAnsi="Times New Roman" w:cs="Times New Roman"/>
          <w:sz w:val="24"/>
          <w:szCs w:val="24"/>
        </w:rPr>
        <w:t>it</w:t>
      </w:r>
      <w:r w:rsidR="00412295" w:rsidRPr="005B1C35">
        <w:rPr>
          <w:rFonts w:ascii="Times New Roman" w:hAnsi="Times New Roman" w:cs="Times New Roman"/>
          <w:sz w:val="24"/>
          <w:szCs w:val="24"/>
        </w:rPr>
        <w:t xml:space="preserve"> has enough working capital to fund operations. </w:t>
      </w:r>
      <w:r w:rsidR="00D21A6D" w:rsidRPr="005B1C35">
        <w:rPr>
          <w:rFonts w:ascii="Times New Roman" w:hAnsi="Times New Roman" w:cs="Times New Roman"/>
          <w:sz w:val="24"/>
          <w:szCs w:val="24"/>
        </w:rPr>
        <w:t xml:space="preserve">The current ratio for Arsenal Holding Plc reduced from 0.89 </w:t>
      </w:r>
      <w:r w:rsidR="00574EE5" w:rsidRPr="005B1C35">
        <w:rPr>
          <w:rFonts w:ascii="Times New Roman" w:hAnsi="Times New Roman" w:cs="Times New Roman"/>
          <w:sz w:val="24"/>
          <w:szCs w:val="24"/>
        </w:rPr>
        <w:t xml:space="preserve">in 2020 </w:t>
      </w:r>
      <w:r w:rsidR="00D21A6D" w:rsidRPr="005B1C35">
        <w:rPr>
          <w:rFonts w:ascii="Times New Roman" w:hAnsi="Times New Roman" w:cs="Times New Roman"/>
          <w:sz w:val="24"/>
          <w:szCs w:val="24"/>
        </w:rPr>
        <w:t>to 0.40 in 2021</w:t>
      </w:r>
      <w:r w:rsidRPr="005B1C35">
        <w:rPr>
          <w:rFonts w:ascii="Times New Roman" w:hAnsi="Times New Roman" w:cs="Times New Roman"/>
          <w:sz w:val="24"/>
          <w:szCs w:val="24"/>
        </w:rPr>
        <w:t>,</w:t>
      </w:r>
      <w:r w:rsidR="00574EE5" w:rsidRPr="005B1C35">
        <w:rPr>
          <w:rFonts w:ascii="Times New Roman" w:hAnsi="Times New Roman" w:cs="Times New Roman"/>
          <w:sz w:val="24"/>
          <w:szCs w:val="24"/>
        </w:rPr>
        <w:t xml:space="preserve"> indicating that the firm is struggling to manage working capital. Likewise, the liquid ratio reduced from 0.73 in 2020 to 0.30 in 2021. </w:t>
      </w:r>
      <w:r w:rsidRPr="005B1C35">
        <w:rPr>
          <w:rFonts w:ascii="Times New Roman" w:hAnsi="Times New Roman" w:cs="Times New Roman"/>
          <w:sz w:val="24"/>
          <w:szCs w:val="24"/>
        </w:rPr>
        <w:t>Low revenues necessitated reduced working capital</w:t>
      </w:r>
      <w:r w:rsidR="00574EE5" w:rsidRPr="005B1C35">
        <w:rPr>
          <w:rFonts w:ascii="Times New Roman" w:hAnsi="Times New Roman" w:cs="Times New Roman"/>
          <w:sz w:val="24"/>
          <w:szCs w:val="24"/>
        </w:rPr>
        <w:t xml:space="preserve"> due to lack of champion league football, loss </w:t>
      </w:r>
      <w:r w:rsidRPr="005B1C35">
        <w:rPr>
          <w:rFonts w:ascii="Times New Roman" w:hAnsi="Times New Roman" w:cs="Times New Roman"/>
          <w:sz w:val="24"/>
          <w:szCs w:val="24"/>
        </w:rPr>
        <w:t xml:space="preserve">of </w:t>
      </w:r>
      <w:r w:rsidR="00574EE5" w:rsidRPr="005B1C35">
        <w:rPr>
          <w:rFonts w:ascii="Times New Roman" w:hAnsi="Times New Roman" w:cs="Times New Roman"/>
          <w:sz w:val="24"/>
          <w:szCs w:val="24"/>
        </w:rPr>
        <w:t xml:space="preserve">revenues due to low match day ticket sales, low shirt sales, and high players and staff </w:t>
      </w:r>
      <w:r w:rsidR="00192C57" w:rsidRPr="005B1C35">
        <w:rPr>
          <w:rFonts w:ascii="Times New Roman" w:hAnsi="Times New Roman" w:cs="Times New Roman"/>
          <w:sz w:val="24"/>
          <w:szCs w:val="24"/>
        </w:rPr>
        <w:t>salaries.</w:t>
      </w:r>
      <w:r w:rsidR="00574EE5" w:rsidRPr="005B1C35">
        <w:rPr>
          <w:rFonts w:ascii="Times New Roman" w:hAnsi="Times New Roman" w:cs="Times New Roman"/>
          <w:sz w:val="24"/>
          <w:szCs w:val="24"/>
        </w:rPr>
        <w:t xml:space="preserve"> </w:t>
      </w:r>
      <w:r w:rsidR="00192C57" w:rsidRPr="005B1C35">
        <w:rPr>
          <w:rFonts w:ascii="Times New Roman" w:hAnsi="Times New Roman" w:cs="Times New Roman"/>
          <w:sz w:val="24"/>
          <w:szCs w:val="24"/>
        </w:rPr>
        <w:t>Most football clubs appl</w:t>
      </w:r>
      <w:r w:rsidRPr="005B1C35">
        <w:rPr>
          <w:rFonts w:ascii="Times New Roman" w:hAnsi="Times New Roman" w:cs="Times New Roman"/>
          <w:sz w:val="24"/>
          <w:szCs w:val="24"/>
        </w:rPr>
        <w:t>y aggressive working capital theory for working capital management because much is expected in returns by incurring high cost</w:t>
      </w:r>
      <w:r w:rsidR="00192C57" w:rsidRPr="005B1C35">
        <w:rPr>
          <w:rFonts w:ascii="Times New Roman" w:hAnsi="Times New Roman" w:cs="Times New Roman"/>
          <w:sz w:val="24"/>
          <w:szCs w:val="24"/>
        </w:rPr>
        <w:t>s.</w:t>
      </w:r>
    </w:p>
    <w:p w14:paraId="28C51A62" w14:textId="6A8BFDC6" w:rsidR="00743898" w:rsidRPr="005B1C35" w:rsidRDefault="005C0E84" w:rsidP="005B1C35">
      <w:pPr>
        <w:pStyle w:val="Heading1"/>
        <w:spacing w:before="0" w:line="480" w:lineRule="auto"/>
        <w:rPr>
          <w:rFonts w:ascii="Times New Roman" w:hAnsi="Times New Roman" w:cs="Times New Roman"/>
          <w:color w:val="auto"/>
          <w:sz w:val="24"/>
          <w:szCs w:val="24"/>
        </w:rPr>
      </w:pPr>
      <w:bookmarkStart w:id="10" w:name="_Toc100628546"/>
      <w:r>
        <w:rPr>
          <w:rFonts w:ascii="Times New Roman" w:hAnsi="Times New Roman" w:cs="Times New Roman"/>
          <w:color w:val="auto"/>
          <w:sz w:val="24"/>
          <w:szCs w:val="24"/>
        </w:rPr>
        <w:t xml:space="preserve">5.0 </w:t>
      </w:r>
      <w:r w:rsidR="00743898" w:rsidRPr="005B1C35">
        <w:rPr>
          <w:rFonts w:ascii="Times New Roman" w:hAnsi="Times New Roman" w:cs="Times New Roman"/>
          <w:color w:val="auto"/>
          <w:sz w:val="24"/>
          <w:szCs w:val="24"/>
        </w:rPr>
        <w:t>Section Three: Dividend policy</w:t>
      </w:r>
      <w:bookmarkEnd w:id="10"/>
    </w:p>
    <w:p w14:paraId="76E3B5AB" w14:textId="5880CEF5" w:rsidR="00CB08D8" w:rsidRPr="005B1C35" w:rsidRDefault="005C0E84" w:rsidP="005B1C35">
      <w:pPr>
        <w:pStyle w:val="Heading2"/>
        <w:spacing w:before="0" w:line="480" w:lineRule="auto"/>
        <w:rPr>
          <w:rFonts w:ascii="Times New Roman" w:hAnsi="Times New Roman" w:cs="Times New Roman"/>
          <w:color w:val="auto"/>
          <w:sz w:val="24"/>
          <w:szCs w:val="24"/>
        </w:rPr>
      </w:pPr>
      <w:bookmarkStart w:id="11" w:name="_Toc100628547"/>
      <w:r>
        <w:rPr>
          <w:rFonts w:ascii="Times New Roman" w:hAnsi="Times New Roman" w:cs="Times New Roman"/>
          <w:color w:val="auto"/>
          <w:sz w:val="24"/>
          <w:szCs w:val="24"/>
        </w:rPr>
        <w:t>5.10</w:t>
      </w:r>
      <w:r w:rsidR="00A904EC" w:rsidRPr="005B1C35">
        <w:rPr>
          <w:rFonts w:ascii="Times New Roman" w:hAnsi="Times New Roman" w:cs="Times New Roman"/>
          <w:color w:val="auto"/>
          <w:sz w:val="24"/>
          <w:szCs w:val="24"/>
        </w:rPr>
        <w:t xml:space="preserve"> </w:t>
      </w:r>
      <w:r w:rsidR="00CB08D8" w:rsidRPr="005B1C35">
        <w:rPr>
          <w:rFonts w:ascii="Times New Roman" w:hAnsi="Times New Roman" w:cs="Times New Roman"/>
          <w:color w:val="auto"/>
          <w:sz w:val="24"/>
          <w:szCs w:val="24"/>
        </w:rPr>
        <w:t>Dividend Irrelevance Theory</w:t>
      </w:r>
      <w:bookmarkEnd w:id="11"/>
      <w:r w:rsidR="00CB08D8" w:rsidRPr="005B1C35">
        <w:rPr>
          <w:rFonts w:ascii="Times New Roman" w:hAnsi="Times New Roman" w:cs="Times New Roman"/>
          <w:color w:val="auto"/>
          <w:sz w:val="24"/>
          <w:szCs w:val="24"/>
        </w:rPr>
        <w:t xml:space="preserve"> </w:t>
      </w:r>
    </w:p>
    <w:p w14:paraId="18BD5EA1" w14:textId="69FD75EE" w:rsidR="00CB08D8" w:rsidRPr="005B1C35" w:rsidRDefault="00CB08D8" w:rsidP="005B1C35">
      <w:pPr>
        <w:spacing w:after="0" w:line="480" w:lineRule="auto"/>
        <w:outlineLvl w:val="1"/>
        <w:rPr>
          <w:rFonts w:ascii="Times New Roman" w:hAnsi="Times New Roman" w:cs="Times New Roman"/>
          <w:sz w:val="24"/>
          <w:szCs w:val="24"/>
        </w:rPr>
      </w:pPr>
      <w:bookmarkStart w:id="12" w:name="_Toc100628548"/>
      <w:r w:rsidRPr="005B1C35">
        <w:rPr>
          <w:rFonts w:ascii="Times New Roman" w:hAnsi="Times New Roman" w:cs="Times New Roman"/>
          <w:sz w:val="24"/>
          <w:szCs w:val="24"/>
        </w:rPr>
        <w:t>Dividend irrelevance policy highlight that dividend do</w:t>
      </w:r>
      <w:r w:rsidR="00426230" w:rsidRPr="005B1C35">
        <w:rPr>
          <w:rFonts w:ascii="Times New Roman" w:hAnsi="Times New Roman" w:cs="Times New Roman"/>
          <w:sz w:val="24"/>
          <w:szCs w:val="24"/>
        </w:rPr>
        <w:t>es</w:t>
      </w:r>
      <w:r w:rsidRPr="005B1C35">
        <w:rPr>
          <w:rFonts w:ascii="Times New Roman" w:hAnsi="Times New Roman" w:cs="Times New Roman"/>
          <w:sz w:val="24"/>
          <w:szCs w:val="24"/>
        </w:rPr>
        <w:t>n</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t affect a company's stock price. The theory view</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xml:space="preserve"> dividends can only affect an entity in</w:t>
      </w:r>
      <w:r w:rsidR="00426230" w:rsidRPr="005B1C35">
        <w:rPr>
          <w:rFonts w:ascii="Times New Roman" w:hAnsi="Times New Roman" w:cs="Times New Roman"/>
          <w:sz w:val="24"/>
          <w:szCs w:val="24"/>
        </w:rPr>
        <w:t xml:space="preserve"> the</w:t>
      </w:r>
      <w:r w:rsidRPr="005B1C35">
        <w:rPr>
          <w:rFonts w:ascii="Times New Roman" w:hAnsi="Times New Roman" w:cs="Times New Roman"/>
          <w:sz w:val="24"/>
          <w:szCs w:val="24"/>
        </w:rPr>
        <w:t xml:space="preserve"> long term rather than </w:t>
      </w:r>
      <w:r w:rsidR="00426230" w:rsidRPr="005B1C35">
        <w:rPr>
          <w:rFonts w:ascii="Times New Roman" w:hAnsi="Times New Roman" w:cs="Times New Roman"/>
          <w:sz w:val="24"/>
          <w:szCs w:val="24"/>
        </w:rPr>
        <w:t xml:space="preserve">the </w:t>
      </w:r>
      <w:r w:rsidRPr="005B1C35">
        <w:rPr>
          <w:rFonts w:ascii="Times New Roman" w:hAnsi="Times New Roman" w:cs="Times New Roman"/>
          <w:sz w:val="24"/>
          <w:szCs w:val="24"/>
        </w:rPr>
        <w:t>short term. Therefore, its competiti</w:t>
      </w:r>
      <w:r w:rsidR="00426230" w:rsidRPr="005B1C35">
        <w:rPr>
          <w:rFonts w:ascii="Times New Roman" w:hAnsi="Times New Roman" w:cs="Times New Roman"/>
          <w:sz w:val="24"/>
          <w:szCs w:val="24"/>
        </w:rPr>
        <w:t>ve</w:t>
      </w:r>
      <w:r w:rsidRPr="005B1C35">
        <w:rPr>
          <w:rFonts w:ascii="Times New Roman" w:hAnsi="Times New Roman" w:cs="Times New Roman"/>
          <w:sz w:val="24"/>
          <w:szCs w:val="24"/>
        </w:rPr>
        <w:t xml:space="preserve"> ability can be felt </w:t>
      </w:r>
      <w:r w:rsidR="00426230" w:rsidRPr="005B1C35">
        <w:rPr>
          <w:rFonts w:ascii="Times New Roman" w:hAnsi="Times New Roman" w:cs="Times New Roman"/>
          <w:sz w:val="24"/>
          <w:szCs w:val="24"/>
        </w:rPr>
        <w:t>from</w:t>
      </w:r>
      <w:r w:rsidRPr="005B1C35">
        <w:rPr>
          <w:rFonts w:ascii="Times New Roman" w:hAnsi="Times New Roman" w:cs="Times New Roman"/>
          <w:sz w:val="24"/>
          <w:szCs w:val="24"/>
        </w:rPr>
        <w:t xml:space="preserve"> </w:t>
      </w:r>
      <w:r w:rsidR="00426230" w:rsidRPr="005B1C35">
        <w:rPr>
          <w:rFonts w:ascii="Times New Roman" w:hAnsi="Times New Roman" w:cs="Times New Roman"/>
          <w:sz w:val="24"/>
          <w:szCs w:val="24"/>
        </w:rPr>
        <w:t xml:space="preserve">a </w:t>
      </w:r>
      <w:r w:rsidRPr="005B1C35">
        <w:rPr>
          <w:rFonts w:ascii="Times New Roman" w:hAnsi="Times New Roman" w:cs="Times New Roman"/>
          <w:sz w:val="24"/>
          <w:szCs w:val="24"/>
        </w:rPr>
        <w:t>long</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term perspective. The </w:t>
      </w:r>
      <w:r w:rsidR="00F22A13" w:rsidRPr="005B1C35">
        <w:rPr>
          <w:rFonts w:ascii="Times New Roman" w:hAnsi="Times New Roman" w:cs="Times New Roman"/>
          <w:sz w:val="24"/>
          <w:szCs w:val="24"/>
        </w:rPr>
        <w:t>organizations tend</w:t>
      </w:r>
      <w:r w:rsidRPr="005B1C35">
        <w:rPr>
          <w:rFonts w:ascii="Times New Roman" w:hAnsi="Times New Roman" w:cs="Times New Roman"/>
          <w:sz w:val="24"/>
          <w:szCs w:val="24"/>
        </w:rPr>
        <w:t xml:space="preserve"> to reinvest the money to boost their earnings. </w:t>
      </w:r>
      <w:proofErr w:type="spellStart"/>
      <w:r w:rsidR="00A2719C" w:rsidRPr="005B1C35">
        <w:rPr>
          <w:rFonts w:ascii="Times New Roman" w:hAnsi="Times New Roman" w:cs="Times New Roman"/>
          <w:sz w:val="24"/>
          <w:szCs w:val="24"/>
          <w:shd w:val="clear" w:color="auto" w:fill="FFFFFF"/>
        </w:rPr>
        <w:t>Jabbouri</w:t>
      </w:r>
      <w:proofErr w:type="spellEnd"/>
      <w:r w:rsidR="00A2719C" w:rsidRPr="005B1C35">
        <w:rPr>
          <w:rFonts w:ascii="Times New Roman" w:hAnsi="Times New Roman" w:cs="Times New Roman"/>
          <w:sz w:val="24"/>
          <w:szCs w:val="24"/>
          <w:shd w:val="clear" w:color="auto" w:fill="FFFFFF"/>
        </w:rPr>
        <w:t xml:space="preserve"> &amp; Attar </w:t>
      </w:r>
      <w:r w:rsidR="00A35CE9" w:rsidRPr="005B1C35">
        <w:rPr>
          <w:rFonts w:ascii="Times New Roman" w:hAnsi="Times New Roman" w:cs="Times New Roman"/>
          <w:sz w:val="24"/>
          <w:szCs w:val="24"/>
          <w:shd w:val="clear" w:color="auto" w:fill="FFFFFF"/>
        </w:rPr>
        <w:t>(2018) believe when</w:t>
      </w:r>
      <w:r w:rsidRPr="005B1C35">
        <w:rPr>
          <w:rFonts w:ascii="Times New Roman" w:hAnsi="Times New Roman" w:cs="Times New Roman"/>
          <w:sz w:val="24"/>
          <w:szCs w:val="24"/>
        </w:rPr>
        <w:t xml:space="preserve"> an organization declares its dividend payments and issue</w:t>
      </w:r>
      <w:r w:rsidR="00426230" w:rsidRPr="005B1C35">
        <w:rPr>
          <w:rFonts w:ascii="Times New Roman" w:hAnsi="Times New Roman" w:cs="Times New Roman"/>
          <w:sz w:val="24"/>
          <w:szCs w:val="24"/>
        </w:rPr>
        <w:t xml:space="preserve">s them to the </w:t>
      </w:r>
      <w:proofErr w:type="gramStart"/>
      <w:r w:rsidR="00426230" w:rsidRPr="005B1C35">
        <w:rPr>
          <w:rFonts w:ascii="Times New Roman" w:hAnsi="Times New Roman" w:cs="Times New Roman"/>
          <w:sz w:val="24"/>
          <w:szCs w:val="24"/>
        </w:rPr>
        <w:t>shareholders,</w:t>
      </w:r>
      <w:proofErr w:type="gramEnd"/>
      <w:r w:rsidR="00426230" w:rsidRPr="005B1C35">
        <w:rPr>
          <w:rFonts w:ascii="Times New Roman" w:hAnsi="Times New Roman" w:cs="Times New Roman"/>
          <w:sz w:val="24"/>
          <w:szCs w:val="24"/>
        </w:rPr>
        <w:t xml:space="preserve"> it should not affect</w:t>
      </w:r>
      <w:r w:rsidRPr="005B1C35">
        <w:rPr>
          <w:rFonts w:ascii="Times New Roman" w:hAnsi="Times New Roman" w:cs="Times New Roman"/>
          <w:sz w:val="24"/>
          <w:szCs w:val="24"/>
        </w:rPr>
        <w:t xml:space="preserve"> the stock price. The </w:t>
      </w:r>
      <w:proofErr w:type="gramStart"/>
      <w:r w:rsidRPr="005B1C35">
        <w:rPr>
          <w:rFonts w:ascii="Times New Roman" w:hAnsi="Times New Roman" w:cs="Times New Roman"/>
          <w:sz w:val="24"/>
          <w:szCs w:val="24"/>
        </w:rPr>
        <w:t>theory postulate</w:t>
      </w:r>
      <w:proofErr w:type="gramEnd"/>
      <w:r w:rsidRPr="005B1C35">
        <w:rPr>
          <w:rFonts w:ascii="Times New Roman" w:hAnsi="Times New Roman" w:cs="Times New Roman"/>
          <w:sz w:val="24"/>
          <w:szCs w:val="24"/>
        </w:rPr>
        <w:t xml:space="preserve"> that an organization</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xml:space="preserve"> </w:t>
      </w:r>
      <w:r w:rsidRPr="005B1C35">
        <w:rPr>
          <w:rFonts w:ascii="Times New Roman" w:hAnsi="Times New Roman" w:cs="Times New Roman"/>
          <w:sz w:val="24"/>
          <w:szCs w:val="24"/>
        </w:rPr>
        <w:lastRenderedPageBreak/>
        <w:t>ability to grow and earn</w:t>
      </w:r>
      <w:r w:rsidR="00F22A13" w:rsidRPr="005B1C35">
        <w:rPr>
          <w:rFonts w:ascii="Times New Roman" w:hAnsi="Times New Roman" w:cs="Times New Roman"/>
          <w:sz w:val="24"/>
          <w:szCs w:val="24"/>
        </w:rPr>
        <w:t xml:space="preserve"> a profit depends on its market</w:t>
      </w:r>
      <w:r w:rsidRPr="005B1C35">
        <w:rPr>
          <w:rFonts w:ascii="Times New Roman" w:hAnsi="Times New Roman" w:cs="Times New Roman"/>
          <w:sz w:val="24"/>
          <w:szCs w:val="24"/>
        </w:rPr>
        <w:t xml:space="preserve"> value which determines the stock price. Therefore, individuals who believe in the theory </w:t>
      </w:r>
      <w:r w:rsidR="00F22A13" w:rsidRPr="005B1C35">
        <w:rPr>
          <w:rFonts w:ascii="Times New Roman" w:hAnsi="Times New Roman" w:cs="Times New Roman"/>
          <w:sz w:val="24"/>
          <w:szCs w:val="24"/>
        </w:rPr>
        <w:t>argue</w:t>
      </w:r>
      <w:r w:rsidRPr="005B1C35">
        <w:rPr>
          <w:rFonts w:ascii="Times New Roman" w:hAnsi="Times New Roman" w:cs="Times New Roman"/>
          <w:sz w:val="24"/>
          <w:szCs w:val="24"/>
        </w:rPr>
        <w:t xml:space="preserve"> that </w:t>
      </w:r>
      <w:r w:rsidR="00F22A13" w:rsidRPr="005B1C35">
        <w:rPr>
          <w:rFonts w:ascii="Times New Roman" w:hAnsi="Times New Roman" w:cs="Times New Roman"/>
          <w:sz w:val="24"/>
          <w:szCs w:val="24"/>
        </w:rPr>
        <w:t>dividends do</w:t>
      </w:r>
      <w:r w:rsidRPr="005B1C35">
        <w:rPr>
          <w:rFonts w:ascii="Times New Roman" w:hAnsi="Times New Roman" w:cs="Times New Roman"/>
          <w:sz w:val="24"/>
          <w:szCs w:val="24"/>
        </w:rPr>
        <w:t xml:space="preserve"> not benefit investors but the company.</w:t>
      </w:r>
      <w:bookmarkEnd w:id="12"/>
    </w:p>
    <w:p w14:paraId="33E4038E" w14:textId="5392CCC0" w:rsidR="00CB08D8" w:rsidRPr="005B1C35" w:rsidRDefault="008F22FB" w:rsidP="005B1C35">
      <w:pPr>
        <w:pStyle w:val="Heading2"/>
        <w:spacing w:before="0" w:line="480" w:lineRule="auto"/>
        <w:rPr>
          <w:rFonts w:ascii="Times New Roman" w:hAnsi="Times New Roman" w:cs="Times New Roman"/>
          <w:color w:val="auto"/>
          <w:sz w:val="24"/>
          <w:szCs w:val="24"/>
        </w:rPr>
      </w:pPr>
      <w:bookmarkStart w:id="13" w:name="_Toc100628549"/>
      <w:r>
        <w:rPr>
          <w:rFonts w:ascii="Times New Roman" w:hAnsi="Times New Roman" w:cs="Times New Roman"/>
          <w:color w:val="auto"/>
          <w:sz w:val="24"/>
          <w:szCs w:val="24"/>
        </w:rPr>
        <w:t xml:space="preserve">5.11 </w:t>
      </w:r>
      <w:r w:rsidR="00CB08D8" w:rsidRPr="005B1C35">
        <w:rPr>
          <w:rFonts w:ascii="Times New Roman" w:hAnsi="Times New Roman" w:cs="Times New Roman"/>
          <w:color w:val="auto"/>
          <w:sz w:val="24"/>
          <w:szCs w:val="24"/>
        </w:rPr>
        <w:t>Dividend Clientele Theory</w:t>
      </w:r>
      <w:bookmarkEnd w:id="13"/>
    </w:p>
    <w:p w14:paraId="4D6939D9" w14:textId="56270366" w:rsidR="00CB08D8" w:rsidRPr="005B1C35" w:rsidRDefault="00CB08D8"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Dividend clientele deals </w:t>
      </w:r>
      <w:r w:rsidR="00F22A13" w:rsidRPr="005B1C35">
        <w:rPr>
          <w:rFonts w:ascii="Times New Roman" w:hAnsi="Times New Roman" w:cs="Times New Roman"/>
          <w:sz w:val="24"/>
          <w:szCs w:val="24"/>
        </w:rPr>
        <w:t>with a</w:t>
      </w:r>
      <w:r w:rsidRPr="005B1C35">
        <w:rPr>
          <w:rFonts w:ascii="Times New Roman" w:hAnsi="Times New Roman" w:cs="Times New Roman"/>
          <w:sz w:val="24"/>
          <w:szCs w:val="24"/>
        </w:rPr>
        <w:t xml:space="preserve"> company</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s stockholders</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 view on determining the dividend policy. Therefore, the stakeholders propose </w:t>
      </w:r>
      <w:r w:rsidR="00426230" w:rsidRPr="005B1C35">
        <w:rPr>
          <w:rFonts w:ascii="Times New Roman" w:hAnsi="Times New Roman" w:cs="Times New Roman"/>
          <w:sz w:val="24"/>
          <w:szCs w:val="24"/>
        </w:rPr>
        <w:t xml:space="preserve">a </w:t>
      </w:r>
      <w:r w:rsidRPr="005B1C35">
        <w:rPr>
          <w:rFonts w:ascii="Times New Roman" w:hAnsi="Times New Roman" w:cs="Times New Roman"/>
          <w:sz w:val="24"/>
          <w:szCs w:val="24"/>
        </w:rPr>
        <w:t xml:space="preserve">dividend </w:t>
      </w:r>
      <w:proofErr w:type="spellStart"/>
      <w:r w:rsidR="00F22A13" w:rsidRPr="005B1C35">
        <w:rPr>
          <w:rFonts w:ascii="Times New Roman" w:hAnsi="Times New Roman" w:cs="Times New Roman"/>
          <w:sz w:val="24"/>
          <w:szCs w:val="24"/>
        </w:rPr>
        <w:t>payout</w:t>
      </w:r>
      <w:proofErr w:type="spellEnd"/>
      <w:r w:rsidRPr="005B1C35">
        <w:rPr>
          <w:rFonts w:ascii="Times New Roman" w:hAnsi="Times New Roman" w:cs="Times New Roman"/>
          <w:sz w:val="24"/>
          <w:szCs w:val="24"/>
        </w:rPr>
        <w:t xml:space="preserve"> ratio based on their age, income level, and personal income tax. In this case, dividend clientele</w:t>
      </w:r>
      <w:r w:rsidR="00426230" w:rsidRPr="005B1C35">
        <w:rPr>
          <w:rFonts w:ascii="Times New Roman" w:hAnsi="Times New Roman" w:cs="Times New Roman"/>
          <w:sz w:val="24"/>
          <w:szCs w:val="24"/>
        </w:rPr>
        <w:t>'</w:t>
      </w:r>
      <w:r w:rsidRPr="005B1C35">
        <w:rPr>
          <w:rFonts w:ascii="Times New Roman" w:hAnsi="Times New Roman" w:cs="Times New Roman"/>
          <w:sz w:val="24"/>
          <w:szCs w:val="24"/>
        </w:rPr>
        <w:t>s shareholders can decide the amount a company will issue as dividends. These individual</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xml:space="preserve"> invest in companies that reputation on dividend-distribution policies that push for their interest. </w:t>
      </w:r>
    </w:p>
    <w:p w14:paraId="58DD1CD0" w14:textId="023FC0F3" w:rsidR="00CB08D8" w:rsidRPr="005B1C35" w:rsidRDefault="00A904EC" w:rsidP="005B1C35">
      <w:pPr>
        <w:pStyle w:val="Heading2"/>
        <w:spacing w:before="0" w:line="480" w:lineRule="auto"/>
        <w:rPr>
          <w:rFonts w:ascii="Times New Roman" w:hAnsi="Times New Roman" w:cs="Times New Roman"/>
          <w:color w:val="auto"/>
          <w:sz w:val="24"/>
          <w:szCs w:val="24"/>
        </w:rPr>
      </w:pPr>
      <w:bookmarkStart w:id="14" w:name="_Toc100628550"/>
      <w:r w:rsidRPr="005B1C35">
        <w:rPr>
          <w:rFonts w:ascii="Times New Roman" w:hAnsi="Times New Roman" w:cs="Times New Roman"/>
          <w:color w:val="auto"/>
          <w:sz w:val="24"/>
          <w:szCs w:val="24"/>
        </w:rPr>
        <w:t xml:space="preserve">4.12 </w:t>
      </w:r>
      <w:r w:rsidR="00CB08D8" w:rsidRPr="005B1C35">
        <w:rPr>
          <w:rFonts w:ascii="Times New Roman" w:hAnsi="Times New Roman" w:cs="Times New Roman"/>
          <w:color w:val="auto"/>
          <w:sz w:val="24"/>
          <w:szCs w:val="24"/>
        </w:rPr>
        <w:t>Bird in Hand Theory</w:t>
      </w:r>
      <w:bookmarkEnd w:id="14"/>
    </w:p>
    <w:p w14:paraId="57F95561" w14:textId="77777777" w:rsidR="008F22FB" w:rsidRDefault="00CB08D8" w:rsidP="008F22FB">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The bird in hand theory highlights that </w:t>
      </w:r>
      <w:r w:rsidR="00FA6D0F" w:rsidRPr="005B1C35">
        <w:rPr>
          <w:rFonts w:ascii="Times New Roman" w:hAnsi="Times New Roman" w:cs="Times New Roman"/>
          <w:sz w:val="24"/>
          <w:szCs w:val="24"/>
        </w:rPr>
        <w:t>investors tend</w:t>
      </w:r>
      <w:r w:rsidRPr="005B1C35">
        <w:rPr>
          <w:rFonts w:ascii="Times New Roman" w:hAnsi="Times New Roman" w:cs="Times New Roman"/>
          <w:sz w:val="24"/>
          <w:szCs w:val="24"/>
        </w:rPr>
        <w:t xml:space="preserve"> to work with stock investing dividends than potential capital gains</w:t>
      </w:r>
      <w:r w:rsidR="00AE778B" w:rsidRPr="005B1C35">
        <w:rPr>
          <w:rFonts w:ascii="Times New Roman" w:hAnsi="Times New Roman" w:cs="Times New Roman"/>
          <w:sz w:val="24"/>
          <w:szCs w:val="24"/>
        </w:rPr>
        <w:t xml:space="preserve"> (</w:t>
      </w:r>
      <w:r w:rsidR="00AE778B" w:rsidRPr="005B1C35">
        <w:rPr>
          <w:rFonts w:ascii="Times New Roman" w:hAnsi="Times New Roman" w:cs="Times New Roman"/>
          <w:sz w:val="24"/>
          <w:szCs w:val="24"/>
          <w:shd w:val="clear" w:color="auto" w:fill="FFFFFF"/>
        </w:rPr>
        <w:t xml:space="preserve">Husain &amp; </w:t>
      </w:r>
      <w:proofErr w:type="spellStart"/>
      <w:r w:rsidR="00AE778B" w:rsidRPr="005B1C35">
        <w:rPr>
          <w:rFonts w:ascii="Times New Roman" w:hAnsi="Times New Roman" w:cs="Times New Roman"/>
          <w:sz w:val="24"/>
          <w:szCs w:val="24"/>
          <w:shd w:val="clear" w:color="auto" w:fill="FFFFFF"/>
        </w:rPr>
        <w:t>Sunardi</w:t>
      </w:r>
      <w:proofErr w:type="spellEnd"/>
      <w:r w:rsidR="00AE778B" w:rsidRPr="005B1C35">
        <w:rPr>
          <w:rFonts w:ascii="Times New Roman" w:hAnsi="Times New Roman" w:cs="Times New Roman"/>
          <w:sz w:val="24"/>
          <w:szCs w:val="24"/>
          <w:shd w:val="clear" w:color="auto" w:fill="FFFFFF"/>
        </w:rPr>
        <w:t>, 2020)</w:t>
      </w:r>
      <w:r w:rsidRPr="005B1C35">
        <w:rPr>
          <w:rFonts w:ascii="Times New Roman" w:hAnsi="Times New Roman" w:cs="Times New Roman"/>
          <w:sz w:val="24"/>
          <w:szCs w:val="24"/>
        </w:rPr>
        <w:t xml:space="preserve">. They view that capital gain is associated with </w:t>
      </w:r>
      <w:r w:rsidR="00426230" w:rsidRPr="005B1C35">
        <w:rPr>
          <w:rFonts w:ascii="Times New Roman" w:hAnsi="Times New Roman" w:cs="Times New Roman"/>
          <w:sz w:val="24"/>
          <w:szCs w:val="24"/>
        </w:rPr>
        <w:t>unpredictably inherent since it deals with the</w:t>
      </w:r>
      <w:r w:rsidRPr="005B1C35">
        <w:rPr>
          <w:rFonts w:ascii="Times New Roman" w:hAnsi="Times New Roman" w:cs="Times New Roman"/>
          <w:sz w:val="24"/>
          <w:szCs w:val="24"/>
        </w:rPr>
        <w:t xml:space="preserve"> future. </w:t>
      </w:r>
      <w:r w:rsidR="00FA6D0F" w:rsidRPr="005B1C35">
        <w:rPr>
          <w:rFonts w:ascii="Times New Roman" w:hAnsi="Times New Roman" w:cs="Times New Roman"/>
          <w:sz w:val="24"/>
          <w:szCs w:val="24"/>
        </w:rPr>
        <w:t>Investors use</w:t>
      </w:r>
      <w:r w:rsidRPr="005B1C35">
        <w:rPr>
          <w:rFonts w:ascii="Times New Roman" w:hAnsi="Times New Roman" w:cs="Times New Roman"/>
          <w:sz w:val="24"/>
          <w:szCs w:val="24"/>
        </w:rPr>
        <w:t xml:space="preserve"> the theory to </w:t>
      </w:r>
      <w:r w:rsidR="00FA6D0F" w:rsidRPr="005B1C35">
        <w:rPr>
          <w:rFonts w:ascii="Times New Roman" w:hAnsi="Times New Roman" w:cs="Times New Roman"/>
          <w:sz w:val="24"/>
          <w:szCs w:val="24"/>
        </w:rPr>
        <w:t>seek</w:t>
      </w:r>
      <w:r w:rsidRPr="005B1C35">
        <w:rPr>
          <w:rFonts w:ascii="Times New Roman" w:hAnsi="Times New Roman" w:cs="Times New Roman"/>
          <w:sz w:val="24"/>
          <w:szCs w:val="24"/>
        </w:rPr>
        <w:t xml:space="preserve"> high dividend </w:t>
      </w:r>
      <w:proofErr w:type="spellStart"/>
      <w:r w:rsidR="00FA6D0F" w:rsidRPr="005B1C35">
        <w:rPr>
          <w:rFonts w:ascii="Times New Roman" w:hAnsi="Times New Roman" w:cs="Times New Roman"/>
          <w:sz w:val="24"/>
          <w:szCs w:val="24"/>
        </w:rPr>
        <w:t>payouts</w:t>
      </w:r>
      <w:proofErr w:type="spellEnd"/>
      <w:r w:rsidR="00426230" w:rsidRPr="005B1C35">
        <w:rPr>
          <w:rFonts w:ascii="Times New Roman" w:hAnsi="Times New Roman" w:cs="Times New Roman"/>
          <w:sz w:val="24"/>
          <w:szCs w:val="24"/>
        </w:rPr>
        <w:t>,</w:t>
      </w:r>
      <w:r w:rsidRPr="005B1C35">
        <w:rPr>
          <w:rFonts w:ascii="Times New Roman" w:hAnsi="Times New Roman" w:cs="Times New Roman"/>
          <w:sz w:val="24"/>
          <w:szCs w:val="24"/>
        </w:rPr>
        <w:t xml:space="preserve"> and such dividends ha</w:t>
      </w:r>
      <w:r w:rsidR="00426230" w:rsidRPr="005B1C35">
        <w:rPr>
          <w:rFonts w:ascii="Times New Roman" w:hAnsi="Times New Roman" w:cs="Times New Roman"/>
          <w:sz w:val="24"/>
          <w:szCs w:val="24"/>
        </w:rPr>
        <w:t>ve</w:t>
      </w:r>
      <w:r w:rsidRPr="005B1C35">
        <w:rPr>
          <w:rFonts w:ascii="Times New Roman" w:hAnsi="Times New Roman" w:cs="Times New Roman"/>
          <w:sz w:val="24"/>
          <w:szCs w:val="24"/>
        </w:rPr>
        <w:t xml:space="preserve"> higher market price</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The stock performance predicts the amount an investor can gain fro</w:t>
      </w:r>
      <w:r w:rsidR="008F22FB">
        <w:rPr>
          <w:rFonts w:ascii="Times New Roman" w:hAnsi="Times New Roman" w:cs="Times New Roman"/>
          <w:sz w:val="24"/>
          <w:szCs w:val="24"/>
        </w:rPr>
        <w:t>m the invested capital.</w:t>
      </w:r>
    </w:p>
    <w:p w14:paraId="69D17194" w14:textId="19921E67" w:rsidR="0034752B" w:rsidRPr="008F22FB" w:rsidRDefault="008F22FB" w:rsidP="008F22FB">
      <w:pPr>
        <w:spacing w:after="0" w:line="480" w:lineRule="auto"/>
        <w:rPr>
          <w:rFonts w:ascii="Times New Roman" w:hAnsi="Times New Roman" w:cs="Times New Roman"/>
          <w:b/>
          <w:sz w:val="24"/>
          <w:szCs w:val="24"/>
        </w:rPr>
      </w:pPr>
      <w:r w:rsidRPr="008F22FB">
        <w:rPr>
          <w:rFonts w:ascii="Times New Roman" w:hAnsi="Times New Roman" w:cs="Times New Roman"/>
          <w:b/>
          <w:sz w:val="24"/>
          <w:szCs w:val="24"/>
        </w:rPr>
        <w:t xml:space="preserve">5.13 </w:t>
      </w:r>
      <w:r w:rsidR="0034752B" w:rsidRPr="008F22FB">
        <w:rPr>
          <w:rFonts w:ascii="Times New Roman" w:hAnsi="Times New Roman" w:cs="Times New Roman"/>
          <w:b/>
          <w:sz w:val="24"/>
          <w:szCs w:val="24"/>
        </w:rPr>
        <w:t xml:space="preserve">Dividend </w:t>
      </w:r>
      <w:r w:rsidR="00FA6D0F" w:rsidRPr="008F22FB">
        <w:rPr>
          <w:rFonts w:ascii="Times New Roman" w:hAnsi="Times New Roman" w:cs="Times New Roman"/>
          <w:b/>
          <w:sz w:val="24"/>
          <w:szCs w:val="24"/>
        </w:rPr>
        <w:t>Signalling</w:t>
      </w:r>
      <w:r w:rsidR="0034752B" w:rsidRPr="008F22FB">
        <w:rPr>
          <w:rFonts w:ascii="Times New Roman" w:hAnsi="Times New Roman" w:cs="Times New Roman"/>
          <w:b/>
          <w:sz w:val="24"/>
          <w:szCs w:val="24"/>
        </w:rPr>
        <w:t xml:space="preserve"> Theory</w:t>
      </w:r>
    </w:p>
    <w:p w14:paraId="22FF36B3" w14:textId="77B6478F" w:rsidR="00CB08D8" w:rsidRPr="005B1C35" w:rsidRDefault="0034752B" w:rsidP="005B1C35">
      <w:pPr>
        <w:spacing w:after="0" w:line="480" w:lineRule="auto"/>
        <w:rPr>
          <w:rFonts w:ascii="Times New Roman" w:hAnsi="Times New Roman" w:cs="Times New Roman"/>
          <w:bCs/>
          <w:sz w:val="24"/>
          <w:szCs w:val="24"/>
        </w:rPr>
      </w:pPr>
      <w:r w:rsidRPr="005B1C35">
        <w:rPr>
          <w:rFonts w:ascii="Times New Roman" w:hAnsi="Times New Roman" w:cs="Times New Roman"/>
          <w:bCs/>
          <w:sz w:val="24"/>
          <w:szCs w:val="24"/>
        </w:rPr>
        <w:t xml:space="preserve">The dividend </w:t>
      </w:r>
      <w:proofErr w:type="spellStart"/>
      <w:r w:rsidR="00FA6D0F" w:rsidRPr="005B1C35">
        <w:rPr>
          <w:rFonts w:ascii="Times New Roman" w:hAnsi="Times New Roman" w:cs="Times New Roman"/>
          <w:bCs/>
          <w:sz w:val="24"/>
          <w:szCs w:val="24"/>
        </w:rPr>
        <w:t>signaling</w:t>
      </w:r>
      <w:proofErr w:type="spellEnd"/>
      <w:r w:rsidRPr="005B1C35">
        <w:rPr>
          <w:rFonts w:ascii="Times New Roman" w:hAnsi="Times New Roman" w:cs="Times New Roman"/>
          <w:bCs/>
          <w:sz w:val="24"/>
          <w:szCs w:val="24"/>
        </w:rPr>
        <w:t xml:space="preserve"> theory is concerned with announcements of dividend </w:t>
      </w:r>
      <w:proofErr w:type="spellStart"/>
      <w:r w:rsidR="00FA6D0F" w:rsidRPr="005B1C35">
        <w:rPr>
          <w:rFonts w:ascii="Times New Roman" w:hAnsi="Times New Roman" w:cs="Times New Roman"/>
          <w:bCs/>
          <w:sz w:val="24"/>
          <w:szCs w:val="24"/>
        </w:rPr>
        <w:t>payout</w:t>
      </w:r>
      <w:proofErr w:type="spellEnd"/>
      <w:r w:rsidRPr="005B1C35">
        <w:rPr>
          <w:rFonts w:ascii="Times New Roman" w:hAnsi="Times New Roman" w:cs="Times New Roman"/>
          <w:bCs/>
          <w:sz w:val="24"/>
          <w:szCs w:val="24"/>
        </w:rPr>
        <w:t xml:space="preserve">. Most economic experts agree that it's still relevant in some scenarios despite the theory's weakness. According to the theory, investors or investment analysts will perceive a company </w:t>
      </w:r>
      <w:r w:rsidR="00426230" w:rsidRPr="005B1C35">
        <w:rPr>
          <w:rFonts w:ascii="Times New Roman" w:hAnsi="Times New Roman" w:cs="Times New Roman"/>
          <w:bCs/>
          <w:sz w:val="24"/>
          <w:szCs w:val="24"/>
        </w:rPr>
        <w:t>with</w:t>
      </w:r>
      <w:r w:rsidRPr="005B1C35">
        <w:rPr>
          <w:rFonts w:ascii="Times New Roman" w:hAnsi="Times New Roman" w:cs="Times New Roman"/>
          <w:bCs/>
          <w:sz w:val="24"/>
          <w:szCs w:val="24"/>
        </w:rPr>
        <w:t xml:space="preserve"> a brighter financial prospect if it announces an increase in dividend </w:t>
      </w:r>
      <w:proofErr w:type="spellStart"/>
      <w:r w:rsidR="00FA6D0F" w:rsidRPr="005B1C35">
        <w:rPr>
          <w:rFonts w:ascii="Times New Roman" w:hAnsi="Times New Roman" w:cs="Times New Roman"/>
          <w:bCs/>
          <w:sz w:val="24"/>
          <w:szCs w:val="24"/>
        </w:rPr>
        <w:t>payout</w:t>
      </w:r>
      <w:proofErr w:type="spellEnd"/>
      <w:r w:rsidRPr="005B1C35">
        <w:rPr>
          <w:rFonts w:ascii="Times New Roman" w:hAnsi="Times New Roman" w:cs="Times New Roman"/>
          <w:bCs/>
          <w:sz w:val="24"/>
          <w:szCs w:val="24"/>
        </w:rPr>
        <w:t xml:space="preserve"> (</w:t>
      </w:r>
      <w:proofErr w:type="spellStart"/>
      <w:r w:rsidRPr="005B1C35">
        <w:rPr>
          <w:rFonts w:ascii="Times New Roman" w:hAnsi="Times New Roman" w:cs="Times New Roman"/>
          <w:sz w:val="24"/>
          <w:szCs w:val="24"/>
        </w:rPr>
        <w:t>Asai</w:t>
      </w:r>
      <w:proofErr w:type="spellEnd"/>
      <w:r w:rsidRPr="005B1C35">
        <w:rPr>
          <w:rFonts w:ascii="Times New Roman" w:hAnsi="Times New Roman" w:cs="Times New Roman"/>
          <w:sz w:val="24"/>
          <w:szCs w:val="24"/>
        </w:rPr>
        <w:t xml:space="preserve">, 2020). </w:t>
      </w:r>
      <w:r w:rsidRPr="005B1C35">
        <w:rPr>
          <w:rFonts w:ascii="Times New Roman" w:hAnsi="Times New Roman" w:cs="Times New Roman"/>
          <w:bCs/>
          <w:sz w:val="24"/>
          <w:szCs w:val="24"/>
        </w:rPr>
        <w:t xml:space="preserve">Under normal circumstances, an increased dividend </w:t>
      </w:r>
      <w:proofErr w:type="spellStart"/>
      <w:r w:rsidR="00FA6D0F" w:rsidRPr="005B1C35">
        <w:rPr>
          <w:rFonts w:ascii="Times New Roman" w:hAnsi="Times New Roman" w:cs="Times New Roman"/>
          <w:bCs/>
          <w:sz w:val="24"/>
          <w:szCs w:val="24"/>
        </w:rPr>
        <w:t>payout</w:t>
      </w:r>
      <w:proofErr w:type="spellEnd"/>
      <w:r w:rsidRPr="005B1C35">
        <w:rPr>
          <w:rFonts w:ascii="Times New Roman" w:hAnsi="Times New Roman" w:cs="Times New Roman"/>
          <w:bCs/>
          <w:sz w:val="24"/>
          <w:szCs w:val="24"/>
        </w:rPr>
        <w:t xml:space="preserve"> portrays a company's financial performance positively and signals a better performance of stock prices in the future. On the other hand, a decrease or lack of dividend </w:t>
      </w:r>
      <w:proofErr w:type="spellStart"/>
      <w:r w:rsidR="00FA6D0F" w:rsidRPr="005B1C35">
        <w:rPr>
          <w:rFonts w:ascii="Times New Roman" w:hAnsi="Times New Roman" w:cs="Times New Roman"/>
          <w:bCs/>
          <w:sz w:val="24"/>
          <w:szCs w:val="24"/>
        </w:rPr>
        <w:t>payout</w:t>
      </w:r>
      <w:proofErr w:type="spellEnd"/>
      <w:r w:rsidRPr="005B1C35">
        <w:rPr>
          <w:rFonts w:ascii="Times New Roman" w:hAnsi="Times New Roman" w:cs="Times New Roman"/>
          <w:bCs/>
          <w:sz w:val="24"/>
          <w:szCs w:val="24"/>
        </w:rPr>
        <w:t xml:space="preserve"> may signal </w:t>
      </w:r>
      <w:r w:rsidR="00426230" w:rsidRPr="005B1C35">
        <w:rPr>
          <w:rFonts w:ascii="Times New Roman" w:hAnsi="Times New Roman" w:cs="Times New Roman"/>
          <w:bCs/>
          <w:sz w:val="24"/>
          <w:szCs w:val="24"/>
        </w:rPr>
        <w:t xml:space="preserve">to </w:t>
      </w:r>
      <w:r w:rsidRPr="005B1C35">
        <w:rPr>
          <w:rFonts w:ascii="Times New Roman" w:hAnsi="Times New Roman" w:cs="Times New Roman"/>
          <w:bCs/>
          <w:sz w:val="24"/>
          <w:szCs w:val="24"/>
        </w:rPr>
        <w:t xml:space="preserve">investors that a firm is struggling financially. The dividend </w:t>
      </w:r>
      <w:proofErr w:type="spellStart"/>
      <w:r w:rsidR="00FA6D0F" w:rsidRPr="005B1C35">
        <w:rPr>
          <w:rFonts w:ascii="Times New Roman" w:hAnsi="Times New Roman" w:cs="Times New Roman"/>
          <w:bCs/>
          <w:sz w:val="24"/>
          <w:szCs w:val="24"/>
        </w:rPr>
        <w:t>signaling</w:t>
      </w:r>
      <w:proofErr w:type="spellEnd"/>
      <w:r w:rsidRPr="005B1C35">
        <w:rPr>
          <w:rFonts w:ascii="Times New Roman" w:hAnsi="Times New Roman" w:cs="Times New Roman"/>
          <w:bCs/>
          <w:sz w:val="24"/>
          <w:szCs w:val="24"/>
        </w:rPr>
        <w:t xml:space="preserve"> theory assumes that the higher the dividends, the more profitable the company. However, the assumption is only relevant to specific </w:t>
      </w:r>
      <w:r w:rsidRPr="005B1C35">
        <w:rPr>
          <w:rFonts w:ascii="Times New Roman" w:hAnsi="Times New Roman" w:cs="Times New Roman"/>
          <w:bCs/>
          <w:sz w:val="24"/>
          <w:szCs w:val="24"/>
        </w:rPr>
        <w:lastRenderedPageBreak/>
        <w:t>situations since there are situations where higher dividends do not necessarily result from increased profitability.</w:t>
      </w:r>
    </w:p>
    <w:p w14:paraId="33E23523" w14:textId="6A3D7C18" w:rsidR="00743898" w:rsidRPr="005B1C35" w:rsidRDefault="008F22FB" w:rsidP="005B1C35">
      <w:pPr>
        <w:pStyle w:val="Heading2"/>
        <w:spacing w:before="0" w:line="480" w:lineRule="auto"/>
        <w:rPr>
          <w:rFonts w:ascii="Times New Roman" w:hAnsi="Times New Roman" w:cs="Times New Roman"/>
          <w:color w:val="auto"/>
          <w:sz w:val="24"/>
          <w:szCs w:val="24"/>
        </w:rPr>
      </w:pPr>
      <w:bookmarkStart w:id="15" w:name="_Toc100628551"/>
      <w:r>
        <w:rPr>
          <w:rFonts w:ascii="Times New Roman" w:hAnsi="Times New Roman" w:cs="Times New Roman"/>
          <w:color w:val="auto"/>
          <w:sz w:val="24"/>
          <w:szCs w:val="24"/>
        </w:rPr>
        <w:t xml:space="preserve">5.14 </w:t>
      </w:r>
      <w:r w:rsidR="00743898" w:rsidRPr="005B1C35">
        <w:rPr>
          <w:rFonts w:ascii="Times New Roman" w:hAnsi="Times New Roman" w:cs="Times New Roman"/>
          <w:color w:val="auto"/>
          <w:sz w:val="24"/>
          <w:szCs w:val="24"/>
        </w:rPr>
        <w:t>Application of the chosen company to the theories</w:t>
      </w:r>
      <w:bookmarkEnd w:id="15"/>
    </w:p>
    <w:p w14:paraId="4090FDF8" w14:textId="17A10975" w:rsidR="006E7677" w:rsidRPr="005B1C35" w:rsidRDefault="00197466"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The company applies dividend irrelevance theory because at the moment Arsenal it </w:t>
      </w:r>
      <w:proofErr w:type="spellStart"/>
      <w:r w:rsidRPr="005B1C35">
        <w:rPr>
          <w:rFonts w:ascii="Times New Roman" w:hAnsi="Times New Roman" w:cs="Times New Roman"/>
          <w:sz w:val="24"/>
          <w:szCs w:val="24"/>
        </w:rPr>
        <w:t>stsill</w:t>
      </w:r>
      <w:proofErr w:type="spellEnd"/>
      <w:r w:rsidRPr="005B1C35">
        <w:rPr>
          <w:rFonts w:ascii="Times New Roman" w:hAnsi="Times New Roman" w:cs="Times New Roman"/>
          <w:sz w:val="24"/>
          <w:szCs w:val="24"/>
        </w:rPr>
        <w:t xml:space="preserve"> a private company with shares tightly controlled by the owner. </w:t>
      </w:r>
      <w:r w:rsidR="00D220B6" w:rsidRPr="005B1C35">
        <w:rPr>
          <w:rFonts w:ascii="Times New Roman" w:hAnsi="Times New Roman" w:cs="Times New Roman"/>
          <w:sz w:val="24"/>
          <w:szCs w:val="24"/>
        </w:rPr>
        <w:t xml:space="preserve">The </w:t>
      </w:r>
      <w:r w:rsidR="00636329" w:rsidRPr="005B1C35">
        <w:rPr>
          <w:rFonts w:ascii="Times New Roman" w:hAnsi="Times New Roman" w:cs="Times New Roman"/>
          <w:sz w:val="24"/>
          <w:szCs w:val="24"/>
        </w:rPr>
        <w:t xml:space="preserve">group consist of 62,217 million of </w:t>
      </w:r>
      <w:r w:rsidR="00B51AF4" w:rsidRPr="005B1C35">
        <w:rPr>
          <w:rFonts w:ascii="Times New Roman" w:hAnsi="Times New Roman" w:cs="Times New Roman"/>
          <w:sz w:val="24"/>
          <w:szCs w:val="24"/>
        </w:rPr>
        <w:t>£</w:t>
      </w:r>
      <w:r w:rsidR="00636329" w:rsidRPr="005B1C35">
        <w:rPr>
          <w:rFonts w:ascii="Times New Roman" w:hAnsi="Times New Roman" w:cs="Times New Roman"/>
          <w:sz w:val="24"/>
          <w:szCs w:val="24"/>
        </w:rPr>
        <w:t xml:space="preserve">1 each. The shares are </w:t>
      </w:r>
      <w:proofErr w:type="spellStart"/>
      <w:r w:rsidR="00636329" w:rsidRPr="005B1C35">
        <w:rPr>
          <w:rFonts w:ascii="Times New Roman" w:hAnsi="Times New Roman" w:cs="Times New Roman"/>
          <w:sz w:val="24"/>
          <w:szCs w:val="24"/>
        </w:rPr>
        <w:t>wholy</w:t>
      </w:r>
      <w:proofErr w:type="spellEnd"/>
      <w:r w:rsidR="00636329" w:rsidRPr="005B1C35">
        <w:rPr>
          <w:rFonts w:ascii="Times New Roman" w:hAnsi="Times New Roman" w:cs="Times New Roman"/>
          <w:sz w:val="24"/>
          <w:szCs w:val="24"/>
        </w:rPr>
        <w:t xml:space="preserve"> owned by Arsenal Holdings Plc Group. As of June 2021 the company had not declared any dividends. </w:t>
      </w:r>
    </w:p>
    <w:p w14:paraId="081D5DD4" w14:textId="699A5A5A" w:rsidR="00743898" w:rsidRPr="005B1C35" w:rsidRDefault="008F22FB" w:rsidP="005B1C35">
      <w:pPr>
        <w:pStyle w:val="Heading1"/>
        <w:spacing w:before="0" w:line="480" w:lineRule="auto"/>
        <w:rPr>
          <w:rFonts w:ascii="Times New Roman" w:hAnsi="Times New Roman" w:cs="Times New Roman"/>
          <w:color w:val="auto"/>
          <w:sz w:val="24"/>
          <w:szCs w:val="24"/>
        </w:rPr>
      </w:pPr>
      <w:bookmarkStart w:id="16" w:name="_Toc100628552"/>
      <w:r>
        <w:rPr>
          <w:rFonts w:ascii="Times New Roman" w:hAnsi="Times New Roman" w:cs="Times New Roman"/>
          <w:color w:val="auto"/>
          <w:sz w:val="24"/>
          <w:szCs w:val="24"/>
        </w:rPr>
        <w:t>6.</w:t>
      </w:r>
      <w:r w:rsidR="00CC3491">
        <w:rPr>
          <w:rFonts w:ascii="Times New Roman" w:hAnsi="Times New Roman" w:cs="Times New Roman"/>
          <w:color w:val="auto"/>
          <w:sz w:val="24"/>
          <w:szCs w:val="24"/>
        </w:rPr>
        <w:t xml:space="preserve">0 </w:t>
      </w:r>
      <w:r w:rsidR="00743898" w:rsidRPr="005B1C35">
        <w:rPr>
          <w:rFonts w:ascii="Times New Roman" w:hAnsi="Times New Roman" w:cs="Times New Roman"/>
          <w:color w:val="auto"/>
          <w:sz w:val="24"/>
          <w:szCs w:val="24"/>
        </w:rPr>
        <w:t>Section Four: Profitability and Risk of the Company</w:t>
      </w:r>
      <w:bookmarkEnd w:id="16"/>
    </w:p>
    <w:p w14:paraId="69A546E2" w14:textId="61891485" w:rsidR="00743898" w:rsidRPr="005B1C35" w:rsidRDefault="001557CD" w:rsidP="005B1C35">
      <w:pPr>
        <w:pStyle w:val="Heading2"/>
        <w:spacing w:before="0" w:line="480" w:lineRule="auto"/>
        <w:rPr>
          <w:rFonts w:ascii="Times New Roman" w:hAnsi="Times New Roman" w:cs="Times New Roman"/>
          <w:color w:val="auto"/>
          <w:sz w:val="24"/>
          <w:szCs w:val="24"/>
        </w:rPr>
      </w:pPr>
      <w:r w:rsidRPr="005B1C35">
        <w:rPr>
          <w:rFonts w:ascii="Times New Roman" w:hAnsi="Times New Roman" w:cs="Times New Roman"/>
          <w:color w:val="auto"/>
          <w:sz w:val="24"/>
          <w:szCs w:val="24"/>
        </w:rPr>
        <w:t xml:space="preserve"> </w:t>
      </w:r>
      <w:bookmarkStart w:id="17" w:name="_Toc100628553"/>
      <w:r w:rsidR="00CC3491">
        <w:rPr>
          <w:rFonts w:ascii="Times New Roman" w:hAnsi="Times New Roman" w:cs="Times New Roman"/>
          <w:color w:val="auto"/>
          <w:sz w:val="24"/>
          <w:szCs w:val="24"/>
        </w:rPr>
        <w:t xml:space="preserve">6.10 </w:t>
      </w:r>
      <w:r w:rsidR="00743898" w:rsidRPr="005B1C35">
        <w:rPr>
          <w:rFonts w:ascii="Times New Roman" w:hAnsi="Times New Roman" w:cs="Times New Roman"/>
          <w:color w:val="auto"/>
          <w:sz w:val="24"/>
          <w:szCs w:val="24"/>
        </w:rPr>
        <w:t>Calculation and evaluation of suitable profitability ratios</w:t>
      </w:r>
      <w:bookmarkEnd w:id="17"/>
      <w:r w:rsidR="00743898" w:rsidRPr="005B1C35">
        <w:rPr>
          <w:rFonts w:ascii="Times New Roman" w:hAnsi="Times New Roman" w:cs="Times New Roman"/>
          <w:color w:val="auto"/>
          <w:sz w:val="24"/>
          <w:szCs w:val="24"/>
        </w:rPr>
        <w:t xml:space="preserve"> </w:t>
      </w:r>
    </w:p>
    <w:p w14:paraId="049D4723" w14:textId="03EC23E7" w:rsidR="00636A66" w:rsidRPr="005B1C35" w:rsidRDefault="00636A66"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Profitability ratios are used to measure the </w:t>
      </w:r>
      <w:r w:rsidR="00426230" w:rsidRPr="005B1C35">
        <w:rPr>
          <w:rFonts w:ascii="Times New Roman" w:hAnsi="Times New Roman" w:cs="Times New Roman"/>
          <w:sz w:val="24"/>
          <w:szCs w:val="24"/>
        </w:rPr>
        <w:t>firm's performance</w:t>
      </w:r>
      <w:r w:rsidRPr="005B1C35">
        <w:rPr>
          <w:rFonts w:ascii="Times New Roman" w:hAnsi="Times New Roman" w:cs="Times New Roman"/>
          <w:sz w:val="24"/>
          <w:szCs w:val="24"/>
        </w:rPr>
        <w:t xml:space="preserve"> based on </w:t>
      </w:r>
      <w:r w:rsidR="00426230" w:rsidRPr="005B1C35">
        <w:rPr>
          <w:rFonts w:ascii="Times New Roman" w:hAnsi="Times New Roman" w:cs="Times New Roman"/>
          <w:sz w:val="24"/>
          <w:szCs w:val="24"/>
        </w:rPr>
        <w:t xml:space="preserve">the </w:t>
      </w:r>
      <w:r w:rsidRPr="005B1C35">
        <w:rPr>
          <w:rFonts w:ascii="Times New Roman" w:hAnsi="Times New Roman" w:cs="Times New Roman"/>
          <w:sz w:val="24"/>
          <w:szCs w:val="24"/>
        </w:rPr>
        <w:t>generation of revenues</w:t>
      </w:r>
      <w:r w:rsidR="00CC530B" w:rsidRPr="005B1C35">
        <w:rPr>
          <w:rFonts w:ascii="Times New Roman" w:hAnsi="Times New Roman" w:cs="Times New Roman"/>
          <w:sz w:val="24"/>
          <w:szCs w:val="24"/>
        </w:rPr>
        <w:t xml:space="preserve"> </w:t>
      </w:r>
      <w:r w:rsidR="00AE778B" w:rsidRPr="005B1C35">
        <w:rPr>
          <w:rFonts w:ascii="Times New Roman" w:hAnsi="Times New Roman" w:cs="Times New Roman"/>
          <w:sz w:val="24"/>
          <w:szCs w:val="24"/>
        </w:rPr>
        <w:t>(</w:t>
      </w:r>
      <w:r w:rsidR="00AE778B" w:rsidRPr="005B1C35">
        <w:rPr>
          <w:rFonts w:ascii="Times New Roman" w:hAnsi="Times New Roman" w:cs="Times New Roman"/>
          <w:sz w:val="24"/>
          <w:szCs w:val="24"/>
          <w:shd w:val="clear" w:color="auto" w:fill="FFFFFF"/>
        </w:rPr>
        <w:t xml:space="preserve">Husain&amp; </w:t>
      </w:r>
      <w:proofErr w:type="spellStart"/>
      <w:r w:rsidR="00AE778B" w:rsidRPr="005B1C35">
        <w:rPr>
          <w:rFonts w:ascii="Times New Roman" w:hAnsi="Times New Roman" w:cs="Times New Roman"/>
          <w:sz w:val="24"/>
          <w:szCs w:val="24"/>
          <w:shd w:val="clear" w:color="auto" w:fill="FFFFFF"/>
        </w:rPr>
        <w:t>Sunardi</w:t>
      </w:r>
      <w:proofErr w:type="spellEnd"/>
      <w:r w:rsidR="00AE778B" w:rsidRPr="005B1C35">
        <w:rPr>
          <w:rFonts w:ascii="Times New Roman" w:hAnsi="Times New Roman" w:cs="Times New Roman"/>
          <w:sz w:val="24"/>
          <w:szCs w:val="24"/>
          <w:shd w:val="clear" w:color="auto" w:fill="FFFFFF"/>
        </w:rPr>
        <w:t>, 2020)</w:t>
      </w:r>
      <w:r w:rsidRPr="005B1C35">
        <w:rPr>
          <w:rFonts w:ascii="Times New Roman" w:hAnsi="Times New Roman" w:cs="Times New Roman"/>
          <w:sz w:val="24"/>
          <w:szCs w:val="24"/>
        </w:rPr>
        <w:t xml:space="preserve">. </w:t>
      </w:r>
      <w:r w:rsidR="006F187F" w:rsidRPr="005B1C35">
        <w:rPr>
          <w:rFonts w:ascii="Times New Roman" w:hAnsi="Times New Roman" w:cs="Times New Roman"/>
          <w:sz w:val="24"/>
          <w:szCs w:val="24"/>
        </w:rPr>
        <w:t>Arsenal</w:t>
      </w:r>
      <w:r w:rsidRPr="005B1C35">
        <w:rPr>
          <w:rFonts w:ascii="Times New Roman" w:hAnsi="Times New Roman" w:cs="Times New Roman"/>
          <w:sz w:val="24"/>
          <w:szCs w:val="24"/>
        </w:rPr>
        <w:t xml:space="preserve"> Holdings Plc ha</w:t>
      </w:r>
      <w:r w:rsidR="00426230" w:rsidRPr="005B1C35">
        <w:rPr>
          <w:rFonts w:ascii="Times New Roman" w:hAnsi="Times New Roman" w:cs="Times New Roman"/>
          <w:sz w:val="24"/>
          <w:szCs w:val="24"/>
        </w:rPr>
        <w:t>s</w:t>
      </w:r>
      <w:r w:rsidRPr="005B1C35">
        <w:rPr>
          <w:rFonts w:ascii="Times New Roman" w:hAnsi="Times New Roman" w:cs="Times New Roman"/>
          <w:sz w:val="24"/>
          <w:szCs w:val="24"/>
        </w:rPr>
        <w:t xml:space="preserve"> consistently made losses owing to many factors. </w:t>
      </w:r>
      <w:r w:rsidR="00DF77E0" w:rsidRPr="005B1C35">
        <w:rPr>
          <w:rFonts w:ascii="Times New Roman" w:hAnsi="Times New Roman" w:cs="Times New Roman"/>
          <w:sz w:val="24"/>
          <w:szCs w:val="24"/>
        </w:rPr>
        <w:t>While revenues have been improving year</w:t>
      </w:r>
      <w:r w:rsidR="00426230" w:rsidRPr="005B1C35">
        <w:rPr>
          <w:rFonts w:ascii="Times New Roman" w:hAnsi="Times New Roman" w:cs="Times New Roman"/>
          <w:sz w:val="24"/>
          <w:szCs w:val="24"/>
        </w:rPr>
        <w:t xml:space="preserve"> after </w:t>
      </w:r>
      <w:r w:rsidR="00DF77E0" w:rsidRPr="005B1C35">
        <w:rPr>
          <w:rFonts w:ascii="Times New Roman" w:hAnsi="Times New Roman" w:cs="Times New Roman"/>
          <w:sz w:val="24"/>
          <w:szCs w:val="24"/>
        </w:rPr>
        <w:t>year, 2021 show</w:t>
      </w:r>
      <w:r w:rsidR="00426230" w:rsidRPr="005B1C35">
        <w:rPr>
          <w:rFonts w:ascii="Times New Roman" w:hAnsi="Times New Roman" w:cs="Times New Roman"/>
          <w:sz w:val="24"/>
          <w:szCs w:val="24"/>
        </w:rPr>
        <w:t>s</w:t>
      </w:r>
      <w:r w:rsidR="00DF77E0" w:rsidRPr="005B1C35">
        <w:rPr>
          <w:rFonts w:ascii="Times New Roman" w:hAnsi="Times New Roman" w:cs="Times New Roman"/>
          <w:sz w:val="24"/>
          <w:szCs w:val="24"/>
        </w:rPr>
        <w:t xml:space="preserve"> a slump in revenue generation fuelled by the adverse effects of </w:t>
      </w:r>
      <w:r w:rsidR="00426230" w:rsidRPr="005B1C35">
        <w:rPr>
          <w:rFonts w:ascii="Times New Roman" w:hAnsi="Times New Roman" w:cs="Times New Roman"/>
          <w:sz w:val="24"/>
          <w:szCs w:val="24"/>
        </w:rPr>
        <w:t xml:space="preserve">the </w:t>
      </w:r>
      <w:r w:rsidR="00DF77E0" w:rsidRPr="005B1C35">
        <w:rPr>
          <w:rFonts w:ascii="Times New Roman" w:hAnsi="Times New Roman" w:cs="Times New Roman"/>
          <w:sz w:val="24"/>
          <w:szCs w:val="24"/>
        </w:rPr>
        <w:t xml:space="preserve">Covid-19 pandemic. </w:t>
      </w:r>
      <w:r w:rsidR="00400DC2" w:rsidRPr="005B1C35">
        <w:rPr>
          <w:rFonts w:ascii="Times New Roman" w:hAnsi="Times New Roman" w:cs="Times New Roman"/>
          <w:sz w:val="24"/>
          <w:szCs w:val="24"/>
        </w:rPr>
        <w:t xml:space="preserve">Covid-19 led to funs </w:t>
      </w:r>
      <w:r w:rsidR="00426230" w:rsidRPr="005B1C35">
        <w:rPr>
          <w:rFonts w:ascii="Times New Roman" w:hAnsi="Times New Roman" w:cs="Times New Roman"/>
          <w:sz w:val="24"/>
          <w:szCs w:val="24"/>
        </w:rPr>
        <w:t xml:space="preserve">being </w:t>
      </w:r>
      <w:r w:rsidR="00400DC2" w:rsidRPr="005B1C35">
        <w:rPr>
          <w:rFonts w:ascii="Times New Roman" w:hAnsi="Times New Roman" w:cs="Times New Roman"/>
          <w:sz w:val="24"/>
          <w:szCs w:val="24"/>
        </w:rPr>
        <w:t xml:space="preserve">barred from attending matches which contributed to the loss of revenues from ticket sales. The </w:t>
      </w:r>
      <w:proofErr w:type="spellStart"/>
      <w:r w:rsidR="00400DC2" w:rsidRPr="005B1C35">
        <w:rPr>
          <w:rFonts w:ascii="Times New Roman" w:hAnsi="Times New Roman" w:cs="Times New Roman"/>
          <w:sz w:val="24"/>
          <w:szCs w:val="24"/>
        </w:rPr>
        <w:t>rumored</w:t>
      </w:r>
      <w:proofErr w:type="spellEnd"/>
      <w:r w:rsidR="00400DC2" w:rsidRPr="005B1C35">
        <w:rPr>
          <w:rFonts w:ascii="Times New Roman" w:hAnsi="Times New Roman" w:cs="Times New Roman"/>
          <w:sz w:val="24"/>
          <w:szCs w:val="24"/>
        </w:rPr>
        <w:t xml:space="preserve"> broadcasting fees expected to grow pre-pandemic reduced significantly as the FA </w:t>
      </w:r>
      <w:r w:rsidR="00426230" w:rsidRPr="005B1C35">
        <w:rPr>
          <w:rFonts w:ascii="Times New Roman" w:hAnsi="Times New Roman" w:cs="Times New Roman"/>
          <w:sz w:val="24"/>
          <w:szCs w:val="24"/>
        </w:rPr>
        <w:t>could not</w:t>
      </w:r>
      <w:r w:rsidR="00400DC2" w:rsidRPr="005B1C35">
        <w:rPr>
          <w:rFonts w:ascii="Times New Roman" w:hAnsi="Times New Roman" w:cs="Times New Roman"/>
          <w:sz w:val="24"/>
          <w:szCs w:val="24"/>
        </w:rPr>
        <w:t xml:space="preserve"> collect enough broadcasting revenues due to Covid-19 restrictions. Revenues from shirt sales also reduced because the biggest sales come from fans attending matches in the stadia. </w:t>
      </w:r>
      <w:r w:rsidR="00F17865" w:rsidRPr="005B1C35">
        <w:rPr>
          <w:rFonts w:ascii="Times New Roman" w:hAnsi="Times New Roman" w:cs="Times New Roman"/>
          <w:sz w:val="24"/>
          <w:szCs w:val="24"/>
        </w:rPr>
        <w:t>Revenues have reduced in tandem with the profitability ratios. T</w:t>
      </w:r>
      <w:r w:rsidR="006D17EA" w:rsidRPr="005B1C35">
        <w:rPr>
          <w:rFonts w:ascii="Times New Roman" w:hAnsi="Times New Roman" w:cs="Times New Roman"/>
          <w:sz w:val="24"/>
          <w:szCs w:val="24"/>
        </w:rPr>
        <w:t xml:space="preserve">he profit margin </w:t>
      </w:r>
      <w:r w:rsidR="00F17865" w:rsidRPr="005B1C35">
        <w:rPr>
          <w:rFonts w:ascii="Times New Roman" w:hAnsi="Times New Roman" w:cs="Times New Roman"/>
          <w:sz w:val="24"/>
          <w:szCs w:val="24"/>
        </w:rPr>
        <w:t>was -</w:t>
      </w:r>
      <w:r w:rsidR="006D17EA" w:rsidRPr="005B1C35">
        <w:rPr>
          <w:rFonts w:ascii="Times New Roman" w:hAnsi="Times New Roman" w:cs="Times New Roman"/>
          <w:sz w:val="24"/>
          <w:szCs w:val="24"/>
        </w:rPr>
        <w:t xml:space="preserve">13.87% in </w:t>
      </w:r>
      <w:r w:rsidR="00CE17EB" w:rsidRPr="005B1C35">
        <w:rPr>
          <w:rFonts w:ascii="Times New Roman" w:hAnsi="Times New Roman" w:cs="Times New Roman"/>
          <w:sz w:val="24"/>
          <w:szCs w:val="24"/>
        </w:rPr>
        <w:t>2020 and</w:t>
      </w:r>
      <w:r w:rsidR="006D17EA" w:rsidRPr="005B1C35">
        <w:rPr>
          <w:rFonts w:ascii="Times New Roman" w:hAnsi="Times New Roman" w:cs="Times New Roman"/>
          <w:sz w:val="24"/>
          <w:szCs w:val="24"/>
        </w:rPr>
        <w:t xml:space="preserve"> </w:t>
      </w:r>
      <w:r w:rsidR="00CE17EB" w:rsidRPr="005B1C35">
        <w:rPr>
          <w:rFonts w:ascii="Times New Roman" w:hAnsi="Times New Roman" w:cs="Times New Roman"/>
          <w:sz w:val="24"/>
          <w:szCs w:val="24"/>
        </w:rPr>
        <w:t>-</w:t>
      </w:r>
      <w:r w:rsidR="006D17EA" w:rsidRPr="005B1C35">
        <w:rPr>
          <w:rFonts w:ascii="Times New Roman" w:hAnsi="Times New Roman" w:cs="Times New Roman"/>
          <w:sz w:val="24"/>
          <w:szCs w:val="24"/>
        </w:rPr>
        <w:t xml:space="preserve">32.69% in 2021. Similarly, returns on total assets </w:t>
      </w:r>
      <w:r w:rsidR="00CE17EB" w:rsidRPr="005B1C35">
        <w:rPr>
          <w:rFonts w:ascii="Times New Roman" w:hAnsi="Times New Roman" w:cs="Times New Roman"/>
          <w:sz w:val="24"/>
          <w:szCs w:val="24"/>
        </w:rPr>
        <w:t>reduced from</w:t>
      </w:r>
      <w:r w:rsidR="006D17EA" w:rsidRPr="005B1C35">
        <w:rPr>
          <w:rFonts w:ascii="Times New Roman" w:hAnsi="Times New Roman" w:cs="Times New Roman"/>
          <w:sz w:val="24"/>
          <w:szCs w:val="24"/>
        </w:rPr>
        <w:t xml:space="preserve"> </w:t>
      </w:r>
      <w:r w:rsidR="00CE17EB" w:rsidRPr="005B1C35">
        <w:rPr>
          <w:rFonts w:ascii="Times New Roman" w:hAnsi="Times New Roman" w:cs="Times New Roman"/>
          <w:sz w:val="24"/>
          <w:szCs w:val="24"/>
        </w:rPr>
        <w:t>-</w:t>
      </w:r>
      <w:r w:rsidR="00B50E5D" w:rsidRPr="005B1C35">
        <w:rPr>
          <w:rFonts w:ascii="Times New Roman" w:hAnsi="Times New Roman" w:cs="Times New Roman"/>
          <w:sz w:val="24"/>
          <w:szCs w:val="24"/>
        </w:rPr>
        <w:t xml:space="preserve">5.1% </w:t>
      </w:r>
      <w:r w:rsidR="00C26638" w:rsidRPr="005B1C35">
        <w:rPr>
          <w:rFonts w:ascii="Times New Roman" w:hAnsi="Times New Roman" w:cs="Times New Roman"/>
          <w:sz w:val="24"/>
          <w:szCs w:val="24"/>
        </w:rPr>
        <w:t xml:space="preserve">in 2020 </w:t>
      </w:r>
      <w:r w:rsidR="00B50E5D" w:rsidRPr="005B1C35">
        <w:rPr>
          <w:rFonts w:ascii="Times New Roman" w:hAnsi="Times New Roman" w:cs="Times New Roman"/>
          <w:sz w:val="24"/>
          <w:szCs w:val="24"/>
        </w:rPr>
        <w:t xml:space="preserve">to </w:t>
      </w:r>
      <w:r w:rsidR="00CE17EB" w:rsidRPr="005B1C35">
        <w:rPr>
          <w:rFonts w:ascii="Times New Roman" w:hAnsi="Times New Roman" w:cs="Times New Roman"/>
          <w:sz w:val="24"/>
          <w:szCs w:val="24"/>
        </w:rPr>
        <w:t>-</w:t>
      </w:r>
      <w:r w:rsidR="00B50E5D" w:rsidRPr="005B1C35">
        <w:rPr>
          <w:rFonts w:ascii="Times New Roman" w:hAnsi="Times New Roman" w:cs="Times New Roman"/>
          <w:sz w:val="24"/>
          <w:szCs w:val="24"/>
        </w:rPr>
        <w:t>13.62%</w:t>
      </w:r>
      <w:r w:rsidR="00C26638" w:rsidRPr="005B1C35">
        <w:rPr>
          <w:rFonts w:ascii="Times New Roman" w:hAnsi="Times New Roman" w:cs="Times New Roman"/>
          <w:sz w:val="24"/>
          <w:szCs w:val="24"/>
        </w:rPr>
        <w:t xml:space="preserve"> in 2021</w:t>
      </w:r>
      <w:r w:rsidR="00113577" w:rsidRPr="005B1C35">
        <w:rPr>
          <w:rFonts w:ascii="Times New Roman" w:hAnsi="Times New Roman" w:cs="Times New Roman"/>
          <w:sz w:val="24"/>
          <w:szCs w:val="24"/>
        </w:rPr>
        <w:t xml:space="preserve">. </w:t>
      </w:r>
      <w:r w:rsidR="00CE17EB" w:rsidRPr="005B1C35">
        <w:rPr>
          <w:rFonts w:ascii="Times New Roman" w:hAnsi="Times New Roman" w:cs="Times New Roman"/>
          <w:sz w:val="24"/>
          <w:szCs w:val="24"/>
        </w:rPr>
        <w:t xml:space="preserve">This should be a course </w:t>
      </w:r>
      <w:r w:rsidR="00426230" w:rsidRPr="005B1C35">
        <w:rPr>
          <w:rFonts w:ascii="Times New Roman" w:hAnsi="Times New Roman" w:cs="Times New Roman"/>
          <w:sz w:val="24"/>
          <w:szCs w:val="24"/>
        </w:rPr>
        <w:t>of</w:t>
      </w:r>
      <w:r w:rsidR="00CE17EB" w:rsidRPr="005B1C35">
        <w:rPr>
          <w:rFonts w:ascii="Times New Roman" w:hAnsi="Times New Roman" w:cs="Times New Roman"/>
          <w:sz w:val="24"/>
          <w:szCs w:val="24"/>
        </w:rPr>
        <w:t xml:space="preserve"> concern for the </w:t>
      </w:r>
      <w:r w:rsidR="00426230" w:rsidRPr="005B1C35">
        <w:rPr>
          <w:rFonts w:ascii="Times New Roman" w:hAnsi="Times New Roman" w:cs="Times New Roman"/>
          <w:sz w:val="24"/>
          <w:szCs w:val="24"/>
        </w:rPr>
        <w:t>C</w:t>
      </w:r>
      <w:r w:rsidR="00CE17EB" w:rsidRPr="005B1C35">
        <w:rPr>
          <w:rFonts w:ascii="Times New Roman" w:hAnsi="Times New Roman" w:cs="Times New Roman"/>
          <w:sz w:val="24"/>
          <w:szCs w:val="24"/>
        </w:rPr>
        <w:t>lub because future reduction</w:t>
      </w:r>
      <w:r w:rsidR="00426230" w:rsidRPr="005B1C35">
        <w:rPr>
          <w:rFonts w:ascii="Times New Roman" w:hAnsi="Times New Roman" w:cs="Times New Roman"/>
          <w:sz w:val="24"/>
          <w:szCs w:val="24"/>
        </w:rPr>
        <w:t>s</w:t>
      </w:r>
      <w:r w:rsidR="00CE17EB" w:rsidRPr="005B1C35">
        <w:rPr>
          <w:rFonts w:ascii="Times New Roman" w:hAnsi="Times New Roman" w:cs="Times New Roman"/>
          <w:sz w:val="24"/>
          <w:szCs w:val="24"/>
        </w:rPr>
        <w:t xml:space="preserve"> in revenues can put the </w:t>
      </w:r>
      <w:r w:rsidR="00426230" w:rsidRPr="005B1C35">
        <w:rPr>
          <w:rFonts w:ascii="Times New Roman" w:hAnsi="Times New Roman" w:cs="Times New Roman"/>
          <w:sz w:val="24"/>
          <w:szCs w:val="24"/>
        </w:rPr>
        <w:t>C</w:t>
      </w:r>
      <w:r w:rsidR="00CE17EB" w:rsidRPr="005B1C35">
        <w:rPr>
          <w:rFonts w:ascii="Times New Roman" w:hAnsi="Times New Roman" w:cs="Times New Roman"/>
          <w:sz w:val="24"/>
          <w:szCs w:val="24"/>
        </w:rPr>
        <w:t>lub in precarious situations with players de</w:t>
      </w:r>
      <w:r w:rsidR="00CA7BE8" w:rsidRPr="005B1C35">
        <w:rPr>
          <w:rFonts w:ascii="Times New Roman" w:hAnsi="Times New Roman" w:cs="Times New Roman"/>
          <w:sz w:val="24"/>
          <w:szCs w:val="24"/>
        </w:rPr>
        <w:t xml:space="preserve">manding high salaries to cover </w:t>
      </w:r>
      <w:r w:rsidR="00426230" w:rsidRPr="005B1C35">
        <w:rPr>
          <w:rFonts w:ascii="Times New Roman" w:hAnsi="Times New Roman" w:cs="Times New Roman"/>
          <w:sz w:val="24"/>
          <w:szCs w:val="24"/>
        </w:rPr>
        <w:t xml:space="preserve">the </w:t>
      </w:r>
      <w:r w:rsidR="00CA7BE8" w:rsidRPr="005B1C35">
        <w:rPr>
          <w:rFonts w:ascii="Times New Roman" w:hAnsi="Times New Roman" w:cs="Times New Roman"/>
          <w:sz w:val="24"/>
          <w:szCs w:val="24"/>
        </w:rPr>
        <w:t>lack of champion league football.</w:t>
      </w:r>
    </w:p>
    <w:p w14:paraId="20BEC6EF" w14:textId="0CF293F3" w:rsidR="00743898" w:rsidRPr="005B1C35" w:rsidRDefault="00CC3491" w:rsidP="005B1C35">
      <w:pPr>
        <w:pStyle w:val="Heading2"/>
        <w:spacing w:before="0" w:line="480" w:lineRule="auto"/>
        <w:rPr>
          <w:rFonts w:ascii="Times New Roman" w:hAnsi="Times New Roman" w:cs="Times New Roman"/>
          <w:color w:val="auto"/>
          <w:sz w:val="24"/>
          <w:szCs w:val="24"/>
        </w:rPr>
      </w:pPr>
      <w:bookmarkStart w:id="18" w:name="_Toc100628554"/>
      <w:r>
        <w:rPr>
          <w:rFonts w:ascii="Times New Roman" w:hAnsi="Times New Roman" w:cs="Times New Roman"/>
          <w:color w:val="auto"/>
          <w:sz w:val="24"/>
          <w:szCs w:val="24"/>
        </w:rPr>
        <w:t xml:space="preserve">6.11 </w:t>
      </w:r>
      <w:r w:rsidR="00743898" w:rsidRPr="005B1C35">
        <w:rPr>
          <w:rFonts w:ascii="Times New Roman" w:hAnsi="Times New Roman" w:cs="Times New Roman"/>
          <w:color w:val="auto"/>
          <w:sz w:val="24"/>
          <w:szCs w:val="24"/>
        </w:rPr>
        <w:t xml:space="preserve">Evaluation of return </w:t>
      </w:r>
      <w:r w:rsidR="00426230" w:rsidRPr="005B1C35">
        <w:rPr>
          <w:rFonts w:ascii="Times New Roman" w:hAnsi="Times New Roman" w:cs="Times New Roman"/>
          <w:color w:val="auto"/>
          <w:sz w:val="24"/>
          <w:szCs w:val="24"/>
        </w:rPr>
        <w:t>concerning</w:t>
      </w:r>
      <w:r w:rsidR="00743898" w:rsidRPr="005B1C35">
        <w:rPr>
          <w:rFonts w:ascii="Times New Roman" w:hAnsi="Times New Roman" w:cs="Times New Roman"/>
          <w:color w:val="auto"/>
          <w:sz w:val="24"/>
          <w:szCs w:val="24"/>
        </w:rPr>
        <w:t xml:space="preserve"> risk Capital Asset Pricing Model</w:t>
      </w:r>
      <w:bookmarkEnd w:id="18"/>
    </w:p>
    <w:p w14:paraId="51E281A9" w14:textId="72D3401A" w:rsidR="007F2333" w:rsidRPr="005B1C35" w:rsidRDefault="00426230"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The c</w:t>
      </w:r>
      <w:r w:rsidR="007F2333" w:rsidRPr="005B1C35">
        <w:rPr>
          <w:rFonts w:ascii="Times New Roman" w:hAnsi="Times New Roman" w:cs="Times New Roman"/>
          <w:sz w:val="24"/>
          <w:szCs w:val="24"/>
        </w:rPr>
        <w:t>apital Asset Pricing Model (CAPM) is used to value a firm or securities based on the market risks, risk</w:t>
      </w:r>
      <w:r w:rsidRPr="005B1C35">
        <w:rPr>
          <w:rFonts w:ascii="Times New Roman" w:hAnsi="Times New Roman" w:cs="Times New Roman"/>
          <w:sz w:val="24"/>
          <w:szCs w:val="24"/>
        </w:rPr>
        <w:t>-</w:t>
      </w:r>
      <w:r w:rsidR="007F2333" w:rsidRPr="005B1C35">
        <w:rPr>
          <w:rFonts w:ascii="Times New Roman" w:hAnsi="Times New Roman" w:cs="Times New Roman"/>
          <w:sz w:val="24"/>
          <w:szCs w:val="24"/>
        </w:rPr>
        <w:t>free rate</w:t>
      </w:r>
      <w:r w:rsidRPr="005B1C35">
        <w:rPr>
          <w:rFonts w:ascii="Times New Roman" w:hAnsi="Times New Roman" w:cs="Times New Roman"/>
          <w:sz w:val="24"/>
          <w:szCs w:val="24"/>
        </w:rPr>
        <w:t>,</w:t>
      </w:r>
      <w:r w:rsidR="007F2333" w:rsidRPr="005B1C35">
        <w:rPr>
          <w:rFonts w:ascii="Times New Roman" w:hAnsi="Times New Roman" w:cs="Times New Roman"/>
          <w:sz w:val="24"/>
          <w:szCs w:val="24"/>
        </w:rPr>
        <w:t xml:space="preserve"> and market returns</w:t>
      </w:r>
      <w:r w:rsidR="003A4437" w:rsidRPr="005B1C35">
        <w:rPr>
          <w:rFonts w:ascii="Times New Roman" w:hAnsi="Times New Roman" w:cs="Times New Roman"/>
          <w:sz w:val="24"/>
          <w:szCs w:val="24"/>
        </w:rPr>
        <w:t xml:space="preserve"> (</w:t>
      </w:r>
      <w:r w:rsidR="003A4437" w:rsidRPr="005B1C35">
        <w:rPr>
          <w:rFonts w:ascii="Times New Roman" w:hAnsi="Times New Roman" w:cs="Times New Roman"/>
          <w:sz w:val="24"/>
          <w:szCs w:val="24"/>
          <w:shd w:val="clear" w:color="auto" w:fill="FFFFFF"/>
        </w:rPr>
        <w:t xml:space="preserve">Andrei, </w:t>
      </w:r>
      <w:proofErr w:type="spellStart"/>
      <w:r w:rsidR="003A4437" w:rsidRPr="005B1C35">
        <w:rPr>
          <w:rFonts w:ascii="Times New Roman" w:hAnsi="Times New Roman" w:cs="Times New Roman"/>
          <w:sz w:val="24"/>
          <w:szCs w:val="24"/>
          <w:shd w:val="clear" w:color="auto" w:fill="FFFFFF"/>
        </w:rPr>
        <w:t>Cujean</w:t>
      </w:r>
      <w:proofErr w:type="spellEnd"/>
      <w:r w:rsidR="003A4437" w:rsidRPr="005B1C35">
        <w:rPr>
          <w:rFonts w:ascii="Times New Roman" w:hAnsi="Times New Roman" w:cs="Times New Roman"/>
          <w:sz w:val="24"/>
          <w:szCs w:val="24"/>
          <w:shd w:val="clear" w:color="auto" w:fill="FFFFFF"/>
        </w:rPr>
        <w:t>, Wilson, 2020).</w:t>
      </w:r>
      <w:r w:rsidR="003A4437" w:rsidRPr="005B1C35">
        <w:rPr>
          <w:rFonts w:ascii="Times New Roman" w:hAnsi="Times New Roman" w:cs="Times New Roman"/>
          <w:sz w:val="24"/>
          <w:szCs w:val="24"/>
        </w:rPr>
        <w:t xml:space="preserve"> </w:t>
      </w:r>
      <w:r w:rsidR="007F2333" w:rsidRPr="005B1C35">
        <w:rPr>
          <w:rFonts w:ascii="Times New Roman" w:hAnsi="Times New Roman" w:cs="Times New Roman"/>
          <w:sz w:val="24"/>
          <w:szCs w:val="24"/>
        </w:rPr>
        <w:t xml:space="preserve">CAPM </w:t>
      </w:r>
      <w:r w:rsidR="007F2333" w:rsidRPr="005B1C35">
        <w:rPr>
          <w:rFonts w:ascii="Times New Roman" w:hAnsi="Times New Roman" w:cs="Times New Roman"/>
          <w:sz w:val="24"/>
          <w:szCs w:val="24"/>
        </w:rPr>
        <w:lastRenderedPageBreak/>
        <w:t xml:space="preserve">assumes that </w:t>
      </w:r>
      <w:r w:rsidRPr="005B1C35">
        <w:rPr>
          <w:rFonts w:ascii="Times New Roman" w:hAnsi="Times New Roman" w:cs="Times New Roman"/>
          <w:sz w:val="24"/>
          <w:szCs w:val="24"/>
        </w:rPr>
        <w:t>securities risk</w:t>
      </w:r>
      <w:r w:rsidR="007F2333" w:rsidRPr="005B1C35">
        <w:rPr>
          <w:rFonts w:ascii="Times New Roman" w:hAnsi="Times New Roman" w:cs="Times New Roman"/>
          <w:sz w:val="24"/>
          <w:szCs w:val="24"/>
        </w:rPr>
        <w:t xml:space="preserve">s can be measured based on a risk factor called beta. Beta </w:t>
      </w:r>
      <w:r w:rsidR="007D7BB5" w:rsidRPr="005B1C35">
        <w:rPr>
          <w:rFonts w:ascii="Times New Roman" w:hAnsi="Times New Roman" w:cs="Times New Roman"/>
          <w:sz w:val="24"/>
          <w:szCs w:val="24"/>
        </w:rPr>
        <w:t>measures</w:t>
      </w:r>
      <w:r w:rsidR="007F2333" w:rsidRPr="005B1C35">
        <w:rPr>
          <w:rFonts w:ascii="Times New Roman" w:hAnsi="Times New Roman" w:cs="Times New Roman"/>
          <w:sz w:val="24"/>
          <w:szCs w:val="24"/>
        </w:rPr>
        <w:t xml:space="preserve"> the volatility of an asset which is the movement of the returns of an asset based on the movement of the market benchmark, proxy</w:t>
      </w:r>
      <w:r w:rsidRPr="005B1C35">
        <w:rPr>
          <w:rFonts w:ascii="Times New Roman" w:hAnsi="Times New Roman" w:cs="Times New Roman"/>
          <w:sz w:val="24"/>
          <w:szCs w:val="24"/>
        </w:rPr>
        <w:t>,</w:t>
      </w:r>
      <w:r w:rsidR="007F2333" w:rsidRPr="005B1C35">
        <w:rPr>
          <w:rFonts w:ascii="Times New Roman" w:hAnsi="Times New Roman" w:cs="Times New Roman"/>
          <w:sz w:val="24"/>
          <w:szCs w:val="24"/>
        </w:rPr>
        <w:t xml:space="preserve"> or index. The market index is assumed to have a beta of one because it is composed of stable firms </w:t>
      </w:r>
      <w:r w:rsidR="007D7BB5" w:rsidRPr="005B1C35">
        <w:rPr>
          <w:rFonts w:ascii="Times New Roman" w:hAnsi="Times New Roman" w:cs="Times New Roman"/>
          <w:sz w:val="24"/>
          <w:szCs w:val="24"/>
        </w:rPr>
        <w:t>weighted based on the risk</w:t>
      </w:r>
      <w:r w:rsidRPr="005B1C35">
        <w:rPr>
          <w:rFonts w:ascii="Times New Roman" w:hAnsi="Times New Roman" w:cs="Times New Roman"/>
          <w:sz w:val="24"/>
          <w:szCs w:val="24"/>
        </w:rPr>
        <w:t>-</w:t>
      </w:r>
      <w:r w:rsidR="007D7BB5" w:rsidRPr="005B1C35">
        <w:rPr>
          <w:rFonts w:ascii="Times New Roman" w:hAnsi="Times New Roman" w:cs="Times New Roman"/>
          <w:sz w:val="24"/>
          <w:szCs w:val="24"/>
        </w:rPr>
        <w:t xml:space="preserve">adjusted returns and market capitalization. Also, CAPM assumes that there are two kinds of risks. </w:t>
      </w:r>
      <w:r w:rsidRPr="005B1C35">
        <w:rPr>
          <w:rFonts w:ascii="Times New Roman" w:hAnsi="Times New Roman" w:cs="Times New Roman"/>
          <w:sz w:val="24"/>
          <w:szCs w:val="24"/>
        </w:rPr>
        <w:t>Unsystematic risks can be eliminated by selling the asset, and diversification can reduce systematic risks</w:t>
      </w:r>
      <w:r w:rsidR="00E73D7C" w:rsidRPr="005B1C35">
        <w:rPr>
          <w:rFonts w:ascii="Times New Roman" w:hAnsi="Times New Roman" w:cs="Times New Roman"/>
          <w:sz w:val="24"/>
          <w:szCs w:val="24"/>
        </w:rPr>
        <w:t xml:space="preserve"> (</w:t>
      </w:r>
      <w:r w:rsidR="00E73D7C" w:rsidRPr="005B1C35">
        <w:rPr>
          <w:rFonts w:ascii="Times New Roman" w:hAnsi="Times New Roman" w:cs="Times New Roman"/>
          <w:sz w:val="24"/>
          <w:szCs w:val="24"/>
          <w:shd w:val="clear" w:color="auto" w:fill="FFFFFF"/>
        </w:rPr>
        <w:t xml:space="preserve">Andrei, </w:t>
      </w:r>
      <w:proofErr w:type="spellStart"/>
      <w:r w:rsidR="00E73D7C" w:rsidRPr="005B1C35">
        <w:rPr>
          <w:rFonts w:ascii="Times New Roman" w:hAnsi="Times New Roman" w:cs="Times New Roman"/>
          <w:sz w:val="24"/>
          <w:szCs w:val="24"/>
          <w:shd w:val="clear" w:color="auto" w:fill="FFFFFF"/>
        </w:rPr>
        <w:t>Cujean</w:t>
      </w:r>
      <w:proofErr w:type="spellEnd"/>
      <w:r w:rsidR="00E73D7C" w:rsidRPr="005B1C35">
        <w:rPr>
          <w:rFonts w:ascii="Times New Roman" w:hAnsi="Times New Roman" w:cs="Times New Roman"/>
          <w:sz w:val="24"/>
          <w:szCs w:val="24"/>
          <w:shd w:val="clear" w:color="auto" w:fill="FFFFFF"/>
        </w:rPr>
        <w:t>, Wilson, 2020)</w:t>
      </w:r>
      <w:r w:rsidR="007D7BB5" w:rsidRPr="005B1C35">
        <w:rPr>
          <w:rFonts w:ascii="Times New Roman" w:hAnsi="Times New Roman" w:cs="Times New Roman"/>
          <w:sz w:val="24"/>
          <w:szCs w:val="24"/>
        </w:rPr>
        <w:t xml:space="preserve">. </w:t>
      </w:r>
      <w:r w:rsidR="007752BC" w:rsidRPr="005B1C35">
        <w:rPr>
          <w:rFonts w:ascii="Times New Roman" w:hAnsi="Times New Roman" w:cs="Times New Roman"/>
          <w:sz w:val="24"/>
          <w:szCs w:val="24"/>
        </w:rPr>
        <w:t xml:space="preserve">Essentially, the expected </w:t>
      </w:r>
      <w:r w:rsidR="00240294" w:rsidRPr="005B1C35">
        <w:rPr>
          <w:rFonts w:ascii="Times New Roman" w:hAnsi="Times New Roman" w:cs="Times New Roman"/>
          <w:sz w:val="24"/>
          <w:szCs w:val="24"/>
        </w:rPr>
        <w:t>return of an asset is</w:t>
      </w:r>
      <w:r w:rsidR="007752BC" w:rsidRPr="005B1C35">
        <w:rPr>
          <w:rFonts w:ascii="Times New Roman" w:hAnsi="Times New Roman" w:cs="Times New Roman"/>
          <w:sz w:val="24"/>
          <w:szCs w:val="24"/>
        </w:rPr>
        <w:t xml:space="preserve"> determined by adding the market premium to the risk</w:t>
      </w:r>
      <w:r w:rsidRPr="005B1C35">
        <w:rPr>
          <w:rFonts w:ascii="Times New Roman" w:hAnsi="Times New Roman" w:cs="Times New Roman"/>
          <w:sz w:val="24"/>
          <w:szCs w:val="24"/>
        </w:rPr>
        <w:t>-</w:t>
      </w:r>
      <w:r w:rsidR="007752BC" w:rsidRPr="005B1C35">
        <w:rPr>
          <w:rFonts w:ascii="Times New Roman" w:hAnsi="Times New Roman" w:cs="Times New Roman"/>
          <w:sz w:val="24"/>
          <w:szCs w:val="24"/>
        </w:rPr>
        <w:t xml:space="preserve">free rate. Market premium is the return an investor is willing to take to invest in an asset. </w:t>
      </w:r>
      <w:r w:rsidR="00240294" w:rsidRPr="005B1C35">
        <w:rPr>
          <w:rFonts w:ascii="Times New Roman" w:hAnsi="Times New Roman" w:cs="Times New Roman"/>
          <w:sz w:val="24"/>
          <w:szCs w:val="24"/>
        </w:rPr>
        <w:t>Risk</w:t>
      </w:r>
      <w:r w:rsidRPr="005B1C35">
        <w:rPr>
          <w:rFonts w:ascii="Times New Roman" w:hAnsi="Times New Roman" w:cs="Times New Roman"/>
          <w:sz w:val="24"/>
          <w:szCs w:val="24"/>
        </w:rPr>
        <w:t>-</w:t>
      </w:r>
      <w:r w:rsidR="00240294" w:rsidRPr="005B1C35">
        <w:rPr>
          <w:rFonts w:ascii="Times New Roman" w:hAnsi="Times New Roman" w:cs="Times New Roman"/>
          <w:sz w:val="24"/>
          <w:szCs w:val="24"/>
        </w:rPr>
        <w:t xml:space="preserve">averse investors require </w:t>
      </w:r>
      <w:r w:rsidRPr="005B1C35">
        <w:rPr>
          <w:rFonts w:ascii="Times New Roman" w:hAnsi="Times New Roman" w:cs="Times New Roman"/>
          <w:sz w:val="24"/>
          <w:szCs w:val="24"/>
        </w:rPr>
        <w:t>a low-risk premium, while risk-tolerant investors</w:t>
      </w:r>
      <w:r w:rsidR="00240294" w:rsidRPr="005B1C35">
        <w:rPr>
          <w:rFonts w:ascii="Times New Roman" w:hAnsi="Times New Roman" w:cs="Times New Roman"/>
          <w:sz w:val="24"/>
          <w:szCs w:val="24"/>
        </w:rPr>
        <w:t xml:space="preserve"> require a higher premium. </w:t>
      </w:r>
    </w:p>
    <w:p w14:paraId="795316B8" w14:textId="51228EB8" w:rsidR="002D5E24" w:rsidRPr="005B1C35" w:rsidRDefault="00A25E6A" w:rsidP="005B1C35">
      <w:pPr>
        <w:pStyle w:val="Heading2"/>
        <w:spacing w:before="0" w:line="480" w:lineRule="auto"/>
        <w:rPr>
          <w:rFonts w:ascii="Times New Roman" w:hAnsi="Times New Roman" w:cs="Times New Roman"/>
          <w:color w:val="auto"/>
          <w:sz w:val="24"/>
          <w:szCs w:val="24"/>
        </w:rPr>
      </w:pPr>
      <w:r w:rsidRPr="005B1C35">
        <w:rPr>
          <w:rFonts w:ascii="Times New Roman" w:hAnsi="Times New Roman" w:cs="Times New Roman"/>
          <w:color w:val="auto"/>
          <w:sz w:val="24"/>
          <w:szCs w:val="24"/>
        </w:rPr>
        <w:t xml:space="preserve"> </w:t>
      </w:r>
      <w:bookmarkStart w:id="19" w:name="_Toc100628555"/>
      <w:r w:rsidR="00CC3491">
        <w:rPr>
          <w:rFonts w:ascii="Times New Roman" w:hAnsi="Times New Roman" w:cs="Times New Roman"/>
          <w:color w:val="auto"/>
          <w:sz w:val="24"/>
          <w:szCs w:val="24"/>
        </w:rPr>
        <w:t xml:space="preserve">6.12 </w:t>
      </w:r>
      <w:r w:rsidRPr="005B1C35">
        <w:rPr>
          <w:rFonts w:ascii="Times New Roman" w:hAnsi="Times New Roman" w:cs="Times New Roman"/>
          <w:color w:val="auto"/>
          <w:sz w:val="24"/>
          <w:szCs w:val="24"/>
        </w:rPr>
        <w:t>Pest Analysis</w:t>
      </w:r>
      <w:bookmarkEnd w:id="19"/>
    </w:p>
    <w:p w14:paraId="090450AD" w14:textId="51B4774A" w:rsidR="002D5E24" w:rsidRPr="005B1C35" w:rsidRDefault="002D5E24" w:rsidP="005B1C35">
      <w:pPr>
        <w:spacing w:after="0" w:line="480" w:lineRule="auto"/>
        <w:ind w:firstLine="720"/>
        <w:contextualSpacing/>
        <w:rPr>
          <w:rFonts w:ascii="Times New Roman" w:hAnsi="Times New Roman" w:cs="Times New Roman"/>
          <w:sz w:val="24"/>
          <w:szCs w:val="24"/>
          <w:shd w:val="clear" w:color="auto" w:fill="FFFFFF"/>
        </w:rPr>
      </w:pPr>
      <w:r w:rsidRPr="005B1C35">
        <w:rPr>
          <w:rFonts w:ascii="Times New Roman" w:hAnsi="Times New Roman" w:cs="Times New Roman"/>
          <w:sz w:val="24"/>
          <w:szCs w:val="24"/>
        </w:rPr>
        <w:t xml:space="preserve">The Pestle analysis is a financial tool that aids the evaluation of crucial factors that influence business success. According to </w:t>
      </w:r>
      <w:proofErr w:type="spellStart"/>
      <w:r w:rsidRPr="005B1C35">
        <w:rPr>
          <w:rFonts w:ascii="Times New Roman" w:hAnsi="Times New Roman" w:cs="Times New Roman"/>
          <w:sz w:val="24"/>
          <w:szCs w:val="24"/>
          <w:shd w:val="clear" w:color="auto" w:fill="FFFFFF"/>
        </w:rPr>
        <w:t>Nikolaidi</w:t>
      </w:r>
      <w:proofErr w:type="spellEnd"/>
      <w:r w:rsidRPr="005B1C35">
        <w:rPr>
          <w:rFonts w:ascii="Times New Roman" w:hAnsi="Times New Roman" w:cs="Times New Roman"/>
          <w:sz w:val="24"/>
          <w:szCs w:val="24"/>
          <w:shd w:val="clear" w:color="auto" w:fill="FFFFFF"/>
        </w:rPr>
        <w:t xml:space="preserve"> (2017), it helps </w:t>
      </w:r>
      <w:proofErr w:type="spellStart"/>
      <w:r w:rsidRPr="005B1C35">
        <w:rPr>
          <w:rFonts w:ascii="Times New Roman" w:hAnsi="Times New Roman" w:cs="Times New Roman"/>
          <w:sz w:val="24"/>
          <w:szCs w:val="24"/>
          <w:shd w:val="clear" w:color="auto" w:fill="FFFFFF"/>
        </w:rPr>
        <w:t>analyze</w:t>
      </w:r>
      <w:proofErr w:type="spellEnd"/>
      <w:r w:rsidRPr="005B1C35">
        <w:rPr>
          <w:rFonts w:ascii="Times New Roman" w:hAnsi="Times New Roman" w:cs="Times New Roman"/>
          <w:sz w:val="24"/>
          <w:szCs w:val="24"/>
          <w:shd w:val="clear" w:color="auto" w:fill="FFFFFF"/>
        </w:rPr>
        <w:t xml:space="preserve"> the technological, social, economic, and political business environments. Technologically, the Arsenal football club has greatly benefited from the e-commerce strategies in the football industry. It facilitates online ticketing, whereby the fans can purchase tickets via online outlets making it convenient. The </w:t>
      </w:r>
      <w:r w:rsidR="00426230" w:rsidRPr="005B1C35">
        <w:rPr>
          <w:rFonts w:ascii="Times New Roman" w:hAnsi="Times New Roman" w:cs="Times New Roman"/>
          <w:sz w:val="24"/>
          <w:szCs w:val="24"/>
          <w:shd w:val="clear" w:color="auto" w:fill="FFFFFF"/>
        </w:rPr>
        <w:t>C</w:t>
      </w:r>
      <w:r w:rsidRPr="005B1C35">
        <w:rPr>
          <w:rFonts w:ascii="Times New Roman" w:hAnsi="Times New Roman" w:cs="Times New Roman"/>
          <w:sz w:val="24"/>
          <w:szCs w:val="24"/>
          <w:shd w:val="clear" w:color="auto" w:fill="FFFFFF"/>
        </w:rPr>
        <w:t xml:space="preserve">lub has also adopted data protection strategies to secure the clubs' confidential information. Socially, social media is also a crucial part that helps the </w:t>
      </w:r>
      <w:r w:rsidR="00426230" w:rsidRPr="005B1C35">
        <w:rPr>
          <w:rFonts w:ascii="Times New Roman" w:hAnsi="Times New Roman" w:cs="Times New Roman"/>
          <w:sz w:val="24"/>
          <w:szCs w:val="24"/>
          <w:shd w:val="clear" w:color="auto" w:fill="FFFFFF"/>
        </w:rPr>
        <w:t>C</w:t>
      </w:r>
      <w:r w:rsidRPr="005B1C35">
        <w:rPr>
          <w:rFonts w:ascii="Times New Roman" w:hAnsi="Times New Roman" w:cs="Times New Roman"/>
          <w:sz w:val="24"/>
          <w:szCs w:val="24"/>
          <w:shd w:val="clear" w:color="auto" w:fill="FFFFFF"/>
        </w:rPr>
        <w:t xml:space="preserve">lub connect with its worldwide fans through fan pages whereby they can share the club experiences and performances. Economically, Arsenal has partnered with various sponsors who improve the </w:t>
      </w:r>
      <w:r w:rsidR="00426230" w:rsidRPr="005B1C35">
        <w:rPr>
          <w:rFonts w:ascii="Times New Roman" w:hAnsi="Times New Roman" w:cs="Times New Roman"/>
          <w:sz w:val="24"/>
          <w:szCs w:val="24"/>
          <w:shd w:val="clear" w:color="auto" w:fill="FFFFFF"/>
        </w:rPr>
        <w:t>C</w:t>
      </w:r>
      <w:r w:rsidRPr="005B1C35">
        <w:rPr>
          <w:rFonts w:ascii="Times New Roman" w:hAnsi="Times New Roman" w:cs="Times New Roman"/>
          <w:sz w:val="24"/>
          <w:szCs w:val="24"/>
          <w:shd w:val="clear" w:color="auto" w:fill="FFFFFF"/>
        </w:rPr>
        <w:t xml:space="preserve">lub's financial abilities. Some of the Arsenal partners and sponsors are Adidas, Emirates, Acronis, Ball </w:t>
      </w:r>
      <w:proofErr w:type="gramStart"/>
      <w:r w:rsidRPr="005B1C35">
        <w:rPr>
          <w:rFonts w:ascii="Times New Roman" w:hAnsi="Times New Roman" w:cs="Times New Roman"/>
          <w:sz w:val="24"/>
          <w:szCs w:val="24"/>
          <w:shd w:val="clear" w:color="auto" w:fill="FFFFFF"/>
        </w:rPr>
        <w:t>corporation</w:t>
      </w:r>
      <w:proofErr w:type="gramEnd"/>
      <w:r w:rsidRPr="005B1C35">
        <w:rPr>
          <w:rFonts w:ascii="Times New Roman" w:hAnsi="Times New Roman" w:cs="Times New Roman"/>
          <w:sz w:val="24"/>
          <w:szCs w:val="24"/>
          <w:shd w:val="clear" w:color="auto" w:fill="FFFFFF"/>
        </w:rPr>
        <w:t xml:space="preserve">, and Konami. The sponsorships and partnerships are monetary avenues through the countries and companies that gain pride by associating with the </w:t>
      </w:r>
      <w:r w:rsidR="00426230" w:rsidRPr="005B1C35">
        <w:rPr>
          <w:rFonts w:ascii="Times New Roman" w:hAnsi="Times New Roman" w:cs="Times New Roman"/>
          <w:sz w:val="24"/>
          <w:szCs w:val="24"/>
          <w:shd w:val="clear" w:color="auto" w:fill="FFFFFF"/>
        </w:rPr>
        <w:t>C</w:t>
      </w:r>
      <w:r w:rsidRPr="005B1C35">
        <w:rPr>
          <w:rFonts w:ascii="Times New Roman" w:hAnsi="Times New Roman" w:cs="Times New Roman"/>
          <w:sz w:val="24"/>
          <w:szCs w:val="24"/>
          <w:shd w:val="clear" w:color="auto" w:fill="FFFFFF"/>
        </w:rPr>
        <w:t>lub as football is a universal activity that attracts fans from all parts of the world. According to this year's wealthiest clubs, Arsenal ranks 11</w:t>
      </w:r>
      <w:r w:rsidRPr="005B1C35">
        <w:rPr>
          <w:rFonts w:ascii="Times New Roman" w:hAnsi="Times New Roman" w:cs="Times New Roman"/>
          <w:sz w:val="24"/>
          <w:szCs w:val="24"/>
          <w:shd w:val="clear" w:color="auto" w:fill="FFFFFF"/>
          <w:vertAlign w:val="superscript"/>
        </w:rPr>
        <w:t>th,</w:t>
      </w:r>
      <w:r w:rsidRPr="005B1C35">
        <w:rPr>
          <w:rFonts w:ascii="Times New Roman" w:hAnsi="Times New Roman" w:cs="Times New Roman"/>
          <w:sz w:val="24"/>
          <w:szCs w:val="24"/>
          <w:shd w:val="clear" w:color="auto" w:fill="FFFFFF"/>
        </w:rPr>
        <w:t xml:space="preserve"> </w:t>
      </w:r>
      <w:proofErr w:type="gramStart"/>
      <w:r w:rsidR="00426230" w:rsidRPr="005B1C35">
        <w:rPr>
          <w:rFonts w:ascii="Times New Roman" w:hAnsi="Times New Roman" w:cs="Times New Roman"/>
          <w:sz w:val="24"/>
          <w:szCs w:val="24"/>
          <w:shd w:val="clear" w:color="auto" w:fill="FFFFFF"/>
        </w:rPr>
        <w:t>which is among</w:t>
      </w:r>
      <w:r w:rsidRPr="005B1C35">
        <w:rPr>
          <w:rFonts w:ascii="Times New Roman" w:hAnsi="Times New Roman" w:cs="Times New Roman"/>
          <w:sz w:val="24"/>
          <w:szCs w:val="24"/>
          <w:shd w:val="clear" w:color="auto" w:fill="FFFFFF"/>
        </w:rPr>
        <w:t xml:space="preserve"> the most </w:t>
      </w:r>
      <w:r w:rsidRPr="005B1C35">
        <w:rPr>
          <w:rFonts w:ascii="Times New Roman" w:hAnsi="Times New Roman" w:cs="Times New Roman"/>
          <w:sz w:val="24"/>
          <w:szCs w:val="24"/>
          <w:shd w:val="clear" w:color="auto" w:fill="FFFFFF"/>
        </w:rPr>
        <w:lastRenderedPageBreak/>
        <w:t xml:space="preserve">financially stable clubs </w:t>
      </w:r>
      <w:r w:rsidRPr="005B1C35">
        <w:rPr>
          <w:rStyle w:val="selectable"/>
          <w:rFonts w:ascii="Times New Roman" w:hAnsi="Times New Roman" w:cs="Times New Roman"/>
          <w:sz w:val="24"/>
          <w:szCs w:val="24"/>
        </w:rPr>
        <w:t>(Macdonald, 2022)</w:t>
      </w:r>
      <w:r w:rsidRPr="005B1C35">
        <w:rPr>
          <w:rFonts w:ascii="Times New Roman" w:hAnsi="Times New Roman" w:cs="Times New Roman"/>
          <w:sz w:val="24"/>
          <w:szCs w:val="24"/>
          <w:shd w:val="clear" w:color="auto" w:fill="FFFFFF"/>
        </w:rPr>
        <w:t>.</w:t>
      </w:r>
      <w:proofErr w:type="gramEnd"/>
      <w:r w:rsidRPr="005B1C35">
        <w:rPr>
          <w:rFonts w:ascii="Times New Roman" w:hAnsi="Times New Roman" w:cs="Times New Roman"/>
          <w:sz w:val="24"/>
          <w:szCs w:val="24"/>
          <w:shd w:val="clear" w:color="auto" w:fill="FFFFFF"/>
        </w:rPr>
        <w:t xml:space="preserve"> Politically, Arsenal enjoys a </w:t>
      </w:r>
      <w:proofErr w:type="spellStart"/>
      <w:r w:rsidRPr="005B1C35">
        <w:rPr>
          <w:rFonts w:ascii="Times New Roman" w:hAnsi="Times New Roman" w:cs="Times New Roman"/>
          <w:sz w:val="24"/>
          <w:szCs w:val="24"/>
          <w:shd w:val="clear" w:color="auto" w:fill="FFFFFF"/>
        </w:rPr>
        <w:t>favorable</w:t>
      </w:r>
      <w:proofErr w:type="spellEnd"/>
      <w:r w:rsidRPr="005B1C35">
        <w:rPr>
          <w:rFonts w:ascii="Times New Roman" w:hAnsi="Times New Roman" w:cs="Times New Roman"/>
          <w:sz w:val="24"/>
          <w:szCs w:val="24"/>
          <w:shd w:val="clear" w:color="auto" w:fill="FFFFFF"/>
        </w:rPr>
        <w:t xml:space="preserve"> operation climate in London, UK. The region supports football and allows teams to realize their potential.</w:t>
      </w:r>
    </w:p>
    <w:p w14:paraId="2A75FBB9" w14:textId="35CA0096" w:rsidR="002D5E24" w:rsidRPr="005B1C35" w:rsidRDefault="00743898" w:rsidP="005B1C35">
      <w:pPr>
        <w:pStyle w:val="Heading2"/>
        <w:spacing w:before="0" w:line="480" w:lineRule="auto"/>
        <w:rPr>
          <w:rFonts w:ascii="Times New Roman" w:hAnsi="Times New Roman" w:cs="Times New Roman"/>
          <w:color w:val="auto"/>
          <w:sz w:val="24"/>
          <w:szCs w:val="24"/>
        </w:rPr>
      </w:pPr>
      <w:r w:rsidRPr="005B1C35">
        <w:rPr>
          <w:rFonts w:ascii="Times New Roman" w:hAnsi="Times New Roman" w:cs="Times New Roman"/>
          <w:color w:val="auto"/>
          <w:sz w:val="24"/>
          <w:szCs w:val="24"/>
        </w:rPr>
        <w:t xml:space="preserve"> </w:t>
      </w:r>
      <w:bookmarkStart w:id="20" w:name="_Toc100628556"/>
      <w:r w:rsidR="00CC3491">
        <w:rPr>
          <w:rFonts w:ascii="Times New Roman" w:hAnsi="Times New Roman" w:cs="Times New Roman"/>
          <w:color w:val="auto"/>
          <w:sz w:val="24"/>
          <w:szCs w:val="24"/>
        </w:rPr>
        <w:t xml:space="preserve">6.13 </w:t>
      </w:r>
      <w:r w:rsidRPr="005B1C35">
        <w:rPr>
          <w:rFonts w:ascii="Times New Roman" w:hAnsi="Times New Roman" w:cs="Times New Roman"/>
          <w:color w:val="auto"/>
          <w:sz w:val="24"/>
          <w:szCs w:val="24"/>
        </w:rPr>
        <w:t>Evaluation and application of Minsky analysis</w:t>
      </w:r>
      <w:bookmarkEnd w:id="20"/>
    </w:p>
    <w:p w14:paraId="3286CF71" w14:textId="20F1D3D8" w:rsidR="002D5E24" w:rsidRPr="005B1C35" w:rsidRDefault="002D5E24" w:rsidP="005B1C35">
      <w:pPr>
        <w:spacing w:after="0" w:line="480" w:lineRule="auto"/>
        <w:ind w:firstLine="720"/>
        <w:contextualSpacing/>
        <w:rPr>
          <w:rFonts w:ascii="Times New Roman" w:hAnsi="Times New Roman" w:cs="Times New Roman"/>
          <w:sz w:val="24"/>
          <w:szCs w:val="24"/>
          <w:shd w:val="clear" w:color="auto" w:fill="FFFFFF"/>
        </w:rPr>
      </w:pPr>
      <w:r w:rsidRPr="005B1C35">
        <w:rPr>
          <w:rFonts w:ascii="Times New Roman" w:hAnsi="Times New Roman" w:cs="Times New Roman"/>
          <w:sz w:val="24"/>
          <w:szCs w:val="24"/>
          <w:shd w:val="clear" w:color="auto" w:fill="FFFFFF"/>
        </w:rPr>
        <w:t xml:space="preserve">Thus, Arsenal's operation environments are stable. However, the economic aspect, which is more crucial, can further be </w:t>
      </w:r>
      <w:proofErr w:type="spellStart"/>
      <w:r w:rsidRPr="005B1C35">
        <w:rPr>
          <w:rFonts w:ascii="Times New Roman" w:hAnsi="Times New Roman" w:cs="Times New Roman"/>
          <w:sz w:val="24"/>
          <w:szCs w:val="24"/>
          <w:shd w:val="clear" w:color="auto" w:fill="FFFFFF"/>
        </w:rPr>
        <w:t>analyzed</w:t>
      </w:r>
      <w:proofErr w:type="spellEnd"/>
      <w:r w:rsidRPr="005B1C35">
        <w:rPr>
          <w:rFonts w:ascii="Times New Roman" w:hAnsi="Times New Roman" w:cs="Times New Roman"/>
          <w:sz w:val="24"/>
          <w:szCs w:val="24"/>
          <w:shd w:val="clear" w:color="auto" w:fill="FFFFFF"/>
        </w:rPr>
        <w:t xml:space="preserve"> through the Minsky model. </w:t>
      </w:r>
      <w:proofErr w:type="spellStart"/>
      <w:r w:rsidRPr="005B1C35">
        <w:rPr>
          <w:rFonts w:ascii="Times New Roman" w:hAnsi="Times New Roman" w:cs="Times New Roman"/>
          <w:sz w:val="24"/>
          <w:szCs w:val="24"/>
          <w:shd w:val="clear" w:color="auto" w:fill="FFFFFF"/>
        </w:rPr>
        <w:t>Nikolaidi</w:t>
      </w:r>
      <w:proofErr w:type="spellEnd"/>
      <w:r w:rsidRPr="005B1C35">
        <w:rPr>
          <w:rFonts w:ascii="Times New Roman" w:hAnsi="Times New Roman" w:cs="Times New Roman"/>
          <w:sz w:val="24"/>
          <w:szCs w:val="24"/>
          <w:shd w:val="clear" w:color="auto" w:fill="FFFFFF"/>
        </w:rPr>
        <w:t xml:space="preserve"> (2017) argues that it is a model that explores the dynamics of financial instability. Most of the sponsors and partners are currently recurring from the Covid-19 crisis, creating financial hardships for the </w:t>
      </w:r>
      <w:r w:rsidR="00426230" w:rsidRPr="005B1C35">
        <w:rPr>
          <w:rFonts w:ascii="Times New Roman" w:hAnsi="Times New Roman" w:cs="Times New Roman"/>
          <w:sz w:val="24"/>
          <w:szCs w:val="24"/>
          <w:shd w:val="clear" w:color="auto" w:fill="FFFFFF"/>
        </w:rPr>
        <w:t>C</w:t>
      </w:r>
      <w:r w:rsidRPr="005B1C35">
        <w:rPr>
          <w:rFonts w:ascii="Times New Roman" w:hAnsi="Times New Roman" w:cs="Times New Roman"/>
          <w:sz w:val="24"/>
          <w:szCs w:val="24"/>
          <w:shd w:val="clear" w:color="auto" w:fill="FFFFFF"/>
        </w:rPr>
        <w:t xml:space="preserve">lub. This implies that the </w:t>
      </w:r>
      <w:r w:rsidR="00426230" w:rsidRPr="005B1C35">
        <w:rPr>
          <w:rFonts w:ascii="Times New Roman" w:hAnsi="Times New Roman" w:cs="Times New Roman"/>
          <w:sz w:val="24"/>
          <w:szCs w:val="24"/>
          <w:shd w:val="clear" w:color="auto" w:fill="FFFFFF"/>
        </w:rPr>
        <w:t>C</w:t>
      </w:r>
      <w:r w:rsidRPr="005B1C35">
        <w:rPr>
          <w:rFonts w:ascii="Times New Roman" w:hAnsi="Times New Roman" w:cs="Times New Roman"/>
          <w:sz w:val="24"/>
          <w:szCs w:val="24"/>
          <w:shd w:val="clear" w:color="auto" w:fill="FFFFFF"/>
        </w:rPr>
        <w:t>lub is currently financially unstable as the financiers cannot meet their economic obligations due to the economic challenges. Despite many governments easing the pandemics regulations, the prospects indicate that most will recover in a few years. Thus, Arsenal should also develop other money-making strategies to avoid such scenarios of partnerships and sponsors financially induced crisis.</w:t>
      </w:r>
    </w:p>
    <w:p w14:paraId="4E78D8D2" w14:textId="5DBF79DF" w:rsidR="00743898" w:rsidRPr="005B1C35" w:rsidRDefault="007855F5" w:rsidP="005B1C35">
      <w:pPr>
        <w:pStyle w:val="Heading1"/>
        <w:spacing w:before="0" w:line="480" w:lineRule="auto"/>
        <w:rPr>
          <w:rFonts w:ascii="Times New Roman" w:hAnsi="Times New Roman" w:cs="Times New Roman"/>
          <w:color w:val="auto"/>
          <w:sz w:val="24"/>
          <w:szCs w:val="24"/>
        </w:rPr>
      </w:pPr>
      <w:bookmarkStart w:id="21" w:name="_Toc100628557"/>
      <w:r>
        <w:rPr>
          <w:rFonts w:ascii="Times New Roman" w:hAnsi="Times New Roman" w:cs="Times New Roman"/>
          <w:color w:val="auto"/>
          <w:sz w:val="24"/>
          <w:szCs w:val="24"/>
        </w:rPr>
        <w:t xml:space="preserve">7.0 </w:t>
      </w:r>
      <w:r w:rsidR="00743898" w:rsidRPr="005B1C35">
        <w:rPr>
          <w:rFonts w:ascii="Times New Roman" w:hAnsi="Times New Roman" w:cs="Times New Roman"/>
          <w:color w:val="auto"/>
          <w:sz w:val="24"/>
          <w:szCs w:val="24"/>
        </w:rPr>
        <w:t>Conclusion</w:t>
      </w:r>
      <w:bookmarkEnd w:id="21"/>
    </w:p>
    <w:p w14:paraId="1E8AE8A7" w14:textId="744C146B" w:rsidR="00D2635D" w:rsidRPr="005B1C35" w:rsidRDefault="00A60408" w:rsidP="005B1C35">
      <w:pPr>
        <w:spacing w:after="0" w:line="480" w:lineRule="auto"/>
        <w:rPr>
          <w:rFonts w:ascii="Times New Roman" w:hAnsi="Times New Roman" w:cs="Times New Roman"/>
          <w:sz w:val="24"/>
          <w:szCs w:val="24"/>
        </w:rPr>
      </w:pPr>
      <w:r w:rsidRPr="005B1C35">
        <w:rPr>
          <w:rFonts w:ascii="Times New Roman" w:hAnsi="Times New Roman" w:cs="Times New Roman"/>
          <w:sz w:val="24"/>
          <w:szCs w:val="24"/>
        </w:rPr>
        <w:t xml:space="preserve">The paper discussed the capital structure of Arsenal Holdings </w:t>
      </w:r>
      <w:proofErr w:type="spellStart"/>
      <w:r w:rsidRPr="005B1C35">
        <w:rPr>
          <w:rFonts w:ascii="Times New Roman" w:hAnsi="Times New Roman" w:cs="Times New Roman"/>
          <w:sz w:val="24"/>
          <w:szCs w:val="24"/>
        </w:rPr>
        <w:t>PLc</w:t>
      </w:r>
      <w:proofErr w:type="spellEnd"/>
      <w:r w:rsidRPr="005B1C35">
        <w:rPr>
          <w:rFonts w:ascii="Times New Roman" w:hAnsi="Times New Roman" w:cs="Times New Roman"/>
          <w:sz w:val="24"/>
          <w:szCs w:val="24"/>
        </w:rPr>
        <w:t xml:space="preserve"> with a focus on </w:t>
      </w:r>
      <w:proofErr w:type="spellStart"/>
      <w:r w:rsidRPr="005B1C35">
        <w:rPr>
          <w:rFonts w:ascii="Times New Roman" w:hAnsi="Times New Roman" w:cs="Times New Roman"/>
          <w:sz w:val="24"/>
          <w:szCs w:val="24"/>
        </w:rPr>
        <w:t>therories</w:t>
      </w:r>
      <w:proofErr w:type="spellEnd"/>
      <w:r w:rsidRPr="005B1C35">
        <w:rPr>
          <w:rFonts w:ascii="Times New Roman" w:hAnsi="Times New Roman" w:cs="Times New Roman"/>
          <w:sz w:val="24"/>
          <w:szCs w:val="24"/>
        </w:rPr>
        <w:t xml:space="preserve">, ratios and financial statements to elucidate the reason </w:t>
      </w:r>
      <w:proofErr w:type="spellStart"/>
      <w:r w:rsidRPr="005B1C35">
        <w:rPr>
          <w:rFonts w:ascii="Times New Roman" w:hAnsi="Times New Roman" w:cs="Times New Roman"/>
          <w:sz w:val="24"/>
          <w:szCs w:val="24"/>
        </w:rPr>
        <w:t>firsm</w:t>
      </w:r>
      <w:proofErr w:type="spellEnd"/>
      <w:r w:rsidRPr="005B1C35">
        <w:rPr>
          <w:rFonts w:ascii="Times New Roman" w:hAnsi="Times New Roman" w:cs="Times New Roman"/>
          <w:sz w:val="24"/>
          <w:szCs w:val="24"/>
        </w:rPr>
        <w:t xml:space="preserve"> would have a capital structure. AN </w:t>
      </w:r>
      <w:proofErr w:type="spellStart"/>
      <w:r w:rsidRPr="005B1C35">
        <w:rPr>
          <w:rFonts w:ascii="Times New Roman" w:hAnsi="Times New Roman" w:cs="Times New Roman"/>
          <w:sz w:val="24"/>
          <w:szCs w:val="24"/>
        </w:rPr>
        <w:t>onservation</w:t>
      </w:r>
      <w:proofErr w:type="spellEnd"/>
      <w:r w:rsidRPr="005B1C35">
        <w:rPr>
          <w:rFonts w:ascii="Times New Roman" w:hAnsi="Times New Roman" w:cs="Times New Roman"/>
          <w:sz w:val="24"/>
          <w:szCs w:val="24"/>
        </w:rPr>
        <w:t xml:space="preserve"> of the </w:t>
      </w:r>
      <w:proofErr w:type="spellStart"/>
      <w:r w:rsidRPr="005B1C35">
        <w:rPr>
          <w:rFonts w:ascii="Times New Roman" w:hAnsi="Times New Roman" w:cs="Times New Roman"/>
          <w:sz w:val="24"/>
          <w:szCs w:val="24"/>
        </w:rPr>
        <w:t>firms</w:t>
      </w:r>
      <w:proofErr w:type="spellEnd"/>
      <w:r w:rsidRPr="005B1C35">
        <w:rPr>
          <w:rFonts w:ascii="Times New Roman" w:hAnsi="Times New Roman" w:cs="Times New Roman"/>
          <w:sz w:val="24"/>
          <w:szCs w:val="24"/>
        </w:rPr>
        <w:t xml:space="preserve"> financial reports and </w:t>
      </w:r>
      <w:proofErr w:type="spellStart"/>
      <w:r w:rsidR="00291DCF" w:rsidRPr="005B1C35">
        <w:rPr>
          <w:rFonts w:ascii="Times New Roman" w:hAnsi="Times New Roman" w:cs="Times New Roman"/>
          <w:sz w:val="24"/>
          <w:szCs w:val="24"/>
        </w:rPr>
        <w:t>and</w:t>
      </w:r>
      <w:proofErr w:type="spellEnd"/>
      <w:r w:rsidR="00291DCF" w:rsidRPr="005B1C35">
        <w:rPr>
          <w:rFonts w:ascii="Times New Roman" w:hAnsi="Times New Roman" w:cs="Times New Roman"/>
          <w:sz w:val="24"/>
          <w:szCs w:val="24"/>
        </w:rPr>
        <w:t xml:space="preserve"> calculation of key metrics realized a gearing </w:t>
      </w:r>
      <w:r w:rsidR="00641E8D" w:rsidRPr="005B1C35">
        <w:rPr>
          <w:rFonts w:ascii="Times New Roman" w:hAnsi="Times New Roman" w:cs="Times New Roman"/>
          <w:sz w:val="24"/>
          <w:szCs w:val="24"/>
        </w:rPr>
        <w:t>ratio of 63.15</w:t>
      </w:r>
      <w:r w:rsidR="00291DCF" w:rsidRPr="005B1C35">
        <w:rPr>
          <w:rFonts w:ascii="Times New Roman" w:hAnsi="Times New Roman" w:cs="Times New Roman"/>
          <w:sz w:val="24"/>
          <w:szCs w:val="24"/>
        </w:rPr>
        <w:t>%</w:t>
      </w:r>
      <w:r w:rsidR="00641E8D" w:rsidRPr="005B1C35">
        <w:rPr>
          <w:rFonts w:ascii="Times New Roman" w:hAnsi="Times New Roman" w:cs="Times New Roman"/>
          <w:sz w:val="24"/>
          <w:szCs w:val="24"/>
        </w:rPr>
        <w:t xml:space="preserve"> in 2020 and increased to </w:t>
      </w:r>
      <w:r w:rsidR="000C59F9" w:rsidRPr="005B1C35">
        <w:rPr>
          <w:rFonts w:ascii="Times New Roman" w:hAnsi="Times New Roman" w:cs="Times New Roman"/>
          <w:sz w:val="24"/>
          <w:szCs w:val="24"/>
        </w:rPr>
        <w:t xml:space="preserve">69.82% in 2021. The increase in gearing ratio was </w:t>
      </w:r>
      <w:proofErr w:type="spellStart"/>
      <w:r w:rsidR="000C59F9" w:rsidRPr="005B1C35">
        <w:rPr>
          <w:rFonts w:ascii="Times New Roman" w:hAnsi="Times New Roman" w:cs="Times New Roman"/>
          <w:sz w:val="24"/>
          <w:szCs w:val="24"/>
        </w:rPr>
        <w:t>necessiatated</w:t>
      </w:r>
      <w:proofErr w:type="spellEnd"/>
      <w:r w:rsidR="000C59F9" w:rsidRPr="005B1C35">
        <w:rPr>
          <w:rFonts w:ascii="Times New Roman" w:hAnsi="Times New Roman" w:cs="Times New Roman"/>
          <w:sz w:val="24"/>
          <w:szCs w:val="24"/>
        </w:rPr>
        <w:t xml:space="preserve"> by the need to manage working capital which required additional overdraft to bridge the gap for </w:t>
      </w:r>
      <w:r w:rsidR="006A1E23" w:rsidRPr="005B1C35">
        <w:rPr>
          <w:rFonts w:ascii="Times New Roman" w:hAnsi="Times New Roman" w:cs="Times New Roman"/>
          <w:sz w:val="24"/>
          <w:szCs w:val="24"/>
        </w:rPr>
        <w:t>illiquidity</w:t>
      </w:r>
      <w:r w:rsidR="00291DCF" w:rsidRPr="005B1C35">
        <w:rPr>
          <w:rFonts w:ascii="Times New Roman" w:hAnsi="Times New Roman" w:cs="Times New Roman"/>
          <w:sz w:val="24"/>
          <w:szCs w:val="24"/>
        </w:rPr>
        <w:t xml:space="preserve">. </w:t>
      </w:r>
      <w:r w:rsidR="006A1E23" w:rsidRPr="005B1C35">
        <w:rPr>
          <w:rFonts w:ascii="Times New Roman" w:hAnsi="Times New Roman" w:cs="Times New Roman"/>
          <w:sz w:val="24"/>
          <w:szCs w:val="24"/>
        </w:rPr>
        <w:t>69.82%</w:t>
      </w:r>
      <w:r w:rsidR="00291DCF" w:rsidRPr="005B1C35">
        <w:rPr>
          <w:rFonts w:ascii="Times New Roman" w:hAnsi="Times New Roman" w:cs="Times New Roman"/>
          <w:sz w:val="24"/>
          <w:szCs w:val="24"/>
        </w:rPr>
        <w:t xml:space="preserve"> is a high gearing ratio meaning that the fin</w:t>
      </w:r>
      <w:r w:rsidR="006E72C6" w:rsidRPr="005B1C35">
        <w:rPr>
          <w:rFonts w:ascii="Times New Roman" w:hAnsi="Times New Roman" w:cs="Times New Roman"/>
          <w:sz w:val="24"/>
          <w:szCs w:val="24"/>
        </w:rPr>
        <w:t xml:space="preserve">ancing of Arsenal football club is primarily debt based. Equity </w:t>
      </w:r>
      <w:proofErr w:type="gramStart"/>
      <w:r w:rsidR="006E72C6" w:rsidRPr="005B1C35">
        <w:rPr>
          <w:rFonts w:ascii="Times New Roman" w:hAnsi="Times New Roman" w:cs="Times New Roman"/>
          <w:sz w:val="24"/>
          <w:szCs w:val="24"/>
        </w:rPr>
        <w:t>capital consist</w:t>
      </w:r>
      <w:proofErr w:type="gramEnd"/>
      <w:r w:rsidR="006E72C6" w:rsidRPr="005B1C35">
        <w:rPr>
          <w:rFonts w:ascii="Times New Roman" w:hAnsi="Times New Roman" w:cs="Times New Roman"/>
          <w:sz w:val="24"/>
          <w:szCs w:val="24"/>
        </w:rPr>
        <w:t xml:space="preserve"> only of </w:t>
      </w:r>
      <w:r w:rsidR="006A1E23" w:rsidRPr="005B1C35">
        <w:rPr>
          <w:rFonts w:ascii="Times New Roman" w:hAnsi="Times New Roman" w:cs="Times New Roman"/>
          <w:sz w:val="24"/>
          <w:szCs w:val="24"/>
        </w:rPr>
        <w:t>30.18% equity accounting for £237,255</w:t>
      </w:r>
      <w:r w:rsidR="004A0997" w:rsidRPr="005B1C35">
        <w:rPr>
          <w:rFonts w:ascii="Times New Roman" w:hAnsi="Times New Roman" w:cs="Times New Roman"/>
          <w:sz w:val="24"/>
          <w:szCs w:val="24"/>
        </w:rPr>
        <w:t>. Additionally, the company continued to make losses year-after-year</w:t>
      </w:r>
      <w:r w:rsidR="00320E14" w:rsidRPr="005B1C35">
        <w:rPr>
          <w:rFonts w:ascii="Times New Roman" w:hAnsi="Times New Roman" w:cs="Times New Roman"/>
          <w:sz w:val="24"/>
          <w:szCs w:val="24"/>
        </w:rPr>
        <w:t xml:space="preserve"> occasioned by large payment of interest to repay the amount borrowed to build the new stadium. Revenues have also been reducing due to lack of </w:t>
      </w:r>
      <w:proofErr w:type="gramStart"/>
      <w:r w:rsidR="00FD0CD1" w:rsidRPr="005B1C35">
        <w:rPr>
          <w:rFonts w:ascii="Times New Roman" w:hAnsi="Times New Roman" w:cs="Times New Roman"/>
          <w:sz w:val="24"/>
          <w:szCs w:val="24"/>
        </w:rPr>
        <w:t>champions</w:t>
      </w:r>
      <w:proofErr w:type="gramEnd"/>
      <w:r w:rsidR="00FD0CD1" w:rsidRPr="005B1C35">
        <w:rPr>
          <w:rFonts w:ascii="Times New Roman" w:hAnsi="Times New Roman" w:cs="Times New Roman"/>
          <w:sz w:val="24"/>
          <w:szCs w:val="24"/>
        </w:rPr>
        <w:t xml:space="preserve"> league </w:t>
      </w:r>
      <w:r w:rsidR="00FD0CD1" w:rsidRPr="005B1C35">
        <w:rPr>
          <w:rFonts w:ascii="Times New Roman" w:hAnsi="Times New Roman" w:cs="Times New Roman"/>
          <w:sz w:val="24"/>
          <w:szCs w:val="24"/>
        </w:rPr>
        <w:lastRenderedPageBreak/>
        <w:t xml:space="preserve">football and reduction of </w:t>
      </w:r>
      <w:proofErr w:type="spellStart"/>
      <w:r w:rsidR="00FD0CD1" w:rsidRPr="005B1C35">
        <w:rPr>
          <w:rFonts w:ascii="Times New Roman" w:hAnsi="Times New Roman" w:cs="Times New Roman"/>
          <w:sz w:val="24"/>
          <w:szCs w:val="24"/>
        </w:rPr>
        <w:t>tucket</w:t>
      </w:r>
      <w:proofErr w:type="spellEnd"/>
      <w:r w:rsidR="00FD0CD1" w:rsidRPr="005B1C35">
        <w:rPr>
          <w:rFonts w:ascii="Times New Roman" w:hAnsi="Times New Roman" w:cs="Times New Roman"/>
          <w:sz w:val="24"/>
          <w:szCs w:val="24"/>
        </w:rPr>
        <w:t xml:space="preserve"> sales amid the covid-19 pandemic. For these reasons and Arsenal being private company </w:t>
      </w:r>
      <w:r w:rsidR="00CB65D6" w:rsidRPr="005B1C35">
        <w:rPr>
          <w:rFonts w:ascii="Times New Roman" w:hAnsi="Times New Roman" w:cs="Times New Roman"/>
          <w:sz w:val="24"/>
          <w:szCs w:val="24"/>
        </w:rPr>
        <w:t>the directors saw no relevance in declaring dividends.</w:t>
      </w:r>
    </w:p>
    <w:p w14:paraId="0BD85E93" w14:textId="7F700761" w:rsidR="00E65AFD" w:rsidRPr="005B1C35" w:rsidRDefault="00E65AFD" w:rsidP="005B1C35">
      <w:pPr>
        <w:spacing w:after="0" w:line="480" w:lineRule="auto"/>
        <w:rPr>
          <w:rFonts w:ascii="Times New Roman" w:hAnsi="Times New Roman" w:cs="Times New Roman"/>
          <w:b/>
          <w:sz w:val="24"/>
          <w:szCs w:val="24"/>
        </w:rPr>
      </w:pPr>
    </w:p>
    <w:p w14:paraId="07D7FF3D" w14:textId="04678953" w:rsidR="00E65AFD" w:rsidRPr="005B1C35" w:rsidRDefault="00E65AFD" w:rsidP="005B1C35">
      <w:pPr>
        <w:spacing w:after="0" w:line="480" w:lineRule="auto"/>
        <w:rPr>
          <w:rFonts w:ascii="Times New Roman" w:hAnsi="Times New Roman" w:cs="Times New Roman"/>
          <w:b/>
          <w:sz w:val="24"/>
          <w:szCs w:val="24"/>
        </w:rPr>
      </w:pPr>
    </w:p>
    <w:p w14:paraId="130BF78B" w14:textId="4D24406C" w:rsidR="00E65AFD" w:rsidRPr="005B1C35" w:rsidRDefault="00E65AFD" w:rsidP="005B1C35">
      <w:pPr>
        <w:spacing w:after="0" w:line="480" w:lineRule="auto"/>
        <w:rPr>
          <w:rFonts w:ascii="Times New Roman" w:hAnsi="Times New Roman" w:cs="Times New Roman"/>
          <w:b/>
          <w:sz w:val="24"/>
          <w:szCs w:val="24"/>
        </w:rPr>
      </w:pPr>
    </w:p>
    <w:p w14:paraId="02C86088" w14:textId="5C2BE718" w:rsidR="00E65AFD" w:rsidRPr="005B1C35" w:rsidRDefault="00E65AFD" w:rsidP="005B1C35">
      <w:pPr>
        <w:spacing w:after="0" w:line="480" w:lineRule="auto"/>
        <w:rPr>
          <w:rFonts w:ascii="Times New Roman" w:hAnsi="Times New Roman" w:cs="Times New Roman"/>
          <w:b/>
          <w:sz w:val="24"/>
          <w:szCs w:val="24"/>
        </w:rPr>
      </w:pPr>
    </w:p>
    <w:p w14:paraId="1B4D6B93" w14:textId="0424A772" w:rsidR="00E65AFD" w:rsidRPr="005B1C35" w:rsidRDefault="00E65AFD" w:rsidP="005B1C35">
      <w:pPr>
        <w:spacing w:after="0" w:line="480" w:lineRule="auto"/>
        <w:rPr>
          <w:rFonts w:ascii="Times New Roman" w:hAnsi="Times New Roman" w:cs="Times New Roman"/>
          <w:b/>
          <w:sz w:val="24"/>
          <w:szCs w:val="24"/>
        </w:rPr>
      </w:pPr>
    </w:p>
    <w:p w14:paraId="0D386701" w14:textId="47D459BE" w:rsidR="00E65AFD" w:rsidRPr="005B1C35" w:rsidRDefault="00E65AFD" w:rsidP="005B1C35">
      <w:pPr>
        <w:spacing w:after="0" w:line="480" w:lineRule="auto"/>
        <w:rPr>
          <w:rFonts w:ascii="Times New Roman" w:hAnsi="Times New Roman" w:cs="Times New Roman"/>
          <w:b/>
          <w:sz w:val="24"/>
          <w:szCs w:val="24"/>
        </w:rPr>
      </w:pPr>
    </w:p>
    <w:p w14:paraId="3883B9B2" w14:textId="3077BC2E" w:rsidR="00E65AFD" w:rsidRPr="005B1C35" w:rsidRDefault="00E65AFD" w:rsidP="005B1C35">
      <w:pPr>
        <w:spacing w:after="0" w:line="480" w:lineRule="auto"/>
        <w:rPr>
          <w:rFonts w:ascii="Times New Roman" w:hAnsi="Times New Roman" w:cs="Times New Roman"/>
          <w:b/>
          <w:sz w:val="24"/>
          <w:szCs w:val="24"/>
        </w:rPr>
      </w:pPr>
    </w:p>
    <w:p w14:paraId="7C7AF45E" w14:textId="13FDBB2E" w:rsidR="00E65AFD" w:rsidRPr="005B1C35" w:rsidRDefault="00E65AFD" w:rsidP="005B1C35">
      <w:pPr>
        <w:spacing w:after="0" w:line="480" w:lineRule="auto"/>
        <w:rPr>
          <w:rFonts w:ascii="Times New Roman" w:hAnsi="Times New Roman" w:cs="Times New Roman"/>
          <w:b/>
          <w:sz w:val="24"/>
          <w:szCs w:val="24"/>
        </w:rPr>
      </w:pPr>
    </w:p>
    <w:p w14:paraId="08027F19" w14:textId="62D29C13" w:rsidR="00E65AFD" w:rsidRPr="005B1C35" w:rsidRDefault="00E65AFD" w:rsidP="005B1C35">
      <w:pPr>
        <w:spacing w:after="0" w:line="480" w:lineRule="auto"/>
        <w:rPr>
          <w:rFonts w:ascii="Times New Roman" w:hAnsi="Times New Roman" w:cs="Times New Roman"/>
          <w:b/>
          <w:sz w:val="24"/>
          <w:szCs w:val="24"/>
        </w:rPr>
      </w:pPr>
    </w:p>
    <w:p w14:paraId="60EE2108" w14:textId="77777777" w:rsidR="00E65AFD" w:rsidRPr="005B1C35" w:rsidRDefault="00E65AFD" w:rsidP="005B1C35">
      <w:pPr>
        <w:spacing w:after="0" w:line="480" w:lineRule="auto"/>
        <w:rPr>
          <w:rFonts w:ascii="Times New Roman" w:hAnsi="Times New Roman" w:cs="Times New Roman"/>
          <w:b/>
          <w:sz w:val="24"/>
          <w:szCs w:val="24"/>
        </w:rPr>
      </w:pPr>
    </w:p>
    <w:p w14:paraId="01551541" w14:textId="77777777" w:rsidR="00711A31" w:rsidRPr="005B1C35" w:rsidRDefault="00711A31" w:rsidP="005B1C35">
      <w:pPr>
        <w:spacing w:after="0" w:line="480" w:lineRule="auto"/>
        <w:rPr>
          <w:rFonts w:ascii="Times New Roman" w:hAnsi="Times New Roman" w:cs="Times New Roman"/>
          <w:b/>
          <w:sz w:val="24"/>
          <w:szCs w:val="24"/>
        </w:rPr>
      </w:pPr>
    </w:p>
    <w:p w14:paraId="381CFCE3" w14:textId="77777777" w:rsidR="00711A31" w:rsidRPr="005B1C35" w:rsidRDefault="00711A31" w:rsidP="005B1C35">
      <w:pPr>
        <w:spacing w:after="0" w:line="480" w:lineRule="auto"/>
        <w:rPr>
          <w:rFonts w:ascii="Times New Roman" w:hAnsi="Times New Roman" w:cs="Times New Roman"/>
          <w:b/>
          <w:sz w:val="24"/>
          <w:szCs w:val="24"/>
        </w:rPr>
      </w:pPr>
    </w:p>
    <w:p w14:paraId="4B1E52A1" w14:textId="77777777" w:rsidR="00711A31" w:rsidRPr="005B1C35" w:rsidRDefault="00711A31" w:rsidP="005B1C35">
      <w:pPr>
        <w:spacing w:after="0" w:line="480" w:lineRule="auto"/>
        <w:rPr>
          <w:rFonts w:ascii="Times New Roman" w:hAnsi="Times New Roman" w:cs="Times New Roman"/>
          <w:b/>
          <w:sz w:val="24"/>
          <w:szCs w:val="24"/>
        </w:rPr>
      </w:pPr>
    </w:p>
    <w:p w14:paraId="6554B856" w14:textId="77777777" w:rsidR="00711A31" w:rsidRPr="005B1C35" w:rsidRDefault="00711A31" w:rsidP="005B1C35">
      <w:pPr>
        <w:spacing w:after="0" w:line="480" w:lineRule="auto"/>
        <w:rPr>
          <w:rFonts w:ascii="Times New Roman" w:hAnsi="Times New Roman" w:cs="Times New Roman"/>
          <w:b/>
          <w:sz w:val="24"/>
          <w:szCs w:val="24"/>
        </w:rPr>
      </w:pPr>
    </w:p>
    <w:p w14:paraId="7E30B0E0" w14:textId="77777777" w:rsidR="00711A31" w:rsidRPr="005B1C35" w:rsidRDefault="00711A31" w:rsidP="005B1C35">
      <w:pPr>
        <w:spacing w:after="0" w:line="480" w:lineRule="auto"/>
        <w:rPr>
          <w:rFonts w:ascii="Times New Roman" w:hAnsi="Times New Roman" w:cs="Times New Roman"/>
          <w:b/>
          <w:sz w:val="24"/>
          <w:szCs w:val="24"/>
        </w:rPr>
      </w:pPr>
    </w:p>
    <w:p w14:paraId="6582A81B" w14:textId="77777777" w:rsidR="00711A31" w:rsidRPr="005B1C35" w:rsidRDefault="00711A31" w:rsidP="005B1C35">
      <w:pPr>
        <w:spacing w:after="0" w:line="480" w:lineRule="auto"/>
        <w:rPr>
          <w:rFonts w:ascii="Times New Roman" w:hAnsi="Times New Roman" w:cs="Times New Roman"/>
          <w:b/>
          <w:sz w:val="24"/>
          <w:szCs w:val="24"/>
        </w:rPr>
      </w:pPr>
    </w:p>
    <w:p w14:paraId="401DDD0B" w14:textId="77777777" w:rsidR="007855F5" w:rsidRDefault="007855F5" w:rsidP="005B1C35">
      <w:pPr>
        <w:pStyle w:val="Heading1"/>
        <w:spacing w:before="0" w:line="480" w:lineRule="auto"/>
        <w:rPr>
          <w:rFonts w:ascii="Times New Roman" w:hAnsi="Times New Roman" w:cs="Times New Roman"/>
          <w:color w:val="auto"/>
          <w:sz w:val="24"/>
          <w:szCs w:val="24"/>
        </w:rPr>
      </w:pPr>
    </w:p>
    <w:p w14:paraId="54B5C6D0" w14:textId="77777777" w:rsidR="007855F5" w:rsidRDefault="007855F5" w:rsidP="005B1C35">
      <w:pPr>
        <w:pStyle w:val="Heading1"/>
        <w:spacing w:before="0" w:line="480" w:lineRule="auto"/>
        <w:rPr>
          <w:rFonts w:ascii="Times New Roman" w:hAnsi="Times New Roman" w:cs="Times New Roman"/>
          <w:color w:val="auto"/>
          <w:sz w:val="24"/>
          <w:szCs w:val="24"/>
        </w:rPr>
      </w:pPr>
    </w:p>
    <w:p w14:paraId="5C98EEE8" w14:textId="77777777" w:rsidR="007855F5" w:rsidRDefault="007855F5" w:rsidP="005B1C35">
      <w:pPr>
        <w:pStyle w:val="Heading1"/>
        <w:spacing w:before="0" w:line="480" w:lineRule="auto"/>
        <w:rPr>
          <w:rFonts w:ascii="Times New Roman" w:hAnsi="Times New Roman" w:cs="Times New Roman"/>
          <w:color w:val="auto"/>
          <w:sz w:val="24"/>
          <w:szCs w:val="24"/>
        </w:rPr>
      </w:pPr>
    </w:p>
    <w:p w14:paraId="47101DC9" w14:textId="77777777" w:rsidR="007855F5" w:rsidRDefault="007855F5" w:rsidP="005B1C35">
      <w:pPr>
        <w:pStyle w:val="Heading1"/>
        <w:spacing w:before="0" w:line="480" w:lineRule="auto"/>
        <w:rPr>
          <w:rFonts w:ascii="Times New Roman" w:hAnsi="Times New Roman" w:cs="Times New Roman"/>
          <w:color w:val="auto"/>
          <w:sz w:val="24"/>
          <w:szCs w:val="24"/>
        </w:rPr>
      </w:pPr>
    </w:p>
    <w:p w14:paraId="50537100" w14:textId="77777777" w:rsidR="007855F5" w:rsidRPr="007855F5" w:rsidRDefault="007855F5" w:rsidP="007855F5"/>
    <w:p w14:paraId="0D22D0F3" w14:textId="15B34372" w:rsidR="00743898" w:rsidRPr="005B1C35" w:rsidRDefault="007855F5" w:rsidP="005B1C35">
      <w:pPr>
        <w:pStyle w:val="Heading1"/>
        <w:spacing w:before="0" w:line="480" w:lineRule="auto"/>
        <w:rPr>
          <w:rFonts w:ascii="Times New Roman" w:hAnsi="Times New Roman" w:cs="Times New Roman"/>
          <w:color w:val="auto"/>
          <w:sz w:val="24"/>
          <w:szCs w:val="24"/>
        </w:rPr>
      </w:pPr>
      <w:bookmarkStart w:id="22" w:name="_Toc100628558"/>
      <w:r>
        <w:rPr>
          <w:rFonts w:ascii="Times New Roman" w:hAnsi="Times New Roman" w:cs="Times New Roman"/>
          <w:color w:val="auto"/>
          <w:sz w:val="24"/>
          <w:szCs w:val="24"/>
        </w:rPr>
        <w:lastRenderedPageBreak/>
        <w:t xml:space="preserve">8.0 </w:t>
      </w:r>
      <w:r w:rsidR="00743898" w:rsidRPr="005B1C35">
        <w:rPr>
          <w:rFonts w:ascii="Times New Roman" w:hAnsi="Times New Roman" w:cs="Times New Roman"/>
          <w:color w:val="auto"/>
          <w:sz w:val="24"/>
          <w:szCs w:val="24"/>
        </w:rPr>
        <w:t>References</w:t>
      </w:r>
      <w:bookmarkEnd w:id="22"/>
    </w:p>
    <w:p w14:paraId="0BB6B9E5" w14:textId="77777777" w:rsidR="0034752B" w:rsidRPr="0045316E" w:rsidRDefault="0034752B" w:rsidP="0034752B">
      <w:pPr>
        <w:spacing w:line="480" w:lineRule="auto"/>
        <w:ind w:left="720" w:hanging="720"/>
        <w:rPr>
          <w:rFonts w:ascii="Times New Roman" w:hAnsi="Times New Roman" w:cs="Times New Roman"/>
          <w:sz w:val="24"/>
          <w:szCs w:val="24"/>
        </w:rPr>
      </w:pPr>
      <w:proofErr w:type="spellStart"/>
      <w:r w:rsidRPr="0045316E">
        <w:rPr>
          <w:rFonts w:ascii="Times New Roman" w:hAnsi="Times New Roman" w:cs="Times New Roman"/>
          <w:sz w:val="24"/>
          <w:szCs w:val="24"/>
        </w:rPr>
        <w:t>Asai</w:t>
      </w:r>
      <w:proofErr w:type="spellEnd"/>
      <w:r w:rsidRPr="0045316E">
        <w:rPr>
          <w:rFonts w:ascii="Times New Roman" w:hAnsi="Times New Roman" w:cs="Times New Roman"/>
          <w:sz w:val="24"/>
          <w:szCs w:val="24"/>
        </w:rPr>
        <w:t xml:space="preserve">, K. (2020). </w:t>
      </w:r>
      <w:r w:rsidRPr="0045316E">
        <w:rPr>
          <w:rFonts w:ascii="Times New Roman" w:hAnsi="Times New Roman" w:cs="Times New Roman"/>
          <w:i/>
          <w:iCs/>
          <w:sz w:val="24"/>
          <w:szCs w:val="24"/>
        </w:rPr>
        <w:t>Corporate finance and capital structure: A theoretical introduction</w:t>
      </w:r>
      <w:r w:rsidRPr="0045316E">
        <w:rPr>
          <w:rFonts w:ascii="Times New Roman" w:hAnsi="Times New Roman" w:cs="Times New Roman"/>
          <w:sz w:val="24"/>
          <w:szCs w:val="24"/>
        </w:rPr>
        <w:t xml:space="preserve">. </w:t>
      </w:r>
      <w:proofErr w:type="gramStart"/>
      <w:r w:rsidRPr="0045316E">
        <w:rPr>
          <w:rFonts w:ascii="Times New Roman" w:hAnsi="Times New Roman" w:cs="Times New Roman"/>
          <w:sz w:val="24"/>
          <w:szCs w:val="24"/>
        </w:rPr>
        <w:t>Routledge.</w:t>
      </w:r>
      <w:proofErr w:type="gramEnd"/>
    </w:p>
    <w:p w14:paraId="7C0641D5" w14:textId="77777777" w:rsidR="0034752B" w:rsidRPr="0045316E" w:rsidRDefault="0034752B" w:rsidP="0034752B">
      <w:pPr>
        <w:spacing w:line="480" w:lineRule="auto"/>
        <w:ind w:left="720" w:hanging="720"/>
        <w:rPr>
          <w:rFonts w:ascii="Times New Roman" w:hAnsi="Times New Roman" w:cs="Times New Roman"/>
          <w:sz w:val="24"/>
          <w:szCs w:val="24"/>
        </w:rPr>
      </w:pPr>
      <w:proofErr w:type="gramStart"/>
      <w:r w:rsidRPr="0045316E">
        <w:rPr>
          <w:rFonts w:ascii="Times New Roman" w:hAnsi="Times New Roman" w:cs="Times New Roman"/>
          <w:sz w:val="24"/>
          <w:szCs w:val="24"/>
        </w:rPr>
        <w:t>Arsenal Holdings Plc. (2021).</w:t>
      </w:r>
      <w:proofErr w:type="gramEnd"/>
      <w:r w:rsidRPr="0045316E">
        <w:rPr>
          <w:rFonts w:ascii="Times New Roman" w:hAnsi="Times New Roman" w:cs="Times New Roman"/>
          <w:sz w:val="24"/>
          <w:szCs w:val="24"/>
        </w:rPr>
        <w:t xml:space="preserve"> Financial reports for the year ended 30</w:t>
      </w:r>
      <w:r w:rsidRPr="0045316E">
        <w:rPr>
          <w:rFonts w:ascii="Times New Roman" w:hAnsi="Times New Roman" w:cs="Times New Roman"/>
          <w:sz w:val="24"/>
          <w:szCs w:val="24"/>
          <w:vertAlign w:val="superscript"/>
        </w:rPr>
        <w:t>th</w:t>
      </w:r>
      <w:r w:rsidRPr="0045316E">
        <w:rPr>
          <w:rFonts w:ascii="Times New Roman" w:hAnsi="Times New Roman" w:cs="Times New Roman"/>
          <w:sz w:val="24"/>
          <w:szCs w:val="24"/>
        </w:rPr>
        <w:t xml:space="preserve"> June 2021. Retrieved from: </w:t>
      </w:r>
      <w:hyperlink r:id="rId9" w:history="1">
        <w:r w:rsidRPr="0045316E">
          <w:rPr>
            <w:rStyle w:val="Hyperlink"/>
            <w:rFonts w:ascii="Times New Roman" w:hAnsi="Times New Roman" w:cs="Times New Roman"/>
            <w:sz w:val="24"/>
            <w:szCs w:val="24"/>
          </w:rPr>
          <w:t>https://www.arsenal.com/the-club/corporate-info/arsenal-holdings-financial-results</w:t>
        </w:r>
      </w:hyperlink>
      <w:r w:rsidRPr="0045316E">
        <w:rPr>
          <w:rFonts w:ascii="Times New Roman" w:hAnsi="Times New Roman" w:cs="Times New Roman"/>
          <w:sz w:val="24"/>
          <w:szCs w:val="24"/>
        </w:rPr>
        <w:t xml:space="preserve"> </w:t>
      </w:r>
    </w:p>
    <w:p w14:paraId="444B6998" w14:textId="77777777" w:rsidR="002D5E24" w:rsidRPr="0045316E" w:rsidRDefault="0034752B" w:rsidP="0034752B">
      <w:pPr>
        <w:spacing w:line="480" w:lineRule="auto"/>
        <w:ind w:left="720" w:hanging="720"/>
        <w:rPr>
          <w:rStyle w:val="Hyperlink"/>
          <w:rFonts w:ascii="Times New Roman" w:hAnsi="Times New Roman" w:cs="Times New Roman"/>
          <w:sz w:val="24"/>
          <w:szCs w:val="24"/>
        </w:rPr>
      </w:pPr>
      <w:proofErr w:type="gramStart"/>
      <w:r w:rsidRPr="0045316E">
        <w:rPr>
          <w:rFonts w:ascii="Times New Roman" w:hAnsi="Times New Roman" w:cs="Times New Roman"/>
          <w:sz w:val="24"/>
          <w:szCs w:val="24"/>
        </w:rPr>
        <w:t>Bloomberg.</w:t>
      </w:r>
      <w:proofErr w:type="gramEnd"/>
      <w:r w:rsidRPr="0045316E">
        <w:rPr>
          <w:rFonts w:ascii="Times New Roman" w:hAnsi="Times New Roman" w:cs="Times New Roman"/>
          <w:sz w:val="24"/>
          <w:szCs w:val="24"/>
        </w:rPr>
        <w:t xml:space="preserve"> (</w:t>
      </w:r>
      <w:proofErr w:type="spellStart"/>
      <w:proofErr w:type="gramStart"/>
      <w:r w:rsidRPr="0045316E">
        <w:rPr>
          <w:rFonts w:ascii="Times New Roman" w:hAnsi="Times New Roman" w:cs="Times New Roman"/>
          <w:sz w:val="24"/>
          <w:szCs w:val="24"/>
        </w:rPr>
        <w:t>nd</w:t>
      </w:r>
      <w:proofErr w:type="spellEnd"/>
      <w:proofErr w:type="gramEnd"/>
      <w:r w:rsidRPr="0045316E">
        <w:rPr>
          <w:rFonts w:ascii="Times New Roman" w:hAnsi="Times New Roman" w:cs="Times New Roman"/>
          <w:sz w:val="24"/>
          <w:szCs w:val="24"/>
        </w:rPr>
        <w:t xml:space="preserve">). Arsenal Holdings Ltd. Retrieved from: Retrieved from: </w:t>
      </w:r>
      <w:hyperlink r:id="rId10" w:history="1">
        <w:r w:rsidRPr="0045316E">
          <w:rPr>
            <w:rStyle w:val="Hyperlink"/>
            <w:rFonts w:ascii="Times New Roman" w:hAnsi="Times New Roman" w:cs="Times New Roman"/>
            <w:sz w:val="24"/>
            <w:szCs w:val="24"/>
          </w:rPr>
          <w:t>https://www.bloomberg.com/profile/company/AFC:PZ</w:t>
        </w:r>
      </w:hyperlink>
    </w:p>
    <w:p w14:paraId="1C1ECC94" w14:textId="77777777" w:rsidR="002D5E24" w:rsidRPr="0045316E" w:rsidRDefault="002D5E24" w:rsidP="002D5E24">
      <w:pPr>
        <w:spacing w:after="0" w:line="480" w:lineRule="auto"/>
        <w:ind w:left="720" w:hanging="720"/>
        <w:contextualSpacing/>
        <w:rPr>
          <w:rFonts w:ascii="Times New Roman" w:eastAsia="Times New Roman" w:hAnsi="Times New Roman" w:cs="Times New Roman"/>
          <w:sz w:val="24"/>
          <w:szCs w:val="24"/>
        </w:rPr>
      </w:pPr>
      <w:proofErr w:type="spellStart"/>
      <w:r w:rsidRPr="0045316E">
        <w:rPr>
          <w:rFonts w:ascii="Times New Roman" w:eastAsia="Times New Roman" w:hAnsi="Times New Roman" w:cs="Times New Roman"/>
          <w:sz w:val="24"/>
          <w:szCs w:val="24"/>
        </w:rPr>
        <w:t>Buye</w:t>
      </w:r>
      <w:proofErr w:type="spellEnd"/>
      <w:r w:rsidRPr="0045316E">
        <w:rPr>
          <w:rFonts w:ascii="Times New Roman" w:eastAsia="Times New Roman" w:hAnsi="Times New Roman" w:cs="Times New Roman"/>
          <w:sz w:val="24"/>
          <w:szCs w:val="24"/>
        </w:rPr>
        <w:t xml:space="preserve">, Ronald. (2021). "(PDF) Critical Examination </w:t>
      </w:r>
      <w:proofErr w:type="gramStart"/>
      <w:r w:rsidRPr="0045316E">
        <w:rPr>
          <w:rFonts w:ascii="Times New Roman" w:eastAsia="Times New Roman" w:hAnsi="Times New Roman" w:cs="Times New Roman"/>
          <w:sz w:val="24"/>
          <w:szCs w:val="24"/>
        </w:rPr>
        <w:t>Of</w:t>
      </w:r>
      <w:proofErr w:type="gramEnd"/>
      <w:r w:rsidRPr="0045316E">
        <w:rPr>
          <w:rFonts w:ascii="Times New Roman" w:eastAsia="Times New Roman" w:hAnsi="Times New Roman" w:cs="Times New Roman"/>
          <w:sz w:val="24"/>
          <w:szCs w:val="24"/>
        </w:rPr>
        <w:t xml:space="preserve"> The PESTEL Analysis Model." </w:t>
      </w:r>
      <w:proofErr w:type="spellStart"/>
      <w:r w:rsidRPr="0045316E">
        <w:rPr>
          <w:rFonts w:ascii="Times New Roman" w:eastAsia="Times New Roman" w:hAnsi="Times New Roman" w:cs="Times New Roman"/>
          <w:i/>
          <w:iCs/>
          <w:sz w:val="24"/>
          <w:szCs w:val="24"/>
        </w:rPr>
        <w:t>Researchgate</w:t>
      </w:r>
      <w:proofErr w:type="spellEnd"/>
      <w:r w:rsidRPr="0045316E">
        <w:rPr>
          <w:rFonts w:ascii="Times New Roman" w:eastAsia="Times New Roman" w:hAnsi="Times New Roman" w:cs="Times New Roman"/>
          <w:sz w:val="24"/>
          <w:szCs w:val="24"/>
        </w:rPr>
        <w:t xml:space="preserve">, 2021, </w:t>
      </w:r>
      <w:hyperlink r:id="rId11" w:history="1">
        <w:r w:rsidRPr="0045316E">
          <w:rPr>
            <w:rStyle w:val="Hyperlink"/>
            <w:rFonts w:ascii="Times New Roman" w:eastAsia="Times New Roman" w:hAnsi="Times New Roman" w:cs="Times New Roman"/>
            <w:sz w:val="24"/>
            <w:szCs w:val="24"/>
          </w:rPr>
          <w:t>https://www.researchgate.net/publication/349506325_Critical_examination_of_the_PESTEL_Analysis_Model</w:t>
        </w:r>
      </w:hyperlink>
    </w:p>
    <w:p w14:paraId="649B13DE" w14:textId="77777777" w:rsidR="002D5E24" w:rsidRPr="0045316E" w:rsidRDefault="002D5E24" w:rsidP="002D5E24">
      <w:pPr>
        <w:pStyle w:val="NormalWeb"/>
        <w:shd w:val="clear" w:color="auto" w:fill="FFFFFF"/>
        <w:spacing w:before="0" w:beforeAutospacing="0" w:after="0" w:afterAutospacing="0" w:line="480" w:lineRule="auto"/>
        <w:ind w:left="720" w:hanging="720"/>
        <w:contextualSpacing/>
      </w:pPr>
      <w:r w:rsidRPr="0045316E">
        <w:rPr>
          <w:rStyle w:val="selectable"/>
        </w:rPr>
        <w:t xml:space="preserve">Macdonald, Martin. (2022). "The 20 Richest Clubs </w:t>
      </w:r>
      <w:proofErr w:type="gramStart"/>
      <w:r w:rsidRPr="0045316E">
        <w:rPr>
          <w:rStyle w:val="selectable"/>
        </w:rPr>
        <w:t>In</w:t>
      </w:r>
      <w:proofErr w:type="gramEnd"/>
      <w:r w:rsidRPr="0045316E">
        <w:rPr>
          <w:rStyle w:val="selectable"/>
        </w:rPr>
        <w:t xml:space="preserve"> The World". </w:t>
      </w:r>
      <w:r w:rsidRPr="0045316E">
        <w:rPr>
          <w:rStyle w:val="selectable"/>
          <w:i/>
          <w:iCs/>
        </w:rPr>
        <w:t>Footballtransfers.Com</w:t>
      </w:r>
      <w:r w:rsidRPr="0045316E">
        <w:rPr>
          <w:rStyle w:val="selectable"/>
        </w:rPr>
        <w:t>, https://www.footballtransfers.com/en/transfer-news/uk-premier-league/2022/03/deloitte-football-money-league-2022-20-richest-clubs-world</w:t>
      </w:r>
    </w:p>
    <w:p w14:paraId="2C561E24" w14:textId="77777777" w:rsidR="002D5E24" w:rsidRPr="0045316E" w:rsidRDefault="002D5E24" w:rsidP="002D5E24">
      <w:pPr>
        <w:spacing w:after="0" w:line="480" w:lineRule="auto"/>
        <w:ind w:left="720" w:hanging="720"/>
        <w:contextualSpacing/>
        <w:rPr>
          <w:rFonts w:ascii="Times New Roman" w:hAnsi="Times New Roman" w:cs="Times New Roman"/>
          <w:sz w:val="24"/>
          <w:szCs w:val="24"/>
          <w:shd w:val="clear" w:color="auto" w:fill="FFFFFF"/>
        </w:rPr>
      </w:pPr>
      <w:proofErr w:type="spellStart"/>
      <w:proofErr w:type="gramStart"/>
      <w:r w:rsidRPr="0045316E">
        <w:rPr>
          <w:rFonts w:ascii="Times New Roman" w:hAnsi="Times New Roman" w:cs="Times New Roman"/>
          <w:sz w:val="24"/>
          <w:szCs w:val="24"/>
          <w:shd w:val="clear" w:color="auto" w:fill="FFFFFF"/>
        </w:rPr>
        <w:t>Nikolaidi</w:t>
      </w:r>
      <w:proofErr w:type="spellEnd"/>
      <w:r w:rsidRPr="0045316E">
        <w:rPr>
          <w:rFonts w:ascii="Times New Roman" w:hAnsi="Times New Roman" w:cs="Times New Roman"/>
          <w:sz w:val="24"/>
          <w:szCs w:val="24"/>
          <w:shd w:val="clear" w:color="auto" w:fill="FFFFFF"/>
        </w:rPr>
        <w:t>, M. (2017).</w:t>
      </w:r>
      <w:proofErr w:type="gramEnd"/>
      <w:r w:rsidRPr="0045316E">
        <w:rPr>
          <w:rFonts w:ascii="Times New Roman" w:hAnsi="Times New Roman" w:cs="Times New Roman"/>
          <w:sz w:val="24"/>
          <w:szCs w:val="24"/>
          <w:shd w:val="clear" w:color="auto" w:fill="FFFFFF"/>
        </w:rPr>
        <w:t xml:space="preserve"> Three decades of </w:t>
      </w:r>
      <w:proofErr w:type="spellStart"/>
      <w:r w:rsidRPr="0045316E">
        <w:rPr>
          <w:rFonts w:ascii="Times New Roman" w:hAnsi="Times New Roman" w:cs="Times New Roman"/>
          <w:sz w:val="24"/>
          <w:szCs w:val="24"/>
          <w:shd w:val="clear" w:color="auto" w:fill="FFFFFF"/>
        </w:rPr>
        <w:t>modeling</w:t>
      </w:r>
      <w:proofErr w:type="spellEnd"/>
      <w:r w:rsidRPr="0045316E">
        <w:rPr>
          <w:rFonts w:ascii="Times New Roman" w:hAnsi="Times New Roman" w:cs="Times New Roman"/>
          <w:sz w:val="24"/>
          <w:szCs w:val="24"/>
          <w:shd w:val="clear" w:color="auto" w:fill="FFFFFF"/>
        </w:rPr>
        <w:t xml:space="preserve"> Minsky: what we have learned and the way forward. </w:t>
      </w:r>
      <w:r w:rsidRPr="0045316E">
        <w:rPr>
          <w:rFonts w:ascii="Times New Roman" w:hAnsi="Times New Roman" w:cs="Times New Roman"/>
          <w:i/>
          <w:iCs/>
          <w:sz w:val="24"/>
          <w:szCs w:val="24"/>
          <w:shd w:val="clear" w:color="auto" w:fill="FFFFFF"/>
        </w:rPr>
        <w:t>European Journal of Economics and Economic Policies: Intervention</w:t>
      </w:r>
      <w:r w:rsidRPr="0045316E">
        <w:rPr>
          <w:rFonts w:ascii="Times New Roman" w:hAnsi="Times New Roman" w:cs="Times New Roman"/>
          <w:sz w:val="24"/>
          <w:szCs w:val="24"/>
          <w:shd w:val="clear" w:color="auto" w:fill="FFFFFF"/>
        </w:rPr>
        <w:t>, </w:t>
      </w:r>
      <w:r w:rsidRPr="0045316E">
        <w:rPr>
          <w:rFonts w:ascii="Times New Roman" w:hAnsi="Times New Roman" w:cs="Times New Roman"/>
          <w:i/>
          <w:iCs/>
          <w:sz w:val="24"/>
          <w:szCs w:val="24"/>
          <w:shd w:val="clear" w:color="auto" w:fill="FFFFFF"/>
        </w:rPr>
        <w:t>14</w:t>
      </w:r>
      <w:r w:rsidRPr="0045316E">
        <w:rPr>
          <w:rFonts w:ascii="Times New Roman" w:hAnsi="Times New Roman" w:cs="Times New Roman"/>
          <w:sz w:val="24"/>
          <w:szCs w:val="24"/>
          <w:shd w:val="clear" w:color="auto" w:fill="FFFFFF"/>
        </w:rPr>
        <w:t>(2), 222-237.</w:t>
      </w:r>
      <w:r w:rsidRPr="0045316E">
        <w:rPr>
          <w:rFonts w:ascii="Times New Roman" w:hAnsi="Times New Roman" w:cs="Times New Roman"/>
          <w:sz w:val="24"/>
          <w:szCs w:val="24"/>
        </w:rPr>
        <w:t xml:space="preserve"> http://gala.gre.ac.uk/id/eprint/17509/6/17509%20NIKOLAIDI_Three_Decades_of_Modelling_Minsky_2017.pdf</w:t>
      </w:r>
      <w:r w:rsidRPr="0045316E">
        <w:rPr>
          <w:rFonts w:ascii="Times New Roman" w:hAnsi="Times New Roman" w:cs="Times New Roman"/>
          <w:sz w:val="24"/>
          <w:szCs w:val="24"/>
          <w:shd w:val="clear" w:color="auto" w:fill="FFFFFF"/>
        </w:rPr>
        <w:t xml:space="preserve"> </w:t>
      </w:r>
    </w:p>
    <w:p w14:paraId="73F110DE" w14:textId="75392309" w:rsidR="000E4175" w:rsidRPr="0045316E" w:rsidRDefault="000E4175" w:rsidP="002D5E24">
      <w:pPr>
        <w:spacing w:after="0" w:line="480" w:lineRule="auto"/>
        <w:ind w:left="720" w:hanging="720"/>
        <w:contextualSpacing/>
        <w:rPr>
          <w:rFonts w:ascii="Times New Roman" w:hAnsi="Times New Roman" w:cs="Times New Roman"/>
          <w:color w:val="222222"/>
          <w:sz w:val="24"/>
          <w:szCs w:val="24"/>
          <w:shd w:val="clear" w:color="auto" w:fill="FFFFFF"/>
        </w:rPr>
      </w:pPr>
      <w:proofErr w:type="spellStart"/>
      <w:proofErr w:type="gramStart"/>
      <w:r w:rsidRPr="0045316E">
        <w:rPr>
          <w:rFonts w:ascii="Times New Roman" w:hAnsi="Times New Roman" w:cs="Times New Roman"/>
          <w:color w:val="222222"/>
          <w:sz w:val="24"/>
          <w:szCs w:val="24"/>
          <w:shd w:val="clear" w:color="auto" w:fill="FFFFFF"/>
        </w:rPr>
        <w:t>Matsa</w:t>
      </w:r>
      <w:proofErr w:type="spellEnd"/>
      <w:r w:rsidRPr="0045316E">
        <w:rPr>
          <w:rFonts w:ascii="Times New Roman" w:hAnsi="Times New Roman" w:cs="Times New Roman"/>
          <w:color w:val="222222"/>
          <w:sz w:val="24"/>
          <w:szCs w:val="24"/>
          <w:shd w:val="clear" w:color="auto" w:fill="FFFFFF"/>
        </w:rPr>
        <w:t>, D. A. (2018).</w:t>
      </w:r>
      <w:proofErr w:type="gramEnd"/>
      <w:r w:rsidRPr="0045316E">
        <w:rPr>
          <w:rFonts w:ascii="Times New Roman" w:hAnsi="Times New Roman" w:cs="Times New Roman"/>
          <w:color w:val="222222"/>
          <w:sz w:val="24"/>
          <w:szCs w:val="24"/>
          <w:shd w:val="clear" w:color="auto" w:fill="FFFFFF"/>
        </w:rPr>
        <w:t xml:space="preserve"> Capital structure and a firm's workforce. </w:t>
      </w:r>
      <w:r w:rsidRPr="0045316E">
        <w:rPr>
          <w:rFonts w:ascii="Times New Roman" w:hAnsi="Times New Roman" w:cs="Times New Roman"/>
          <w:i/>
          <w:iCs/>
          <w:color w:val="222222"/>
          <w:sz w:val="24"/>
          <w:szCs w:val="24"/>
          <w:shd w:val="clear" w:color="auto" w:fill="FFFFFF"/>
        </w:rPr>
        <w:t>Annual Review of Financial Economics</w:t>
      </w:r>
      <w:r w:rsidRPr="0045316E">
        <w:rPr>
          <w:rFonts w:ascii="Times New Roman" w:hAnsi="Times New Roman" w:cs="Times New Roman"/>
          <w:color w:val="222222"/>
          <w:sz w:val="24"/>
          <w:szCs w:val="24"/>
          <w:shd w:val="clear" w:color="auto" w:fill="FFFFFF"/>
        </w:rPr>
        <w:t>, </w:t>
      </w:r>
      <w:r w:rsidRPr="0045316E">
        <w:rPr>
          <w:rFonts w:ascii="Times New Roman" w:hAnsi="Times New Roman" w:cs="Times New Roman"/>
          <w:i/>
          <w:iCs/>
          <w:color w:val="222222"/>
          <w:sz w:val="24"/>
          <w:szCs w:val="24"/>
          <w:shd w:val="clear" w:color="auto" w:fill="FFFFFF"/>
        </w:rPr>
        <w:t>10</w:t>
      </w:r>
      <w:r w:rsidRPr="0045316E">
        <w:rPr>
          <w:rFonts w:ascii="Times New Roman" w:hAnsi="Times New Roman" w:cs="Times New Roman"/>
          <w:color w:val="222222"/>
          <w:sz w:val="24"/>
          <w:szCs w:val="24"/>
          <w:shd w:val="clear" w:color="auto" w:fill="FFFFFF"/>
        </w:rPr>
        <w:t xml:space="preserve">, 387-412. </w:t>
      </w:r>
      <w:hyperlink r:id="rId12" w:history="1">
        <w:r w:rsidRPr="0045316E">
          <w:rPr>
            <w:rStyle w:val="Hyperlink"/>
            <w:rFonts w:ascii="Times New Roman" w:hAnsi="Times New Roman" w:cs="Times New Roman"/>
            <w:sz w:val="24"/>
            <w:szCs w:val="24"/>
            <w:shd w:val="clear" w:color="auto" w:fill="FFFFFF"/>
          </w:rPr>
          <w:t>https://doi.org/10.1146/annurev-financial-110716-032519</w:t>
        </w:r>
      </w:hyperlink>
    </w:p>
    <w:p w14:paraId="032D4B7B" w14:textId="539706D1" w:rsidR="00A1071D" w:rsidRPr="0045316E" w:rsidRDefault="00A1071D" w:rsidP="002D5E24">
      <w:pPr>
        <w:spacing w:after="0" w:line="480" w:lineRule="auto"/>
        <w:ind w:left="720" w:hanging="720"/>
        <w:contextualSpacing/>
        <w:rPr>
          <w:rFonts w:ascii="Times New Roman" w:hAnsi="Times New Roman" w:cs="Times New Roman"/>
          <w:color w:val="222222"/>
          <w:sz w:val="24"/>
          <w:szCs w:val="24"/>
          <w:shd w:val="clear" w:color="auto" w:fill="FFFFFF"/>
        </w:rPr>
      </w:pPr>
      <w:proofErr w:type="spellStart"/>
      <w:proofErr w:type="gramStart"/>
      <w:r w:rsidRPr="0045316E">
        <w:rPr>
          <w:rFonts w:ascii="Times New Roman" w:hAnsi="Times New Roman" w:cs="Times New Roman"/>
          <w:color w:val="222222"/>
          <w:sz w:val="24"/>
          <w:szCs w:val="24"/>
          <w:shd w:val="clear" w:color="auto" w:fill="FFFFFF"/>
        </w:rPr>
        <w:lastRenderedPageBreak/>
        <w:t>Murtaza</w:t>
      </w:r>
      <w:proofErr w:type="spellEnd"/>
      <w:r w:rsidRPr="0045316E">
        <w:rPr>
          <w:rFonts w:ascii="Times New Roman" w:hAnsi="Times New Roman" w:cs="Times New Roman"/>
          <w:color w:val="222222"/>
          <w:sz w:val="24"/>
          <w:szCs w:val="24"/>
          <w:shd w:val="clear" w:color="auto" w:fill="FFFFFF"/>
        </w:rPr>
        <w:t xml:space="preserve">, M., Iqbal, M. M., </w:t>
      </w:r>
      <w:proofErr w:type="spellStart"/>
      <w:r w:rsidRPr="0045316E">
        <w:rPr>
          <w:rFonts w:ascii="Times New Roman" w:hAnsi="Times New Roman" w:cs="Times New Roman"/>
          <w:color w:val="222222"/>
          <w:sz w:val="24"/>
          <w:szCs w:val="24"/>
          <w:shd w:val="clear" w:color="auto" w:fill="FFFFFF"/>
        </w:rPr>
        <w:t>Ullah</w:t>
      </w:r>
      <w:proofErr w:type="spellEnd"/>
      <w:r w:rsidRPr="0045316E">
        <w:rPr>
          <w:rFonts w:ascii="Times New Roman" w:hAnsi="Times New Roman" w:cs="Times New Roman"/>
          <w:color w:val="222222"/>
          <w:sz w:val="24"/>
          <w:szCs w:val="24"/>
          <w:shd w:val="clear" w:color="auto" w:fill="FFFFFF"/>
        </w:rPr>
        <w:t xml:space="preserve">, Z., Rasheed, H., &amp; </w:t>
      </w:r>
      <w:proofErr w:type="spellStart"/>
      <w:r w:rsidRPr="0045316E">
        <w:rPr>
          <w:rFonts w:ascii="Times New Roman" w:hAnsi="Times New Roman" w:cs="Times New Roman"/>
          <w:color w:val="222222"/>
          <w:sz w:val="24"/>
          <w:szCs w:val="24"/>
          <w:shd w:val="clear" w:color="auto" w:fill="FFFFFF"/>
        </w:rPr>
        <w:t>Basit</w:t>
      </w:r>
      <w:proofErr w:type="spellEnd"/>
      <w:r w:rsidRPr="0045316E">
        <w:rPr>
          <w:rFonts w:ascii="Times New Roman" w:hAnsi="Times New Roman" w:cs="Times New Roman"/>
          <w:color w:val="222222"/>
          <w:sz w:val="24"/>
          <w:szCs w:val="24"/>
          <w:shd w:val="clear" w:color="auto" w:fill="FFFFFF"/>
        </w:rPr>
        <w:t>, A. (2018).</w:t>
      </w:r>
      <w:proofErr w:type="gramEnd"/>
      <w:r w:rsidRPr="0045316E">
        <w:rPr>
          <w:rFonts w:ascii="Times New Roman" w:hAnsi="Times New Roman" w:cs="Times New Roman"/>
          <w:color w:val="222222"/>
          <w:sz w:val="24"/>
          <w:szCs w:val="24"/>
          <w:shd w:val="clear" w:color="auto" w:fill="FFFFFF"/>
        </w:rPr>
        <w:t xml:space="preserve"> </w:t>
      </w:r>
      <w:proofErr w:type="gramStart"/>
      <w:r w:rsidRPr="0045316E">
        <w:rPr>
          <w:rFonts w:ascii="Times New Roman" w:hAnsi="Times New Roman" w:cs="Times New Roman"/>
          <w:color w:val="222222"/>
          <w:sz w:val="24"/>
          <w:szCs w:val="24"/>
          <w:shd w:val="clear" w:color="auto" w:fill="FFFFFF"/>
        </w:rPr>
        <w:t>An analytical review of dividend policy theories.</w:t>
      </w:r>
      <w:proofErr w:type="gramEnd"/>
      <w:r w:rsidRPr="0045316E">
        <w:rPr>
          <w:rFonts w:ascii="Times New Roman" w:hAnsi="Times New Roman" w:cs="Times New Roman"/>
          <w:color w:val="222222"/>
          <w:sz w:val="24"/>
          <w:szCs w:val="24"/>
          <w:shd w:val="clear" w:color="auto" w:fill="FFFFFF"/>
        </w:rPr>
        <w:t> </w:t>
      </w:r>
      <w:r w:rsidRPr="0045316E">
        <w:rPr>
          <w:rFonts w:ascii="Times New Roman" w:hAnsi="Times New Roman" w:cs="Times New Roman"/>
          <w:i/>
          <w:iCs/>
          <w:color w:val="222222"/>
          <w:sz w:val="24"/>
          <w:szCs w:val="24"/>
          <w:shd w:val="clear" w:color="auto" w:fill="FFFFFF"/>
        </w:rPr>
        <w:t>Journal of Advanced Research in Business and Management Studies</w:t>
      </w:r>
      <w:r w:rsidRPr="0045316E">
        <w:rPr>
          <w:rFonts w:ascii="Times New Roman" w:hAnsi="Times New Roman" w:cs="Times New Roman"/>
          <w:color w:val="222222"/>
          <w:sz w:val="24"/>
          <w:szCs w:val="24"/>
          <w:shd w:val="clear" w:color="auto" w:fill="FFFFFF"/>
        </w:rPr>
        <w:t>, </w:t>
      </w:r>
      <w:r w:rsidRPr="0045316E">
        <w:rPr>
          <w:rFonts w:ascii="Times New Roman" w:hAnsi="Times New Roman" w:cs="Times New Roman"/>
          <w:i/>
          <w:iCs/>
          <w:color w:val="222222"/>
          <w:sz w:val="24"/>
          <w:szCs w:val="24"/>
          <w:shd w:val="clear" w:color="auto" w:fill="FFFFFF"/>
        </w:rPr>
        <w:t>11</w:t>
      </w:r>
      <w:r w:rsidRPr="0045316E">
        <w:rPr>
          <w:rFonts w:ascii="Times New Roman" w:hAnsi="Times New Roman" w:cs="Times New Roman"/>
          <w:color w:val="222222"/>
          <w:sz w:val="24"/>
          <w:szCs w:val="24"/>
          <w:shd w:val="clear" w:color="auto" w:fill="FFFFFF"/>
        </w:rPr>
        <w:t>(1), 62-76.</w:t>
      </w:r>
    </w:p>
    <w:p w14:paraId="0773378B" w14:textId="7542B96F" w:rsidR="004F39F1" w:rsidRPr="0045316E" w:rsidRDefault="004F39F1" w:rsidP="002D5E24">
      <w:pPr>
        <w:spacing w:after="0" w:line="480" w:lineRule="auto"/>
        <w:ind w:left="720" w:hanging="720"/>
        <w:contextualSpacing/>
        <w:rPr>
          <w:rFonts w:ascii="Times New Roman" w:hAnsi="Times New Roman" w:cs="Times New Roman"/>
          <w:color w:val="222222"/>
          <w:sz w:val="24"/>
          <w:szCs w:val="24"/>
          <w:shd w:val="clear" w:color="auto" w:fill="FFFFFF"/>
        </w:rPr>
      </w:pPr>
      <w:proofErr w:type="spellStart"/>
      <w:proofErr w:type="gramStart"/>
      <w:r w:rsidRPr="0045316E">
        <w:rPr>
          <w:rFonts w:ascii="Times New Roman" w:hAnsi="Times New Roman" w:cs="Times New Roman"/>
          <w:color w:val="222222"/>
          <w:sz w:val="24"/>
          <w:szCs w:val="24"/>
          <w:shd w:val="clear" w:color="auto" w:fill="FFFFFF"/>
        </w:rPr>
        <w:t>Jabbouri</w:t>
      </w:r>
      <w:proofErr w:type="spellEnd"/>
      <w:r w:rsidRPr="0045316E">
        <w:rPr>
          <w:rFonts w:ascii="Times New Roman" w:hAnsi="Times New Roman" w:cs="Times New Roman"/>
          <w:color w:val="222222"/>
          <w:sz w:val="24"/>
          <w:szCs w:val="24"/>
          <w:shd w:val="clear" w:color="auto" w:fill="FFFFFF"/>
        </w:rPr>
        <w:t>, I., &amp; Attar, A. E. (2018).</w:t>
      </w:r>
      <w:proofErr w:type="gramEnd"/>
      <w:r w:rsidRPr="0045316E">
        <w:rPr>
          <w:rFonts w:ascii="Times New Roman" w:hAnsi="Times New Roman" w:cs="Times New Roman"/>
          <w:color w:val="222222"/>
          <w:sz w:val="24"/>
          <w:szCs w:val="24"/>
          <w:shd w:val="clear" w:color="auto" w:fill="FFFFFF"/>
        </w:rPr>
        <w:t xml:space="preserve"> The dividend paradox: a literature review. </w:t>
      </w:r>
      <w:r w:rsidRPr="0045316E">
        <w:rPr>
          <w:rFonts w:ascii="Times New Roman" w:hAnsi="Times New Roman" w:cs="Times New Roman"/>
          <w:i/>
          <w:iCs/>
          <w:color w:val="222222"/>
          <w:sz w:val="24"/>
          <w:szCs w:val="24"/>
          <w:shd w:val="clear" w:color="auto" w:fill="FFFFFF"/>
        </w:rPr>
        <w:t>International Journal of Markets and Business Systems</w:t>
      </w:r>
      <w:r w:rsidRPr="0045316E">
        <w:rPr>
          <w:rFonts w:ascii="Times New Roman" w:hAnsi="Times New Roman" w:cs="Times New Roman"/>
          <w:color w:val="222222"/>
          <w:sz w:val="24"/>
          <w:szCs w:val="24"/>
          <w:shd w:val="clear" w:color="auto" w:fill="FFFFFF"/>
        </w:rPr>
        <w:t>, </w:t>
      </w:r>
      <w:r w:rsidRPr="0045316E">
        <w:rPr>
          <w:rFonts w:ascii="Times New Roman" w:hAnsi="Times New Roman" w:cs="Times New Roman"/>
          <w:i/>
          <w:iCs/>
          <w:color w:val="222222"/>
          <w:sz w:val="24"/>
          <w:szCs w:val="24"/>
          <w:shd w:val="clear" w:color="auto" w:fill="FFFFFF"/>
        </w:rPr>
        <w:t>3</w:t>
      </w:r>
      <w:r w:rsidRPr="0045316E">
        <w:rPr>
          <w:rFonts w:ascii="Times New Roman" w:hAnsi="Times New Roman" w:cs="Times New Roman"/>
          <w:color w:val="222222"/>
          <w:sz w:val="24"/>
          <w:szCs w:val="24"/>
          <w:shd w:val="clear" w:color="auto" w:fill="FFFFFF"/>
        </w:rPr>
        <w:t xml:space="preserve">(3), 197-221. </w:t>
      </w:r>
      <w:hyperlink r:id="rId13" w:history="1">
        <w:r w:rsidRPr="0045316E">
          <w:rPr>
            <w:rStyle w:val="Hyperlink"/>
            <w:rFonts w:ascii="Times New Roman" w:hAnsi="Times New Roman" w:cs="Times New Roman"/>
            <w:sz w:val="24"/>
            <w:szCs w:val="24"/>
            <w:shd w:val="clear" w:color="auto" w:fill="FFFFFF"/>
          </w:rPr>
          <w:t>https://www.inderscienceonline.com/doi/abs/10.1504/IJMABS.2018.093292</w:t>
        </w:r>
      </w:hyperlink>
    </w:p>
    <w:p w14:paraId="360818B4" w14:textId="047FE271" w:rsidR="000471EF" w:rsidRPr="0045316E" w:rsidRDefault="000471EF" w:rsidP="002D5E24">
      <w:pPr>
        <w:spacing w:after="0" w:line="480" w:lineRule="auto"/>
        <w:ind w:left="720" w:hanging="720"/>
        <w:contextualSpacing/>
        <w:rPr>
          <w:rFonts w:ascii="Times New Roman" w:hAnsi="Times New Roman" w:cs="Times New Roman"/>
          <w:color w:val="222222"/>
          <w:sz w:val="24"/>
          <w:szCs w:val="24"/>
          <w:shd w:val="clear" w:color="auto" w:fill="FFFFFF"/>
        </w:rPr>
      </w:pPr>
      <w:proofErr w:type="gramStart"/>
      <w:r w:rsidRPr="0045316E">
        <w:rPr>
          <w:rFonts w:ascii="Times New Roman" w:hAnsi="Times New Roman" w:cs="Times New Roman"/>
          <w:color w:val="222222"/>
          <w:sz w:val="24"/>
          <w:szCs w:val="24"/>
          <w:shd w:val="clear" w:color="auto" w:fill="FFFFFF"/>
        </w:rPr>
        <w:t xml:space="preserve">Husain, T., &amp; </w:t>
      </w:r>
      <w:proofErr w:type="spellStart"/>
      <w:r w:rsidRPr="0045316E">
        <w:rPr>
          <w:rFonts w:ascii="Times New Roman" w:hAnsi="Times New Roman" w:cs="Times New Roman"/>
          <w:color w:val="222222"/>
          <w:sz w:val="24"/>
          <w:szCs w:val="24"/>
          <w:shd w:val="clear" w:color="auto" w:fill="FFFFFF"/>
        </w:rPr>
        <w:t>Sunardi</w:t>
      </w:r>
      <w:proofErr w:type="spellEnd"/>
      <w:r w:rsidRPr="0045316E">
        <w:rPr>
          <w:rFonts w:ascii="Times New Roman" w:hAnsi="Times New Roman" w:cs="Times New Roman"/>
          <w:color w:val="222222"/>
          <w:sz w:val="24"/>
          <w:szCs w:val="24"/>
          <w:shd w:val="clear" w:color="auto" w:fill="FFFFFF"/>
        </w:rPr>
        <w:t>, N. (2020).</w:t>
      </w:r>
      <w:proofErr w:type="gramEnd"/>
      <w:r w:rsidRPr="0045316E">
        <w:rPr>
          <w:rFonts w:ascii="Times New Roman" w:hAnsi="Times New Roman" w:cs="Times New Roman"/>
          <w:color w:val="222222"/>
          <w:sz w:val="24"/>
          <w:szCs w:val="24"/>
          <w:shd w:val="clear" w:color="auto" w:fill="FFFFFF"/>
        </w:rPr>
        <w:t xml:space="preserve"> </w:t>
      </w:r>
      <w:proofErr w:type="gramStart"/>
      <w:r w:rsidRPr="0045316E">
        <w:rPr>
          <w:rFonts w:ascii="Times New Roman" w:hAnsi="Times New Roman" w:cs="Times New Roman"/>
          <w:color w:val="222222"/>
          <w:sz w:val="24"/>
          <w:szCs w:val="24"/>
          <w:shd w:val="clear" w:color="auto" w:fill="FFFFFF"/>
        </w:rPr>
        <w:t>Firm's Value Prediction Based on Profitability Ratios and Dividend Policy.</w:t>
      </w:r>
      <w:proofErr w:type="gramEnd"/>
      <w:r w:rsidRPr="0045316E">
        <w:rPr>
          <w:rFonts w:ascii="Times New Roman" w:hAnsi="Times New Roman" w:cs="Times New Roman"/>
          <w:color w:val="222222"/>
          <w:sz w:val="24"/>
          <w:szCs w:val="24"/>
          <w:shd w:val="clear" w:color="auto" w:fill="FFFFFF"/>
        </w:rPr>
        <w:t> </w:t>
      </w:r>
      <w:r w:rsidRPr="0045316E">
        <w:rPr>
          <w:rFonts w:ascii="Times New Roman" w:hAnsi="Times New Roman" w:cs="Times New Roman"/>
          <w:i/>
          <w:iCs/>
          <w:color w:val="222222"/>
          <w:sz w:val="24"/>
          <w:szCs w:val="24"/>
          <w:shd w:val="clear" w:color="auto" w:fill="FFFFFF"/>
        </w:rPr>
        <w:t>Finance &amp; Economics Review</w:t>
      </w:r>
      <w:r w:rsidRPr="0045316E">
        <w:rPr>
          <w:rFonts w:ascii="Times New Roman" w:hAnsi="Times New Roman" w:cs="Times New Roman"/>
          <w:color w:val="222222"/>
          <w:sz w:val="24"/>
          <w:szCs w:val="24"/>
          <w:shd w:val="clear" w:color="auto" w:fill="FFFFFF"/>
        </w:rPr>
        <w:t>, </w:t>
      </w:r>
      <w:r w:rsidRPr="0045316E">
        <w:rPr>
          <w:rFonts w:ascii="Times New Roman" w:hAnsi="Times New Roman" w:cs="Times New Roman"/>
          <w:i/>
          <w:iCs/>
          <w:color w:val="222222"/>
          <w:sz w:val="24"/>
          <w:szCs w:val="24"/>
          <w:shd w:val="clear" w:color="auto" w:fill="FFFFFF"/>
        </w:rPr>
        <w:t>2</w:t>
      </w:r>
      <w:r w:rsidRPr="0045316E">
        <w:rPr>
          <w:rFonts w:ascii="Times New Roman" w:hAnsi="Times New Roman" w:cs="Times New Roman"/>
          <w:color w:val="222222"/>
          <w:sz w:val="24"/>
          <w:szCs w:val="24"/>
          <w:shd w:val="clear" w:color="auto" w:fill="FFFFFF"/>
        </w:rPr>
        <w:t xml:space="preserve">(2), 13-26. </w:t>
      </w:r>
      <w:hyperlink r:id="rId14" w:history="1">
        <w:r w:rsidRPr="0045316E">
          <w:rPr>
            <w:rStyle w:val="Hyperlink"/>
            <w:rFonts w:ascii="Times New Roman" w:hAnsi="Times New Roman" w:cs="Times New Roman"/>
            <w:sz w:val="24"/>
            <w:szCs w:val="24"/>
            <w:shd w:val="clear" w:color="auto" w:fill="FFFFFF"/>
          </w:rPr>
          <w:t>https://doi.org/10.38157/finance-economics-review.v2i2.102</w:t>
        </w:r>
      </w:hyperlink>
    </w:p>
    <w:p w14:paraId="53CF84EB" w14:textId="23F186EA" w:rsidR="00C91254" w:rsidRPr="0045316E" w:rsidRDefault="00C91254" w:rsidP="002D5E24">
      <w:pPr>
        <w:spacing w:after="0" w:line="480" w:lineRule="auto"/>
        <w:ind w:left="720" w:hanging="720"/>
        <w:contextualSpacing/>
        <w:rPr>
          <w:rFonts w:ascii="Times New Roman" w:hAnsi="Times New Roman" w:cs="Times New Roman"/>
          <w:color w:val="222222"/>
          <w:sz w:val="24"/>
          <w:szCs w:val="24"/>
          <w:shd w:val="clear" w:color="auto" w:fill="FFFFFF"/>
        </w:rPr>
      </w:pPr>
      <w:proofErr w:type="gramStart"/>
      <w:r w:rsidRPr="0045316E">
        <w:rPr>
          <w:rFonts w:ascii="Times New Roman" w:hAnsi="Times New Roman" w:cs="Times New Roman"/>
          <w:color w:val="222222"/>
          <w:sz w:val="24"/>
          <w:szCs w:val="24"/>
          <w:shd w:val="clear" w:color="auto" w:fill="FFFFFF"/>
        </w:rPr>
        <w:t xml:space="preserve">Andrei, D., </w:t>
      </w:r>
      <w:proofErr w:type="spellStart"/>
      <w:r w:rsidRPr="0045316E">
        <w:rPr>
          <w:rFonts w:ascii="Times New Roman" w:hAnsi="Times New Roman" w:cs="Times New Roman"/>
          <w:color w:val="222222"/>
          <w:sz w:val="24"/>
          <w:szCs w:val="24"/>
          <w:shd w:val="clear" w:color="auto" w:fill="FFFFFF"/>
        </w:rPr>
        <w:t>Cujean</w:t>
      </w:r>
      <w:proofErr w:type="spellEnd"/>
      <w:r w:rsidRPr="0045316E">
        <w:rPr>
          <w:rFonts w:ascii="Times New Roman" w:hAnsi="Times New Roman" w:cs="Times New Roman"/>
          <w:color w:val="222222"/>
          <w:sz w:val="24"/>
          <w:szCs w:val="24"/>
          <w:shd w:val="clear" w:color="auto" w:fill="FFFFFF"/>
        </w:rPr>
        <w:t>, J., &amp; Wilson, M. I. (2020).</w:t>
      </w:r>
      <w:proofErr w:type="gramEnd"/>
      <w:r w:rsidRPr="0045316E">
        <w:rPr>
          <w:rFonts w:ascii="Times New Roman" w:hAnsi="Times New Roman" w:cs="Times New Roman"/>
          <w:color w:val="222222"/>
          <w:sz w:val="24"/>
          <w:szCs w:val="24"/>
          <w:shd w:val="clear" w:color="auto" w:fill="FFFFFF"/>
        </w:rPr>
        <w:t xml:space="preserve"> </w:t>
      </w:r>
      <w:proofErr w:type="gramStart"/>
      <w:r w:rsidRPr="0045316E">
        <w:rPr>
          <w:rFonts w:ascii="Times New Roman" w:hAnsi="Times New Roman" w:cs="Times New Roman"/>
          <w:color w:val="222222"/>
          <w:sz w:val="24"/>
          <w:szCs w:val="24"/>
          <w:shd w:val="clear" w:color="auto" w:fill="FFFFFF"/>
        </w:rPr>
        <w:t>The lost capital asset pricing model.</w:t>
      </w:r>
      <w:proofErr w:type="gramEnd"/>
      <w:r w:rsidRPr="0045316E">
        <w:rPr>
          <w:rFonts w:ascii="Times New Roman" w:hAnsi="Times New Roman" w:cs="Times New Roman"/>
          <w:color w:val="222222"/>
          <w:sz w:val="24"/>
          <w:szCs w:val="24"/>
          <w:shd w:val="clear" w:color="auto" w:fill="FFFFFF"/>
        </w:rPr>
        <w:t> </w:t>
      </w:r>
      <w:proofErr w:type="gramStart"/>
      <w:r w:rsidRPr="0045316E">
        <w:rPr>
          <w:rFonts w:ascii="Times New Roman" w:hAnsi="Times New Roman" w:cs="Times New Roman"/>
          <w:i/>
          <w:iCs/>
          <w:color w:val="222222"/>
          <w:sz w:val="24"/>
          <w:szCs w:val="24"/>
          <w:shd w:val="clear" w:color="auto" w:fill="FFFFFF"/>
        </w:rPr>
        <w:t>Available at SSRN 2922598</w:t>
      </w:r>
      <w:r w:rsidRPr="0045316E">
        <w:rPr>
          <w:rFonts w:ascii="Times New Roman" w:hAnsi="Times New Roman" w:cs="Times New Roman"/>
          <w:color w:val="222222"/>
          <w:sz w:val="24"/>
          <w:szCs w:val="24"/>
          <w:shd w:val="clear" w:color="auto" w:fill="FFFFFF"/>
        </w:rPr>
        <w:t>.</w:t>
      </w:r>
      <w:proofErr w:type="gramEnd"/>
      <w:r w:rsidRPr="0045316E">
        <w:rPr>
          <w:rFonts w:ascii="Times New Roman" w:hAnsi="Times New Roman" w:cs="Times New Roman"/>
          <w:color w:val="222222"/>
          <w:sz w:val="24"/>
          <w:szCs w:val="24"/>
          <w:shd w:val="clear" w:color="auto" w:fill="FFFFFF"/>
        </w:rPr>
        <w:t xml:space="preserve"> </w:t>
      </w:r>
      <w:hyperlink r:id="rId15" w:history="1">
        <w:r w:rsidRPr="0045316E">
          <w:rPr>
            <w:rStyle w:val="Hyperlink"/>
            <w:rFonts w:ascii="Times New Roman" w:hAnsi="Times New Roman" w:cs="Times New Roman"/>
            <w:sz w:val="24"/>
            <w:szCs w:val="24"/>
            <w:shd w:val="clear" w:color="auto" w:fill="FFFFFF"/>
          </w:rPr>
          <w:t>https://dx.doi.org/10.2139/ssrn.2922598</w:t>
        </w:r>
      </w:hyperlink>
    </w:p>
    <w:p w14:paraId="4DD6DA56" w14:textId="130AC205" w:rsidR="0095551F" w:rsidRPr="0045316E" w:rsidRDefault="0095551F" w:rsidP="002D5E24">
      <w:pPr>
        <w:spacing w:after="0" w:line="480" w:lineRule="auto"/>
        <w:ind w:left="720" w:hanging="720"/>
        <w:contextualSpacing/>
        <w:rPr>
          <w:rFonts w:ascii="Times New Roman" w:hAnsi="Times New Roman" w:cs="Times New Roman"/>
          <w:color w:val="222222"/>
          <w:sz w:val="24"/>
          <w:szCs w:val="24"/>
          <w:shd w:val="clear" w:color="auto" w:fill="FFFFFF"/>
        </w:rPr>
      </w:pPr>
      <w:proofErr w:type="spellStart"/>
      <w:r w:rsidRPr="0045316E">
        <w:rPr>
          <w:rFonts w:ascii="Times New Roman" w:hAnsi="Times New Roman" w:cs="Times New Roman"/>
          <w:color w:val="222222"/>
          <w:sz w:val="24"/>
          <w:szCs w:val="24"/>
          <w:shd w:val="clear" w:color="auto" w:fill="FFFFFF"/>
        </w:rPr>
        <w:t>Ardalan</w:t>
      </w:r>
      <w:proofErr w:type="spellEnd"/>
      <w:r w:rsidRPr="0045316E">
        <w:rPr>
          <w:rFonts w:ascii="Times New Roman" w:hAnsi="Times New Roman" w:cs="Times New Roman"/>
          <w:color w:val="222222"/>
          <w:sz w:val="24"/>
          <w:szCs w:val="24"/>
          <w:shd w:val="clear" w:color="auto" w:fill="FFFFFF"/>
        </w:rPr>
        <w:t>, K. (2017). Capital structure theory: Reconsidered. </w:t>
      </w:r>
      <w:r w:rsidRPr="0045316E">
        <w:rPr>
          <w:rFonts w:ascii="Times New Roman" w:hAnsi="Times New Roman" w:cs="Times New Roman"/>
          <w:i/>
          <w:iCs/>
          <w:color w:val="222222"/>
          <w:sz w:val="24"/>
          <w:szCs w:val="24"/>
          <w:shd w:val="clear" w:color="auto" w:fill="FFFFFF"/>
        </w:rPr>
        <w:t>Research in International Business and Finance</w:t>
      </w:r>
      <w:r w:rsidRPr="0045316E">
        <w:rPr>
          <w:rFonts w:ascii="Times New Roman" w:hAnsi="Times New Roman" w:cs="Times New Roman"/>
          <w:color w:val="222222"/>
          <w:sz w:val="24"/>
          <w:szCs w:val="24"/>
          <w:shd w:val="clear" w:color="auto" w:fill="FFFFFF"/>
        </w:rPr>
        <w:t>, </w:t>
      </w:r>
      <w:r w:rsidRPr="0045316E">
        <w:rPr>
          <w:rFonts w:ascii="Times New Roman" w:hAnsi="Times New Roman" w:cs="Times New Roman"/>
          <w:i/>
          <w:iCs/>
          <w:color w:val="222222"/>
          <w:sz w:val="24"/>
          <w:szCs w:val="24"/>
          <w:shd w:val="clear" w:color="auto" w:fill="FFFFFF"/>
        </w:rPr>
        <w:t>39</w:t>
      </w:r>
      <w:r w:rsidRPr="0045316E">
        <w:rPr>
          <w:rFonts w:ascii="Times New Roman" w:hAnsi="Times New Roman" w:cs="Times New Roman"/>
          <w:color w:val="222222"/>
          <w:sz w:val="24"/>
          <w:szCs w:val="24"/>
          <w:shd w:val="clear" w:color="auto" w:fill="FFFFFF"/>
        </w:rPr>
        <w:t>, 696-710.</w:t>
      </w:r>
      <w:r w:rsidR="005E5B38" w:rsidRPr="0045316E">
        <w:rPr>
          <w:rFonts w:ascii="Times New Roman" w:hAnsi="Times New Roman" w:cs="Times New Roman"/>
          <w:color w:val="222222"/>
          <w:sz w:val="24"/>
          <w:szCs w:val="24"/>
          <w:shd w:val="clear" w:color="auto" w:fill="FFFFFF"/>
        </w:rPr>
        <w:t xml:space="preserve"> </w:t>
      </w:r>
      <w:hyperlink r:id="rId16" w:history="1">
        <w:r w:rsidR="005E5B38" w:rsidRPr="0045316E">
          <w:rPr>
            <w:rStyle w:val="Hyperlink"/>
            <w:rFonts w:ascii="Times New Roman" w:hAnsi="Times New Roman" w:cs="Times New Roman"/>
            <w:sz w:val="24"/>
            <w:szCs w:val="24"/>
            <w:shd w:val="clear" w:color="auto" w:fill="FFFFFF"/>
          </w:rPr>
          <w:t>https://doi.org/10.1016/j.ribaf.2015.11.010</w:t>
        </w:r>
      </w:hyperlink>
    </w:p>
    <w:p w14:paraId="7C792E97" w14:textId="77777777" w:rsidR="005E5B38" w:rsidRPr="0045316E" w:rsidRDefault="005E5B38" w:rsidP="002D5E24">
      <w:pPr>
        <w:spacing w:after="0" w:line="480" w:lineRule="auto"/>
        <w:ind w:left="720" w:hanging="720"/>
        <w:contextualSpacing/>
        <w:rPr>
          <w:rFonts w:ascii="Times New Roman" w:hAnsi="Times New Roman" w:cs="Times New Roman"/>
          <w:color w:val="222222"/>
          <w:sz w:val="24"/>
          <w:szCs w:val="24"/>
          <w:shd w:val="clear" w:color="auto" w:fill="FFFFFF"/>
        </w:rPr>
      </w:pPr>
    </w:p>
    <w:p w14:paraId="477EBAA8" w14:textId="77777777" w:rsidR="00C91254" w:rsidRPr="0045316E" w:rsidRDefault="00C91254" w:rsidP="002D5E24">
      <w:pPr>
        <w:spacing w:after="0" w:line="480" w:lineRule="auto"/>
        <w:ind w:left="720" w:hanging="720"/>
        <w:contextualSpacing/>
        <w:rPr>
          <w:rFonts w:ascii="Times New Roman" w:hAnsi="Times New Roman" w:cs="Times New Roman"/>
          <w:color w:val="222222"/>
          <w:sz w:val="24"/>
          <w:szCs w:val="24"/>
          <w:shd w:val="clear" w:color="auto" w:fill="FFFFFF"/>
        </w:rPr>
      </w:pPr>
    </w:p>
    <w:p w14:paraId="601903CC" w14:textId="77777777" w:rsidR="000471EF" w:rsidRPr="0045316E" w:rsidRDefault="000471EF" w:rsidP="002D5E24">
      <w:pPr>
        <w:spacing w:after="0" w:line="480" w:lineRule="auto"/>
        <w:ind w:left="720" w:hanging="720"/>
        <w:contextualSpacing/>
        <w:rPr>
          <w:rFonts w:ascii="Times New Roman" w:hAnsi="Times New Roman" w:cs="Times New Roman"/>
          <w:color w:val="222222"/>
          <w:sz w:val="24"/>
          <w:szCs w:val="24"/>
          <w:shd w:val="clear" w:color="auto" w:fill="FFFFFF"/>
        </w:rPr>
      </w:pPr>
    </w:p>
    <w:p w14:paraId="4AE20240" w14:textId="77777777" w:rsidR="004F39F1" w:rsidRPr="0045316E" w:rsidRDefault="004F39F1" w:rsidP="002D5E24">
      <w:pPr>
        <w:spacing w:after="0" w:line="480" w:lineRule="auto"/>
        <w:ind w:left="720" w:hanging="720"/>
        <w:contextualSpacing/>
        <w:rPr>
          <w:rFonts w:ascii="Times New Roman" w:hAnsi="Times New Roman" w:cs="Times New Roman"/>
          <w:color w:val="222222"/>
          <w:sz w:val="24"/>
          <w:szCs w:val="24"/>
          <w:shd w:val="clear" w:color="auto" w:fill="FFFFFF"/>
        </w:rPr>
      </w:pPr>
    </w:p>
    <w:p w14:paraId="2712037F" w14:textId="77777777" w:rsidR="000E4175" w:rsidRPr="0045316E" w:rsidRDefault="000E4175" w:rsidP="002D5E24">
      <w:pPr>
        <w:spacing w:after="0" w:line="480" w:lineRule="auto"/>
        <w:ind w:left="720" w:hanging="720"/>
        <w:contextualSpacing/>
        <w:rPr>
          <w:rFonts w:ascii="Times New Roman" w:hAnsi="Times New Roman" w:cs="Times New Roman"/>
          <w:sz w:val="24"/>
          <w:szCs w:val="24"/>
          <w:shd w:val="clear" w:color="auto" w:fill="FFFFFF"/>
        </w:rPr>
      </w:pPr>
    </w:p>
    <w:p w14:paraId="171878B3" w14:textId="52B6A7AD" w:rsidR="0034752B" w:rsidRPr="0045316E" w:rsidRDefault="0034752B" w:rsidP="0034752B">
      <w:pPr>
        <w:spacing w:line="480" w:lineRule="auto"/>
        <w:ind w:left="720" w:hanging="720"/>
        <w:rPr>
          <w:rFonts w:ascii="Times New Roman" w:hAnsi="Times New Roman" w:cs="Times New Roman"/>
          <w:bCs/>
          <w:sz w:val="24"/>
          <w:szCs w:val="24"/>
        </w:rPr>
      </w:pPr>
      <w:r w:rsidRPr="0045316E">
        <w:rPr>
          <w:rFonts w:ascii="Times New Roman" w:hAnsi="Times New Roman" w:cs="Times New Roman"/>
          <w:sz w:val="24"/>
          <w:szCs w:val="24"/>
        </w:rPr>
        <w:t xml:space="preserve"> </w:t>
      </w:r>
    </w:p>
    <w:p w14:paraId="20DB294C" w14:textId="77777777" w:rsidR="0034752B" w:rsidRPr="0045316E" w:rsidRDefault="0034752B" w:rsidP="0034752B">
      <w:pPr>
        <w:spacing w:line="480" w:lineRule="auto"/>
        <w:rPr>
          <w:rFonts w:ascii="Times New Roman" w:hAnsi="Times New Roman" w:cs="Times New Roman"/>
          <w:b/>
          <w:sz w:val="24"/>
          <w:szCs w:val="24"/>
        </w:rPr>
      </w:pPr>
    </w:p>
    <w:p w14:paraId="1DDAFACD" w14:textId="77777777" w:rsidR="00B9225A" w:rsidRDefault="00B9225A" w:rsidP="00AE7DA4">
      <w:pPr>
        <w:pStyle w:val="Heading1"/>
        <w:rPr>
          <w:rFonts w:ascii="Times New Roman" w:eastAsiaTheme="minorHAnsi" w:hAnsi="Times New Roman" w:cs="Times New Roman"/>
          <w:bCs w:val="0"/>
          <w:color w:val="auto"/>
          <w:sz w:val="24"/>
          <w:szCs w:val="24"/>
        </w:rPr>
      </w:pPr>
    </w:p>
    <w:p w14:paraId="6B4B6DC8" w14:textId="77777777" w:rsidR="00B9225A" w:rsidRDefault="00B9225A" w:rsidP="00AE7DA4">
      <w:pPr>
        <w:pStyle w:val="Heading1"/>
        <w:rPr>
          <w:rFonts w:asciiTheme="minorHAnsi" w:eastAsiaTheme="minorHAnsi" w:hAnsiTheme="minorHAnsi" w:cstheme="minorBidi"/>
          <w:b w:val="0"/>
          <w:bCs w:val="0"/>
          <w:color w:val="auto"/>
          <w:sz w:val="22"/>
          <w:szCs w:val="22"/>
        </w:rPr>
      </w:pPr>
    </w:p>
    <w:p w14:paraId="48E899F5" w14:textId="77777777" w:rsidR="00E41BB6" w:rsidRPr="00E41BB6" w:rsidRDefault="00E41BB6" w:rsidP="00E41BB6"/>
    <w:p w14:paraId="12CBF9EA" w14:textId="192F2151" w:rsidR="00743898" w:rsidRPr="00B9225A" w:rsidRDefault="007855F5" w:rsidP="00AE7DA4">
      <w:pPr>
        <w:pStyle w:val="Heading1"/>
        <w:rPr>
          <w:rFonts w:ascii="Times New Roman" w:hAnsi="Times New Roman" w:cs="Times New Roman"/>
          <w:color w:val="auto"/>
          <w:sz w:val="24"/>
          <w:szCs w:val="24"/>
        </w:rPr>
      </w:pPr>
      <w:bookmarkStart w:id="23" w:name="_Toc100628559"/>
      <w:r w:rsidRPr="00B9225A">
        <w:rPr>
          <w:rFonts w:ascii="Times New Roman" w:hAnsi="Times New Roman" w:cs="Times New Roman"/>
          <w:color w:val="auto"/>
          <w:sz w:val="24"/>
          <w:szCs w:val="24"/>
        </w:rPr>
        <w:lastRenderedPageBreak/>
        <w:t xml:space="preserve">9.0 </w:t>
      </w:r>
      <w:r w:rsidR="00743898" w:rsidRPr="00B9225A">
        <w:rPr>
          <w:rFonts w:ascii="Times New Roman" w:hAnsi="Times New Roman" w:cs="Times New Roman"/>
          <w:color w:val="auto"/>
          <w:sz w:val="24"/>
          <w:szCs w:val="24"/>
        </w:rPr>
        <w:t>Appendices</w:t>
      </w:r>
      <w:bookmarkEnd w:id="23"/>
    </w:p>
    <w:p w14:paraId="363F4D6A" w14:textId="6C12ABFD" w:rsidR="00E33665" w:rsidRPr="00586DD1" w:rsidRDefault="00586DD1" w:rsidP="00CB08D8">
      <w:pPr>
        <w:spacing w:line="480" w:lineRule="auto"/>
        <w:rPr>
          <w:rFonts w:ascii="Times New Roman" w:hAnsi="Times New Roman" w:cs="Times New Roman"/>
          <w:b/>
          <w:sz w:val="24"/>
          <w:szCs w:val="24"/>
        </w:rPr>
      </w:pPr>
      <w:r w:rsidRPr="00586DD1">
        <w:rPr>
          <w:rFonts w:ascii="Times New Roman" w:hAnsi="Times New Roman" w:cs="Times New Roman"/>
          <w:b/>
          <w:sz w:val="24"/>
          <w:szCs w:val="24"/>
        </w:rPr>
        <w:t>Income Statement</w:t>
      </w:r>
    </w:p>
    <w:tbl>
      <w:tblPr>
        <w:tblW w:w="5000" w:type="pct"/>
        <w:tblLook w:val="04A0" w:firstRow="1" w:lastRow="0" w:firstColumn="1" w:lastColumn="0" w:noHBand="0" w:noVBand="1"/>
      </w:tblPr>
      <w:tblGrid>
        <w:gridCol w:w="5765"/>
        <w:gridCol w:w="1865"/>
        <w:gridCol w:w="1612"/>
      </w:tblGrid>
      <w:tr w:rsidR="00586DD1" w:rsidRPr="00586DD1" w14:paraId="501811BE" w14:textId="77777777" w:rsidTr="00586DD1">
        <w:trPr>
          <w:trHeight w:val="315"/>
        </w:trPr>
        <w:tc>
          <w:tcPr>
            <w:tcW w:w="3119" w:type="pct"/>
            <w:tcBorders>
              <w:top w:val="single" w:sz="8" w:space="0" w:color="auto"/>
              <w:left w:val="single" w:sz="8" w:space="0" w:color="auto"/>
              <w:bottom w:val="single" w:sz="4" w:space="0" w:color="auto"/>
              <w:right w:val="single" w:sz="4" w:space="0" w:color="auto"/>
            </w:tcBorders>
            <w:shd w:val="clear" w:color="auto" w:fill="auto"/>
            <w:vAlign w:val="bottom"/>
            <w:hideMark/>
          </w:tcPr>
          <w:p w14:paraId="0311AB7E"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w:t>
            </w:r>
          </w:p>
        </w:tc>
        <w:tc>
          <w:tcPr>
            <w:tcW w:w="1009" w:type="pct"/>
            <w:tcBorders>
              <w:top w:val="single" w:sz="8" w:space="0" w:color="auto"/>
              <w:left w:val="nil"/>
              <w:bottom w:val="single" w:sz="4" w:space="0" w:color="auto"/>
              <w:right w:val="single" w:sz="4" w:space="0" w:color="auto"/>
            </w:tcBorders>
            <w:shd w:val="clear" w:color="auto" w:fill="auto"/>
            <w:noWrap/>
            <w:vAlign w:val="bottom"/>
            <w:hideMark/>
          </w:tcPr>
          <w:p w14:paraId="57ECA410"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Y2021 </w:t>
            </w:r>
          </w:p>
        </w:tc>
        <w:tc>
          <w:tcPr>
            <w:tcW w:w="872" w:type="pct"/>
            <w:tcBorders>
              <w:top w:val="single" w:sz="8" w:space="0" w:color="auto"/>
              <w:left w:val="nil"/>
              <w:bottom w:val="single" w:sz="4" w:space="0" w:color="auto"/>
              <w:right w:val="single" w:sz="8" w:space="0" w:color="auto"/>
            </w:tcBorders>
            <w:shd w:val="clear" w:color="auto" w:fill="auto"/>
            <w:noWrap/>
            <w:vAlign w:val="bottom"/>
            <w:hideMark/>
          </w:tcPr>
          <w:p w14:paraId="2C5EE8DC"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Y2020 </w:t>
            </w:r>
          </w:p>
        </w:tc>
      </w:tr>
      <w:tr w:rsidR="00586DD1" w:rsidRPr="00586DD1" w14:paraId="5304C77D" w14:textId="77777777" w:rsidTr="00586DD1">
        <w:trPr>
          <w:trHeight w:val="630"/>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466D8D5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Turnover of the Group including its shares of joint venture </w:t>
            </w:r>
          </w:p>
        </w:tc>
        <w:tc>
          <w:tcPr>
            <w:tcW w:w="1009" w:type="pct"/>
            <w:tcBorders>
              <w:top w:val="nil"/>
              <w:left w:val="nil"/>
              <w:bottom w:val="single" w:sz="4" w:space="0" w:color="auto"/>
              <w:right w:val="single" w:sz="4" w:space="0" w:color="auto"/>
            </w:tcBorders>
            <w:shd w:val="clear" w:color="auto" w:fill="auto"/>
            <w:noWrap/>
            <w:vAlign w:val="bottom"/>
            <w:hideMark/>
          </w:tcPr>
          <w:p w14:paraId="73D47BAD"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328,769 </w:t>
            </w:r>
          </w:p>
        </w:tc>
        <w:tc>
          <w:tcPr>
            <w:tcW w:w="872" w:type="pct"/>
            <w:tcBorders>
              <w:top w:val="nil"/>
              <w:left w:val="nil"/>
              <w:bottom w:val="single" w:sz="4" w:space="0" w:color="auto"/>
              <w:right w:val="single" w:sz="8" w:space="0" w:color="auto"/>
            </w:tcBorders>
            <w:shd w:val="clear" w:color="auto" w:fill="auto"/>
            <w:noWrap/>
            <w:vAlign w:val="bottom"/>
            <w:hideMark/>
          </w:tcPr>
          <w:p w14:paraId="39998EB7"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344,916 </w:t>
            </w:r>
          </w:p>
        </w:tc>
      </w:tr>
      <w:tr w:rsidR="00586DD1" w:rsidRPr="00586DD1" w14:paraId="0C8A2AF0"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7965EB6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Share of turnover of joint venture </w:t>
            </w:r>
          </w:p>
        </w:tc>
        <w:tc>
          <w:tcPr>
            <w:tcW w:w="1009" w:type="pct"/>
            <w:tcBorders>
              <w:top w:val="nil"/>
              <w:left w:val="nil"/>
              <w:bottom w:val="single" w:sz="4" w:space="0" w:color="auto"/>
              <w:right w:val="single" w:sz="4" w:space="0" w:color="auto"/>
            </w:tcBorders>
            <w:shd w:val="clear" w:color="auto" w:fill="auto"/>
            <w:noWrap/>
            <w:vAlign w:val="bottom"/>
            <w:hideMark/>
          </w:tcPr>
          <w:p w14:paraId="560515A7"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547 </w:t>
            </w:r>
          </w:p>
        </w:tc>
        <w:tc>
          <w:tcPr>
            <w:tcW w:w="872" w:type="pct"/>
            <w:tcBorders>
              <w:top w:val="nil"/>
              <w:left w:val="nil"/>
              <w:bottom w:val="single" w:sz="4" w:space="0" w:color="auto"/>
              <w:right w:val="single" w:sz="8" w:space="0" w:color="auto"/>
            </w:tcBorders>
            <w:shd w:val="clear" w:color="auto" w:fill="auto"/>
            <w:noWrap/>
            <w:vAlign w:val="bottom"/>
            <w:hideMark/>
          </w:tcPr>
          <w:p w14:paraId="1C1C80E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389 </w:t>
            </w:r>
          </w:p>
        </w:tc>
      </w:tr>
      <w:tr w:rsidR="00586DD1" w:rsidRPr="00586DD1" w14:paraId="18053B1C"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2B9DE6D2"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Group turnover </w:t>
            </w:r>
          </w:p>
        </w:tc>
        <w:tc>
          <w:tcPr>
            <w:tcW w:w="1009" w:type="pct"/>
            <w:tcBorders>
              <w:top w:val="nil"/>
              <w:left w:val="nil"/>
              <w:bottom w:val="single" w:sz="4" w:space="0" w:color="auto"/>
              <w:right w:val="single" w:sz="4" w:space="0" w:color="auto"/>
            </w:tcBorders>
            <w:shd w:val="clear" w:color="auto" w:fill="auto"/>
            <w:noWrap/>
            <w:vAlign w:val="bottom"/>
            <w:hideMark/>
          </w:tcPr>
          <w:p w14:paraId="63ACD184"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328,222 </w:t>
            </w:r>
          </w:p>
        </w:tc>
        <w:tc>
          <w:tcPr>
            <w:tcW w:w="872" w:type="pct"/>
            <w:tcBorders>
              <w:top w:val="nil"/>
              <w:left w:val="nil"/>
              <w:bottom w:val="single" w:sz="4" w:space="0" w:color="auto"/>
              <w:right w:val="single" w:sz="8" w:space="0" w:color="auto"/>
            </w:tcBorders>
            <w:shd w:val="clear" w:color="auto" w:fill="auto"/>
            <w:noWrap/>
            <w:vAlign w:val="bottom"/>
            <w:hideMark/>
          </w:tcPr>
          <w:p w14:paraId="77EE9CE0"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344,527 </w:t>
            </w:r>
          </w:p>
        </w:tc>
      </w:tr>
      <w:tr w:rsidR="00586DD1" w:rsidRPr="00586DD1" w14:paraId="5A265D59"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1BB94CB5"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Operating expenses </w:t>
            </w:r>
          </w:p>
        </w:tc>
        <w:tc>
          <w:tcPr>
            <w:tcW w:w="1009" w:type="pct"/>
            <w:tcBorders>
              <w:top w:val="nil"/>
              <w:left w:val="nil"/>
              <w:bottom w:val="single" w:sz="4" w:space="0" w:color="auto"/>
              <w:right w:val="single" w:sz="4" w:space="0" w:color="auto"/>
            </w:tcBorders>
            <w:shd w:val="clear" w:color="auto" w:fill="auto"/>
            <w:noWrap/>
            <w:vAlign w:val="bottom"/>
            <w:hideMark/>
          </w:tcPr>
          <w:p w14:paraId="2EC083B0"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426,096 </w:t>
            </w:r>
          </w:p>
        </w:tc>
        <w:tc>
          <w:tcPr>
            <w:tcW w:w="872" w:type="pct"/>
            <w:tcBorders>
              <w:top w:val="nil"/>
              <w:left w:val="nil"/>
              <w:bottom w:val="single" w:sz="4" w:space="0" w:color="auto"/>
              <w:right w:val="single" w:sz="8" w:space="0" w:color="auto"/>
            </w:tcBorders>
            <w:shd w:val="clear" w:color="auto" w:fill="auto"/>
            <w:noWrap/>
            <w:vAlign w:val="bottom"/>
            <w:hideMark/>
          </w:tcPr>
          <w:p w14:paraId="2A88B8CD"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-443,486 </w:t>
            </w:r>
          </w:p>
        </w:tc>
      </w:tr>
      <w:tr w:rsidR="00586DD1" w:rsidRPr="00586DD1" w14:paraId="25C5BF2D"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0CD8071C"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Operating profit/(loss) </w:t>
            </w:r>
          </w:p>
        </w:tc>
        <w:tc>
          <w:tcPr>
            <w:tcW w:w="1009" w:type="pct"/>
            <w:tcBorders>
              <w:top w:val="nil"/>
              <w:left w:val="nil"/>
              <w:bottom w:val="single" w:sz="4" w:space="0" w:color="auto"/>
              <w:right w:val="single" w:sz="4" w:space="0" w:color="auto"/>
            </w:tcBorders>
            <w:shd w:val="clear" w:color="auto" w:fill="auto"/>
            <w:noWrap/>
            <w:vAlign w:val="bottom"/>
            <w:hideMark/>
          </w:tcPr>
          <w:p w14:paraId="5695869A"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97,874 </w:t>
            </w:r>
          </w:p>
        </w:tc>
        <w:tc>
          <w:tcPr>
            <w:tcW w:w="872" w:type="pct"/>
            <w:tcBorders>
              <w:top w:val="nil"/>
              <w:left w:val="nil"/>
              <w:bottom w:val="single" w:sz="4" w:space="0" w:color="auto"/>
              <w:right w:val="single" w:sz="8" w:space="0" w:color="auto"/>
            </w:tcBorders>
            <w:shd w:val="clear" w:color="auto" w:fill="auto"/>
            <w:noWrap/>
            <w:vAlign w:val="bottom"/>
            <w:hideMark/>
          </w:tcPr>
          <w:p w14:paraId="41599C16"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98,959 </w:t>
            </w:r>
          </w:p>
        </w:tc>
      </w:tr>
      <w:tr w:rsidR="00586DD1" w:rsidRPr="00586DD1" w14:paraId="38EFD5CA" w14:textId="77777777" w:rsidTr="00586DD1">
        <w:trPr>
          <w:trHeight w:val="630"/>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2E43EA41"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Share of joint venture operating loss </w:t>
            </w:r>
          </w:p>
        </w:tc>
        <w:tc>
          <w:tcPr>
            <w:tcW w:w="1009" w:type="pct"/>
            <w:tcBorders>
              <w:top w:val="nil"/>
              <w:left w:val="nil"/>
              <w:bottom w:val="single" w:sz="4" w:space="0" w:color="auto"/>
              <w:right w:val="single" w:sz="4" w:space="0" w:color="auto"/>
            </w:tcBorders>
            <w:shd w:val="clear" w:color="auto" w:fill="auto"/>
            <w:noWrap/>
            <w:vAlign w:val="bottom"/>
            <w:hideMark/>
          </w:tcPr>
          <w:p w14:paraId="7E7E8F55"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1,313 </w:t>
            </w:r>
          </w:p>
        </w:tc>
        <w:tc>
          <w:tcPr>
            <w:tcW w:w="872" w:type="pct"/>
            <w:tcBorders>
              <w:top w:val="nil"/>
              <w:left w:val="nil"/>
              <w:bottom w:val="single" w:sz="4" w:space="0" w:color="auto"/>
              <w:right w:val="single" w:sz="8" w:space="0" w:color="auto"/>
            </w:tcBorders>
            <w:shd w:val="clear" w:color="auto" w:fill="auto"/>
            <w:noWrap/>
            <w:vAlign w:val="bottom"/>
            <w:hideMark/>
          </w:tcPr>
          <w:p w14:paraId="584DBA45"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1,492 </w:t>
            </w:r>
          </w:p>
        </w:tc>
      </w:tr>
      <w:tr w:rsidR="00586DD1" w:rsidRPr="00586DD1" w14:paraId="2AD1C718" w14:textId="77777777" w:rsidTr="00586DD1">
        <w:trPr>
          <w:trHeight w:val="630"/>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63E96F5C"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Profit on disposal of player registration </w:t>
            </w:r>
          </w:p>
        </w:tc>
        <w:tc>
          <w:tcPr>
            <w:tcW w:w="1009" w:type="pct"/>
            <w:tcBorders>
              <w:top w:val="nil"/>
              <w:left w:val="nil"/>
              <w:bottom w:val="single" w:sz="4" w:space="0" w:color="auto"/>
              <w:right w:val="single" w:sz="4" w:space="0" w:color="auto"/>
            </w:tcBorders>
            <w:shd w:val="clear" w:color="auto" w:fill="auto"/>
            <w:noWrap/>
            <w:vAlign w:val="bottom"/>
            <w:hideMark/>
          </w:tcPr>
          <w:p w14:paraId="0D62197B"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11,770 </w:t>
            </w:r>
          </w:p>
        </w:tc>
        <w:tc>
          <w:tcPr>
            <w:tcW w:w="872" w:type="pct"/>
            <w:tcBorders>
              <w:top w:val="nil"/>
              <w:left w:val="nil"/>
              <w:bottom w:val="single" w:sz="4" w:space="0" w:color="auto"/>
              <w:right w:val="single" w:sz="8" w:space="0" w:color="auto"/>
            </w:tcBorders>
            <w:shd w:val="clear" w:color="auto" w:fill="auto"/>
            <w:noWrap/>
            <w:vAlign w:val="bottom"/>
            <w:hideMark/>
          </w:tcPr>
          <w:p w14:paraId="07783D3B"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60,050 </w:t>
            </w:r>
          </w:p>
        </w:tc>
      </w:tr>
      <w:tr w:rsidR="00586DD1" w:rsidRPr="00586DD1" w14:paraId="5F624D62"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4CCFA235"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Profit/(loss) before finance cost </w:t>
            </w:r>
          </w:p>
        </w:tc>
        <w:tc>
          <w:tcPr>
            <w:tcW w:w="1009" w:type="pct"/>
            <w:tcBorders>
              <w:top w:val="nil"/>
              <w:left w:val="nil"/>
              <w:bottom w:val="single" w:sz="4" w:space="0" w:color="auto"/>
              <w:right w:val="single" w:sz="4" w:space="0" w:color="auto"/>
            </w:tcBorders>
            <w:shd w:val="clear" w:color="auto" w:fill="auto"/>
            <w:noWrap/>
            <w:vAlign w:val="bottom"/>
            <w:hideMark/>
          </w:tcPr>
          <w:p w14:paraId="548EB7D3"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87,417 </w:t>
            </w:r>
          </w:p>
        </w:tc>
        <w:tc>
          <w:tcPr>
            <w:tcW w:w="872" w:type="pct"/>
            <w:tcBorders>
              <w:top w:val="nil"/>
              <w:left w:val="nil"/>
              <w:bottom w:val="single" w:sz="4" w:space="0" w:color="auto"/>
              <w:right w:val="single" w:sz="8" w:space="0" w:color="auto"/>
            </w:tcBorders>
            <w:shd w:val="clear" w:color="auto" w:fill="auto"/>
            <w:noWrap/>
            <w:vAlign w:val="bottom"/>
            <w:hideMark/>
          </w:tcPr>
          <w:p w14:paraId="022EFB10"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40,401 </w:t>
            </w:r>
          </w:p>
        </w:tc>
      </w:tr>
      <w:tr w:rsidR="00586DD1" w:rsidRPr="00586DD1" w14:paraId="2A114AB7"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593F87C3"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Net finance </w:t>
            </w:r>
            <w:proofErr w:type="spellStart"/>
            <w:r w:rsidRPr="00586DD1">
              <w:rPr>
                <w:rFonts w:ascii="Cambria" w:eastAsia="Times New Roman" w:hAnsi="Cambria" w:cs="Calibri"/>
                <w:color w:val="000000"/>
                <w:sz w:val="24"/>
                <w:szCs w:val="24"/>
                <w:lang w:eastAsia="en-GB"/>
              </w:rPr>
              <w:t>cherges</w:t>
            </w:r>
            <w:proofErr w:type="spellEnd"/>
            <w:r w:rsidRPr="00586DD1">
              <w:rPr>
                <w:rFonts w:ascii="Cambria" w:eastAsia="Times New Roman" w:hAnsi="Cambria" w:cs="Calibri"/>
                <w:color w:val="000000"/>
                <w:sz w:val="24"/>
                <w:szCs w:val="24"/>
                <w:lang w:eastAsia="en-GB"/>
              </w:rPr>
              <w:t xml:space="preserve"> </w:t>
            </w:r>
          </w:p>
        </w:tc>
        <w:tc>
          <w:tcPr>
            <w:tcW w:w="1009" w:type="pct"/>
            <w:tcBorders>
              <w:top w:val="nil"/>
              <w:left w:val="nil"/>
              <w:bottom w:val="single" w:sz="4" w:space="0" w:color="auto"/>
              <w:right w:val="single" w:sz="4" w:space="0" w:color="auto"/>
            </w:tcBorders>
            <w:shd w:val="clear" w:color="auto" w:fill="auto"/>
            <w:noWrap/>
            <w:vAlign w:val="bottom"/>
            <w:hideMark/>
          </w:tcPr>
          <w:p w14:paraId="7548288A"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39,787 </w:t>
            </w:r>
          </w:p>
        </w:tc>
        <w:tc>
          <w:tcPr>
            <w:tcW w:w="872" w:type="pct"/>
            <w:tcBorders>
              <w:top w:val="nil"/>
              <w:left w:val="nil"/>
              <w:bottom w:val="single" w:sz="4" w:space="0" w:color="auto"/>
              <w:right w:val="single" w:sz="8" w:space="0" w:color="auto"/>
            </w:tcBorders>
            <w:shd w:val="clear" w:color="auto" w:fill="auto"/>
            <w:noWrap/>
            <w:vAlign w:val="bottom"/>
            <w:hideMark/>
          </w:tcPr>
          <w:p w14:paraId="6C483B21"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13,621 </w:t>
            </w:r>
          </w:p>
        </w:tc>
      </w:tr>
      <w:tr w:rsidR="00586DD1" w:rsidRPr="00586DD1" w14:paraId="0C0F4C49"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746C0D58"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Loss before tax </w:t>
            </w:r>
          </w:p>
        </w:tc>
        <w:tc>
          <w:tcPr>
            <w:tcW w:w="1009" w:type="pct"/>
            <w:tcBorders>
              <w:top w:val="nil"/>
              <w:left w:val="nil"/>
              <w:bottom w:val="single" w:sz="4" w:space="0" w:color="auto"/>
              <w:right w:val="single" w:sz="4" w:space="0" w:color="auto"/>
            </w:tcBorders>
            <w:shd w:val="clear" w:color="auto" w:fill="auto"/>
            <w:noWrap/>
            <w:vAlign w:val="bottom"/>
            <w:hideMark/>
          </w:tcPr>
          <w:p w14:paraId="7048D204"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127,204 </w:t>
            </w:r>
          </w:p>
        </w:tc>
        <w:tc>
          <w:tcPr>
            <w:tcW w:w="872" w:type="pct"/>
            <w:tcBorders>
              <w:top w:val="nil"/>
              <w:left w:val="nil"/>
              <w:bottom w:val="single" w:sz="4" w:space="0" w:color="auto"/>
              <w:right w:val="single" w:sz="8" w:space="0" w:color="auto"/>
            </w:tcBorders>
            <w:shd w:val="clear" w:color="auto" w:fill="auto"/>
            <w:noWrap/>
            <w:vAlign w:val="bottom"/>
            <w:hideMark/>
          </w:tcPr>
          <w:p w14:paraId="34ADD69E"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54,022 </w:t>
            </w:r>
          </w:p>
        </w:tc>
      </w:tr>
      <w:tr w:rsidR="00586DD1" w:rsidRPr="00586DD1" w14:paraId="0AD67530" w14:textId="77777777" w:rsidTr="00586DD1">
        <w:trPr>
          <w:trHeight w:val="315"/>
        </w:trPr>
        <w:tc>
          <w:tcPr>
            <w:tcW w:w="3119" w:type="pct"/>
            <w:tcBorders>
              <w:top w:val="nil"/>
              <w:left w:val="single" w:sz="8" w:space="0" w:color="auto"/>
              <w:bottom w:val="single" w:sz="4" w:space="0" w:color="auto"/>
              <w:right w:val="single" w:sz="4" w:space="0" w:color="auto"/>
            </w:tcBorders>
            <w:shd w:val="clear" w:color="auto" w:fill="auto"/>
            <w:vAlign w:val="bottom"/>
            <w:hideMark/>
          </w:tcPr>
          <w:p w14:paraId="41EE3AAD"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Tax credit on loss </w:t>
            </w:r>
          </w:p>
        </w:tc>
        <w:tc>
          <w:tcPr>
            <w:tcW w:w="1009" w:type="pct"/>
            <w:tcBorders>
              <w:top w:val="nil"/>
              <w:left w:val="nil"/>
              <w:bottom w:val="single" w:sz="4" w:space="0" w:color="auto"/>
              <w:right w:val="single" w:sz="4" w:space="0" w:color="auto"/>
            </w:tcBorders>
            <w:shd w:val="clear" w:color="auto" w:fill="auto"/>
            <w:noWrap/>
            <w:vAlign w:val="bottom"/>
            <w:hideMark/>
          </w:tcPr>
          <w:p w14:paraId="6B4DD47D"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19,913 </w:t>
            </w:r>
          </w:p>
        </w:tc>
        <w:tc>
          <w:tcPr>
            <w:tcW w:w="872" w:type="pct"/>
            <w:tcBorders>
              <w:top w:val="nil"/>
              <w:left w:val="nil"/>
              <w:bottom w:val="single" w:sz="4" w:space="0" w:color="auto"/>
              <w:right w:val="single" w:sz="8" w:space="0" w:color="auto"/>
            </w:tcBorders>
            <w:shd w:val="clear" w:color="auto" w:fill="auto"/>
            <w:noWrap/>
            <w:vAlign w:val="bottom"/>
            <w:hideMark/>
          </w:tcPr>
          <w:p w14:paraId="23DDB0DB"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6,244 </w:t>
            </w:r>
          </w:p>
        </w:tc>
      </w:tr>
      <w:tr w:rsidR="00586DD1" w:rsidRPr="00586DD1" w14:paraId="4D6228C8" w14:textId="77777777" w:rsidTr="00586DD1">
        <w:trPr>
          <w:trHeight w:val="330"/>
        </w:trPr>
        <w:tc>
          <w:tcPr>
            <w:tcW w:w="3119" w:type="pct"/>
            <w:tcBorders>
              <w:top w:val="nil"/>
              <w:left w:val="single" w:sz="8" w:space="0" w:color="auto"/>
              <w:bottom w:val="single" w:sz="8" w:space="0" w:color="auto"/>
              <w:right w:val="single" w:sz="4" w:space="0" w:color="auto"/>
            </w:tcBorders>
            <w:shd w:val="clear" w:color="auto" w:fill="auto"/>
            <w:vAlign w:val="bottom"/>
            <w:hideMark/>
          </w:tcPr>
          <w:p w14:paraId="605A6BAE"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Loss for the financial year </w:t>
            </w:r>
          </w:p>
        </w:tc>
        <w:tc>
          <w:tcPr>
            <w:tcW w:w="1009" w:type="pct"/>
            <w:tcBorders>
              <w:top w:val="nil"/>
              <w:left w:val="nil"/>
              <w:bottom w:val="single" w:sz="8" w:space="0" w:color="auto"/>
              <w:right w:val="single" w:sz="4" w:space="0" w:color="auto"/>
            </w:tcBorders>
            <w:shd w:val="clear" w:color="auto" w:fill="auto"/>
            <w:noWrap/>
            <w:vAlign w:val="bottom"/>
            <w:hideMark/>
          </w:tcPr>
          <w:p w14:paraId="07E1E9BA"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107,291 </w:t>
            </w:r>
          </w:p>
        </w:tc>
        <w:tc>
          <w:tcPr>
            <w:tcW w:w="872" w:type="pct"/>
            <w:tcBorders>
              <w:top w:val="nil"/>
              <w:left w:val="nil"/>
              <w:bottom w:val="single" w:sz="8" w:space="0" w:color="auto"/>
              <w:right w:val="single" w:sz="8" w:space="0" w:color="auto"/>
            </w:tcBorders>
            <w:shd w:val="clear" w:color="auto" w:fill="auto"/>
            <w:noWrap/>
            <w:vAlign w:val="bottom"/>
            <w:hideMark/>
          </w:tcPr>
          <w:p w14:paraId="00D02D30"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47,778 </w:t>
            </w:r>
          </w:p>
        </w:tc>
      </w:tr>
    </w:tbl>
    <w:p w14:paraId="3EE180B0" w14:textId="77777777" w:rsidR="00586DD1" w:rsidRDefault="00586DD1" w:rsidP="00CB08D8">
      <w:pPr>
        <w:spacing w:line="480" w:lineRule="auto"/>
        <w:rPr>
          <w:rFonts w:ascii="Times New Roman" w:hAnsi="Times New Roman" w:cs="Times New Roman"/>
          <w:sz w:val="24"/>
          <w:szCs w:val="24"/>
        </w:rPr>
      </w:pPr>
    </w:p>
    <w:p w14:paraId="636DFCB0" w14:textId="77777777" w:rsidR="00586DD1" w:rsidRDefault="00586DD1" w:rsidP="00CB08D8">
      <w:pPr>
        <w:spacing w:line="480" w:lineRule="auto"/>
        <w:rPr>
          <w:rFonts w:ascii="Times New Roman" w:hAnsi="Times New Roman" w:cs="Times New Roman"/>
          <w:b/>
          <w:sz w:val="24"/>
          <w:szCs w:val="24"/>
        </w:rPr>
      </w:pPr>
    </w:p>
    <w:p w14:paraId="0D83DFB5" w14:textId="77777777" w:rsidR="00586DD1" w:rsidRDefault="00586DD1" w:rsidP="00CB08D8">
      <w:pPr>
        <w:spacing w:line="480" w:lineRule="auto"/>
        <w:rPr>
          <w:rFonts w:ascii="Times New Roman" w:hAnsi="Times New Roman" w:cs="Times New Roman"/>
          <w:b/>
          <w:sz w:val="24"/>
          <w:szCs w:val="24"/>
        </w:rPr>
      </w:pPr>
    </w:p>
    <w:p w14:paraId="1729C839" w14:textId="77777777" w:rsidR="00586DD1" w:rsidRDefault="00586DD1" w:rsidP="00CB08D8">
      <w:pPr>
        <w:spacing w:line="480" w:lineRule="auto"/>
        <w:rPr>
          <w:rFonts w:ascii="Times New Roman" w:hAnsi="Times New Roman" w:cs="Times New Roman"/>
          <w:b/>
          <w:sz w:val="24"/>
          <w:szCs w:val="24"/>
        </w:rPr>
      </w:pPr>
    </w:p>
    <w:p w14:paraId="38F2DF4A" w14:textId="77777777" w:rsidR="00586DD1" w:rsidRDefault="00586DD1" w:rsidP="00CB08D8">
      <w:pPr>
        <w:spacing w:line="480" w:lineRule="auto"/>
        <w:rPr>
          <w:rFonts w:ascii="Times New Roman" w:hAnsi="Times New Roman" w:cs="Times New Roman"/>
          <w:b/>
          <w:sz w:val="24"/>
          <w:szCs w:val="24"/>
        </w:rPr>
      </w:pPr>
    </w:p>
    <w:p w14:paraId="586CF6A5" w14:textId="77777777" w:rsidR="00586DD1" w:rsidRDefault="00586DD1" w:rsidP="00CB08D8">
      <w:pPr>
        <w:spacing w:line="480" w:lineRule="auto"/>
        <w:rPr>
          <w:rFonts w:ascii="Times New Roman" w:hAnsi="Times New Roman" w:cs="Times New Roman"/>
          <w:b/>
          <w:sz w:val="24"/>
          <w:szCs w:val="24"/>
        </w:rPr>
      </w:pPr>
    </w:p>
    <w:p w14:paraId="673EECD5" w14:textId="77777777" w:rsidR="00586DD1" w:rsidRDefault="00586DD1" w:rsidP="00CB08D8">
      <w:pPr>
        <w:spacing w:line="480" w:lineRule="auto"/>
        <w:rPr>
          <w:rFonts w:ascii="Times New Roman" w:hAnsi="Times New Roman" w:cs="Times New Roman"/>
          <w:b/>
          <w:sz w:val="24"/>
          <w:szCs w:val="24"/>
        </w:rPr>
      </w:pPr>
    </w:p>
    <w:p w14:paraId="74109FDC" w14:textId="77777777" w:rsidR="00586DD1" w:rsidRDefault="00586DD1" w:rsidP="00CB08D8">
      <w:pPr>
        <w:spacing w:line="480" w:lineRule="auto"/>
        <w:rPr>
          <w:rFonts w:ascii="Times New Roman" w:hAnsi="Times New Roman" w:cs="Times New Roman"/>
          <w:b/>
          <w:sz w:val="24"/>
          <w:szCs w:val="24"/>
        </w:rPr>
      </w:pPr>
    </w:p>
    <w:p w14:paraId="3CD1BE1F" w14:textId="77777777" w:rsidR="00586DD1" w:rsidRDefault="00586DD1" w:rsidP="00CB08D8">
      <w:pPr>
        <w:spacing w:line="480" w:lineRule="auto"/>
        <w:rPr>
          <w:rFonts w:ascii="Times New Roman" w:hAnsi="Times New Roman" w:cs="Times New Roman"/>
          <w:b/>
          <w:sz w:val="24"/>
          <w:szCs w:val="24"/>
        </w:rPr>
      </w:pPr>
    </w:p>
    <w:p w14:paraId="1E6718BC" w14:textId="77777777" w:rsidR="00E41BB6" w:rsidRDefault="00E41BB6" w:rsidP="00CB08D8">
      <w:pPr>
        <w:spacing w:line="480" w:lineRule="auto"/>
        <w:rPr>
          <w:rFonts w:ascii="Times New Roman" w:hAnsi="Times New Roman" w:cs="Times New Roman"/>
          <w:b/>
          <w:sz w:val="24"/>
          <w:szCs w:val="24"/>
        </w:rPr>
      </w:pPr>
    </w:p>
    <w:p w14:paraId="49C37027" w14:textId="78FCB433" w:rsidR="00586DD1" w:rsidRPr="00586DD1" w:rsidRDefault="00586DD1" w:rsidP="00CB08D8">
      <w:pPr>
        <w:spacing w:line="480" w:lineRule="auto"/>
        <w:rPr>
          <w:rFonts w:ascii="Times New Roman" w:hAnsi="Times New Roman" w:cs="Times New Roman"/>
          <w:b/>
          <w:sz w:val="24"/>
          <w:szCs w:val="24"/>
        </w:rPr>
      </w:pPr>
      <w:r w:rsidRPr="00586DD1">
        <w:rPr>
          <w:rFonts w:ascii="Times New Roman" w:hAnsi="Times New Roman" w:cs="Times New Roman"/>
          <w:b/>
          <w:sz w:val="24"/>
          <w:szCs w:val="24"/>
        </w:rPr>
        <w:lastRenderedPageBreak/>
        <w:t>Balance sheet</w:t>
      </w:r>
    </w:p>
    <w:tbl>
      <w:tblPr>
        <w:tblW w:w="5000" w:type="pct"/>
        <w:tblLook w:val="04A0" w:firstRow="1" w:lastRow="0" w:firstColumn="1" w:lastColumn="0" w:noHBand="0" w:noVBand="1"/>
      </w:tblPr>
      <w:tblGrid>
        <w:gridCol w:w="5452"/>
        <w:gridCol w:w="1895"/>
        <w:gridCol w:w="1895"/>
      </w:tblGrid>
      <w:tr w:rsidR="00586DD1" w:rsidRPr="00586DD1" w14:paraId="503265D0" w14:textId="77777777" w:rsidTr="00586DD1">
        <w:trPr>
          <w:trHeight w:val="315"/>
        </w:trPr>
        <w:tc>
          <w:tcPr>
            <w:tcW w:w="2950" w:type="pct"/>
            <w:tcBorders>
              <w:top w:val="single" w:sz="8" w:space="0" w:color="auto"/>
              <w:left w:val="single" w:sz="8" w:space="0" w:color="auto"/>
              <w:bottom w:val="nil"/>
              <w:right w:val="nil"/>
            </w:tcBorders>
            <w:shd w:val="clear" w:color="auto" w:fill="auto"/>
            <w:vAlign w:val="bottom"/>
            <w:hideMark/>
          </w:tcPr>
          <w:p w14:paraId="22482BD0"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Fixed Assets </w:t>
            </w:r>
          </w:p>
        </w:tc>
        <w:tc>
          <w:tcPr>
            <w:tcW w:w="1025" w:type="pct"/>
            <w:tcBorders>
              <w:top w:val="single" w:sz="8" w:space="0" w:color="auto"/>
              <w:left w:val="nil"/>
              <w:bottom w:val="nil"/>
              <w:right w:val="nil"/>
            </w:tcBorders>
            <w:shd w:val="clear" w:color="auto" w:fill="auto"/>
            <w:noWrap/>
            <w:vAlign w:val="bottom"/>
            <w:hideMark/>
          </w:tcPr>
          <w:p w14:paraId="45C59497"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Y2021 </w:t>
            </w:r>
          </w:p>
        </w:tc>
        <w:tc>
          <w:tcPr>
            <w:tcW w:w="1025" w:type="pct"/>
            <w:tcBorders>
              <w:top w:val="single" w:sz="8" w:space="0" w:color="auto"/>
              <w:left w:val="nil"/>
              <w:bottom w:val="nil"/>
              <w:right w:val="single" w:sz="8" w:space="0" w:color="auto"/>
            </w:tcBorders>
            <w:shd w:val="clear" w:color="auto" w:fill="auto"/>
            <w:noWrap/>
            <w:vAlign w:val="bottom"/>
            <w:hideMark/>
          </w:tcPr>
          <w:p w14:paraId="47E25061"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Y2020 </w:t>
            </w:r>
          </w:p>
        </w:tc>
      </w:tr>
      <w:tr w:rsidR="00586DD1" w:rsidRPr="00586DD1" w14:paraId="1D1C65B7"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3878CED4"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Tangible assets </w:t>
            </w:r>
          </w:p>
        </w:tc>
        <w:tc>
          <w:tcPr>
            <w:tcW w:w="1025" w:type="pct"/>
            <w:tcBorders>
              <w:top w:val="nil"/>
              <w:left w:val="nil"/>
              <w:bottom w:val="nil"/>
              <w:right w:val="nil"/>
            </w:tcBorders>
            <w:shd w:val="clear" w:color="auto" w:fill="auto"/>
            <w:noWrap/>
            <w:vAlign w:val="bottom"/>
            <w:hideMark/>
          </w:tcPr>
          <w:p w14:paraId="0DA374EF"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401,477 </w:t>
            </w:r>
          </w:p>
        </w:tc>
        <w:tc>
          <w:tcPr>
            <w:tcW w:w="1025" w:type="pct"/>
            <w:tcBorders>
              <w:top w:val="nil"/>
              <w:left w:val="nil"/>
              <w:bottom w:val="nil"/>
              <w:right w:val="single" w:sz="8" w:space="0" w:color="auto"/>
            </w:tcBorders>
            <w:shd w:val="clear" w:color="auto" w:fill="auto"/>
            <w:noWrap/>
            <w:vAlign w:val="bottom"/>
            <w:hideMark/>
          </w:tcPr>
          <w:p w14:paraId="52C9A71A"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416,852 </w:t>
            </w:r>
          </w:p>
        </w:tc>
      </w:tr>
      <w:tr w:rsidR="00586DD1" w:rsidRPr="00586DD1" w14:paraId="049721CA"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6576EC14"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Intangible assets </w:t>
            </w:r>
          </w:p>
        </w:tc>
        <w:tc>
          <w:tcPr>
            <w:tcW w:w="1025" w:type="pct"/>
            <w:tcBorders>
              <w:top w:val="nil"/>
              <w:left w:val="nil"/>
              <w:bottom w:val="nil"/>
              <w:right w:val="nil"/>
            </w:tcBorders>
            <w:shd w:val="clear" w:color="auto" w:fill="auto"/>
            <w:noWrap/>
            <w:vAlign w:val="bottom"/>
            <w:hideMark/>
          </w:tcPr>
          <w:p w14:paraId="1E4BA9DD"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294,241 </w:t>
            </w:r>
          </w:p>
        </w:tc>
        <w:tc>
          <w:tcPr>
            <w:tcW w:w="1025" w:type="pct"/>
            <w:tcBorders>
              <w:top w:val="nil"/>
              <w:left w:val="nil"/>
              <w:bottom w:val="nil"/>
              <w:right w:val="single" w:sz="8" w:space="0" w:color="auto"/>
            </w:tcBorders>
            <w:shd w:val="clear" w:color="auto" w:fill="auto"/>
            <w:noWrap/>
            <w:vAlign w:val="bottom"/>
            <w:hideMark/>
          </w:tcPr>
          <w:p w14:paraId="57C03AA8"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303,547 </w:t>
            </w:r>
          </w:p>
        </w:tc>
      </w:tr>
      <w:tr w:rsidR="00586DD1" w:rsidRPr="00586DD1" w14:paraId="32D572AB"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34F8054B"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Investment </w:t>
            </w:r>
          </w:p>
        </w:tc>
        <w:tc>
          <w:tcPr>
            <w:tcW w:w="1025" w:type="pct"/>
            <w:tcBorders>
              <w:top w:val="nil"/>
              <w:left w:val="nil"/>
              <w:bottom w:val="nil"/>
              <w:right w:val="nil"/>
            </w:tcBorders>
            <w:shd w:val="clear" w:color="auto" w:fill="auto"/>
            <w:noWrap/>
            <w:vAlign w:val="bottom"/>
            <w:hideMark/>
          </w:tcPr>
          <w:p w14:paraId="29EFEFF4"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3,664 </w:t>
            </w:r>
          </w:p>
        </w:tc>
        <w:tc>
          <w:tcPr>
            <w:tcW w:w="1025" w:type="pct"/>
            <w:tcBorders>
              <w:top w:val="nil"/>
              <w:left w:val="nil"/>
              <w:bottom w:val="nil"/>
              <w:right w:val="single" w:sz="8" w:space="0" w:color="auto"/>
            </w:tcBorders>
            <w:shd w:val="clear" w:color="auto" w:fill="auto"/>
            <w:noWrap/>
            <w:vAlign w:val="bottom"/>
            <w:hideMark/>
          </w:tcPr>
          <w:p w14:paraId="74D53815"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4,880 </w:t>
            </w:r>
          </w:p>
        </w:tc>
      </w:tr>
      <w:tr w:rsidR="00586DD1" w:rsidRPr="00586DD1" w14:paraId="47C3629D"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419CD952"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Total Fixed Assets </w:t>
            </w:r>
          </w:p>
        </w:tc>
        <w:tc>
          <w:tcPr>
            <w:tcW w:w="1025" w:type="pct"/>
            <w:tcBorders>
              <w:top w:val="nil"/>
              <w:left w:val="nil"/>
              <w:bottom w:val="nil"/>
              <w:right w:val="nil"/>
            </w:tcBorders>
            <w:shd w:val="clear" w:color="auto" w:fill="auto"/>
            <w:noWrap/>
            <w:vAlign w:val="bottom"/>
            <w:hideMark/>
          </w:tcPr>
          <w:p w14:paraId="3949F867"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699,382 </w:t>
            </w:r>
          </w:p>
        </w:tc>
        <w:tc>
          <w:tcPr>
            <w:tcW w:w="1025" w:type="pct"/>
            <w:tcBorders>
              <w:top w:val="nil"/>
              <w:left w:val="nil"/>
              <w:bottom w:val="nil"/>
              <w:right w:val="single" w:sz="8" w:space="0" w:color="auto"/>
            </w:tcBorders>
            <w:shd w:val="clear" w:color="auto" w:fill="auto"/>
            <w:noWrap/>
            <w:vAlign w:val="bottom"/>
            <w:hideMark/>
          </w:tcPr>
          <w:p w14:paraId="65CB6A8C"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725,279 </w:t>
            </w:r>
          </w:p>
        </w:tc>
      </w:tr>
      <w:tr w:rsidR="00586DD1" w:rsidRPr="00586DD1" w14:paraId="6475DF81"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2DAAEE23"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Current Assets </w:t>
            </w:r>
          </w:p>
        </w:tc>
        <w:tc>
          <w:tcPr>
            <w:tcW w:w="1025" w:type="pct"/>
            <w:tcBorders>
              <w:top w:val="nil"/>
              <w:left w:val="nil"/>
              <w:bottom w:val="nil"/>
              <w:right w:val="nil"/>
            </w:tcBorders>
            <w:shd w:val="clear" w:color="auto" w:fill="auto"/>
            <w:noWrap/>
            <w:vAlign w:val="bottom"/>
            <w:hideMark/>
          </w:tcPr>
          <w:p w14:paraId="117E8B09"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p>
        </w:tc>
        <w:tc>
          <w:tcPr>
            <w:tcW w:w="1025" w:type="pct"/>
            <w:tcBorders>
              <w:top w:val="nil"/>
              <w:left w:val="nil"/>
              <w:bottom w:val="nil"/>
              <w:right w:val="single" w:sz="8" w:space="0" w:color="auto"/>
            </w:tcBorders>
            <w:shd w:val="clear" w:color="auto" w:fill="auto"/>
            <w:noWrap/>
            <w:vAlign w:val="bottom"/>
            <w:hideMark/>
          </w:tcPr>
          <w:p w14:paraId="3EA89556"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w:t>
            </w:r>
          </w:p>
        </w:tc>
      </w:tr>
      <w:tr w:rsidR="00586DD1" w:rsidRPr="00586DD1" w14:paraId="53F90CDA"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190C3AD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Stock-development properties </w:t>
            </w:r>
          </w:p>
        </w:tc>
        <w:tc>
          <w:tcPr>
            <w:tcW w:w="1025" w:type="pct"/>
            <w:tcBorders>
              <w:top w:val="nil"/>
              <w:left w:val="nil"/>
              <w:bottom w:val="nil"/>
              <w:right w:val="nil"/>
            </w:tcBorders>
            <w:shd w:val="clear" w:color="auto" w:fill="auto"/>
            <w:noWrap/>
            <w:vAlign w:val="bottom"/>
            <w:hideMark/>
          </w:tcPr>
          <w:p w14:paraId="053A484A"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8,294 </w:t>
            </w:r>
          </w:p>
        </w:tc>
        <w:tc>
          <w:tcPr>
            <w:tcW w:w="1025" w:type="pct"/>
            <w:tcBorders>
              <w:top w:val="nil"/>
              <w:left w:val="nil"/>
              <w:bottom w:val="nil"/>
              <w:right w:val="single" w:sz="8" w:space="0" w:color="auto"/>
            </w:tcBorders>
            <w:shd w:val="clear" w:color="auto" w:fill="auto"/>
            <w:noWrap/>
            <w:vAlign w:val="bottom"/>
            <w:hideMark/>
          </w:tcPr>
          <w:p w14:paraId="27F3EDDD"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8,116 </w:t>
            </w:r>
          </w:p>
        </w:tc>
      </w:tr>
      <w:tr w:rsidR="00586DD1" w:rsidRPr="00586DD1" w14:paraId="1EBF35DE"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146EF1AC"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Stock-retail merchandise </w:t>
            </w:r>
          </w:p>
        </w:tc>
        <w:tc>
          <w:tcPr>
            <w:tcW w:w="1025" w:type="pct"/>
            <w:tcBorders>
              <w:top w:val="nil"/>
              <w:left w:val="nil"/>
              <w:bottom w:val="nil"/>
              <w:right w:val="nil"/>
            </w:tcBorders>
            <w:shd w:val="clear" w:color="auto" w:fill="auto"/>
            <w:noWrap/>
            <w:vAlign w:val="bottom"/>
            <w:hideMark/>
          </w:tcPr>
          <w:p w14:paraId="7F3A0B3A"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3,898 </w:t>
            </w:r>
          </w:p>
        </w:tc>
        <w:tc>
          <w:tcPr>
            <w:tcW w:w="1025" w:type="pct"/>
            <w:tcBorders>
              <w:top w:val="nil"/>
              <w:left w:val="nil"/>
              <w:bottom w:val="nil"/>
              <w:right w:val="single" w:sz="8" w:space="0" w:color="auto"/>
            </w:tcBorders>
            <w:shd w:val="clear" w:color="auto" w:fill="auto"/>
            <w:noWrap/>
            <w:vAlign w:val="bottom"/>
            <w:hideMark/>
          </w:tcPr>
          <w:p w14:paraId="70CDB5AA"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3,294 </w:t>
            </w:r>
          </w:p>
        </w:tc>
      </w:tr>
      <w:tr w:rsidR="00586DD1" w:rsidRPr="00586DD1" w14:paraId="557F86A5"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288249E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Debtors-due within one year </w:t>
            </w:r>
          </w:p>
        </w:tc>
        <w:tc>
          <w:tcPr>
            <w:tcW w:w="1025" w:type="pct"/>
            <w:tcBorders>
              <w:top w:val="nil"/>
              <w:left w:val="nil"/>
              <w:bottom w:val="nil"/>
              <w:right w:val="nil"/>
            </w:tcBorders>
            <w:shd w:val="clear" w:color="auto" w:fill="auto"/>
            <w:noWrap/>
            <w:vAlign w:val="bottom"/>
            <w:hideMark/>
          </w:tcPr>
          <w:p w14:paraId="295A3554"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48,712 </w:t>
            </w:r>
          </w:p>
        </w:tc>
        <w:tc>
          <w:tcPr>
            <w:tcW w:w="1025" w:type="pct"/>
            <w:tcBorders>
              <w:top w:val="nil"/>
              <w:left w:val="nil"/>
              <w:bottom w:val="nil"/>
              <w:right w:val="single" w:sz="8" w:space="0" w:color="auto"/>
            </w:tcBorders>
            <w:shd w:val="clear" w:color="auto" w:fill="auto"/>
            <w:noWrap/>
            <w:vAlign w:val="bottom"/>
            <w:hideMark/>
          </w:tcPr>
          <w:p w14:paraId="04BCAE83"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62,609 </w:t>
            </w:r>
          </w:p>
        </w:tc>
      </w:tr>
      <w:tr w:rsidR="00586DD1" w:rsidRPr="00586DD1" w14:paraId="39F70BCF"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185D447B"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Debtors- due after one year </w:t>
            </w:r>
          </w:p>
        </w:tc>
        <w:tc>
          <w:tcPr>
            <w:tcW w:w="1025" w:type="pct"/>
            <w:tcBorders>
              <w:top w:val="nil"/>
              <w:left w:val="nil"/>
              <w:bottom w:val="nil"/>
              <w:right w:val="nil"/>
            </w:tcBorders>
            <w:shd w:val="clear" w:color="auto" w:fill="auto"/>
            <w:noWrap/>
            <w:vAlign w:val="bottom"/>
            <w:hideMark/>
          </w:tcPr>
          <w:p w14:paraId="4D18E2AC"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8,815 </w:t>
            </w:r>
          </w:p>
        </w:tc>
        <w:tc>
          <w:tcPr>
            <w:tcW w:w="1025" w:type="pct"/>
            <w:tcBorders>
              <w:top w:val="nil"/>
              <w:left w:val="nil"/>
              <w:bottom w:val="nil"/>
              <w:right w:val="single" w:sz="8" w:space="0" w:color="auto"/>
            </w:tcBorders>
            <w:shd w:val="clear" w:color="auto" w:fill="auto"/>
            <w:noWrap/>
            <w:vAlign w:val="bottom"/>
            <w:hideMark/>
          </w:tcPr>
          <w:p w14:paraId="4EBCBEF8"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27,151 </w:t>
            </w:r>
          </w:p>
        </w:tc>
      </w:tr>
      <w:tr w:rsidR="00586DD1" w:rsidRPr="00586DD1" w14:paraId="1B179C0C"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558CC443"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Cash at bank and in hand </w:t>
            </w:r>
          </w:p>
        </w:tc>
        <w:tc>
          <w:tcPr>
            <w:tcW w:w="1025" w:type="pct"/>
            <w:tcBorders>
              <w:top w:val="nil"/>
              <w:left w:val="nil"/>
              <w:bottom w:val="nil"/>
              <w:right w:val="nil"/>
            </w:tcBorders>
            <w:shd w:val="clear" w:color="auto" w:fill="auto"/>
            <w:noWrap/>
            <w:vAlign w:val="bottom"/>
            <w:hideMark/>
          </w:tcPr>
          <w:p w14:paraId="145223CC"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18,777 </w:t>
            </w:r>
          </w:p>
        </w:tc>
        <w:tc>
          <w:tcPr>
            <w:tcW w:w="1025" w:type="pct"/>
            <w:tcBorders>
              <w:top w:val="nil"/>
              <w:left w:val="nil"/>
              <w:bottom w:val="nil"/>
              <w:right w:val="single" w:sz="8" w:space="0" w:color="auto"/>
            </w:tcBorders>
            <w:shd w:val="clear" w:color="auto" w:fill="auto"/>
            <w:noWrap/>
            <w:vAlign w:val="bottom"/>
            <w:hideMark/>
          </w:tcPr>
          <w:p w14:paraId="2E33FA57"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109,974 </w:t>
            </w:r>
          </w:p>
        </w:tc>
      </w:tr>
      <w:tr w:rsidR="00586DD1" w:rsidRPr="00586DD1" w14:paraId="18F31CAE"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73CA33ED"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Total current assets </w:t>
            </w:r>
          </w:p>
        </w:tc>
        <w:tc>
          <w:tcPr>
            <w:tcW w:w="1025" w:type="pct"/>
            <w:tcBorders>
              <w:top w:val="nil"/>
              <w:left w:val="nil"/>
              <w:bottom w:val="nil"/>
              <w:right w:val="nil"/>
            </w:tcBorders>
            <w:shd w:val="clear" w:color="auto" w:fill="auto"/>
            <w:noWrap/>
            <w:vAlign w:val="bottom"/>
            <w:hideMark/>
          </w:tcPr>
          <w:p w14:paraId="2F36F473"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88,496 </w:t>
            </w:r>
          </w:p>
        </w:tc>
        <w:tc>
          <w:tcPr>
            <w:tcW w:w="1025" w:type="pct"/>
            <w:tcBorders>
              <w:top w:val="nil"/>
              <w:left w:val="nil"/>
              <w:bottom w:val="nil"/>
              <w:right w:val="single" w:sz="8" w:space="0" w:color="auto"/>
            </w:tcBorders>
            <w:shd w:val="clear" w:color="auto" w:fill="auto"/>
            <w:noWrap/>
            <w:vAlign w:val="bottom"/>
            <w:hideMark/>
          </w:tcPr>
          <w:p w14:paraId="6A4CA216"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211,144 </w:t>
            </w:r>
          </w:p>
        </w:tc>
      </w:tr>
      <w:tr w:rsidR="00586DD1" w:rsidRPr="00586DD1" w14:paraId="18A9C3A9" w14:textId="77777777" w:rsidTr="00586DD1">
        <w:trPr>
          <w:trHeight w:val="630"/>
        </w:trPr>
        <w:tc>
          <w:tcPr>
            <w:tcW w:w="2950" w:type="pct"/>
            <w:tcBorders>
              <w:top w:val="nil"/>
              <w:left w:val="single" w:sz="8" w:space="0" w:color="auto"/>
              <w:bottom w:val="nil"/>
              <w:right w:val="nil"/>
            </w:tcBorders>
            <w:shd w:val="clear" w:color="auto" w:fill="auto"/>
            <w:vAlign w:val="bottom"/>
            <w:hideMark/>
          </w:tcPr>
          <w:p w14:paraId="41A00E43"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Creditors: amounts falling due within one year </w:t>
            </w:r>
          </w:p>
        </w:tc>
        <w:tc>
          <w:tcPr>
            <w:tcW w:w="1025" w:type="pct"/>
            <w:tcBorders>
              <w:top w:val="nil"/>
              <w:left w:val="nil"/>
              <w:bottom w:val="nil"/>
              <w:right w:val="nil"/>
            </w:tcBorders>
            <w:shd w:val="clear" w:color="auto" w:fill="auto"/>
            <w:noWrap/>
            <w:vAlign w:val="bottom"/>
            <w:hideMark/>
          </w:tcPr>
          <w:p w14:paraId="344FEC05"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221,008 </w:t>
            </w:r>
          </w:p>
        </w:tc>
        <w:tc>
          <w:tcPr>
            <w:tcW w:w="1025" w:type="pct"/>
            <w:tcBorders>
              <w:top w:val="nil"/>
              <w:left w:val="nil"/>
              <w:bottom w:val="nil"/>
              <w:right w:val="single" w:sz="8" w:space="0" w:color="auto"/>
            </w:tcBorders>
            <w:shd w:val="clear" w:color="auto" w:fill="auto"/>
            <w:noWrap/>
            <w:vAlign w:val="bottom"/>
            <w:hideMark/>
          </w:tcPr>
          <w:p w14:paraId="791E40D2"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235,792 </w:t>
            </w:r>
          </w:p>
        </w:tc>
      </w:tr>
      <w:tr w:rsidR="00586DD1" w:rsidRPr="00586DD1" w14:paraId="067BF98D"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43C3D82D"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Net current(liabilities)/assets </w:t>
            </w:r>
          </w:p>
        </w:tc>
        <w:tc>
          <w:tcPr>
            <w:tcW w:w="1025" w:type="pct"/>
            <w:tcBorders>
              <w:top w:val="nil"/>
              <w:left w:val="nil"/>
              <w:bottom w:val="nil"/>
              <w:right w:val="nil"/>
            </w:tcBorders>
            <w:shd w:val="clear" w:color="auto" w:fill="auto"/>
            <w:noWrap/>
            <w:vAlign w:val="bottom"/>
            <w:hideMark/>
          </w:tcPr>
          <w:p w14:paraId="4B490F83"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132,512 </w:t>
            </w:r>
          </w:p>
        </w:tc>
        <w:tc>
          <w:tcPr>
            <w:tcW w:w="1025" w:type="pct"/>
            <w:tcBorders>
              <w:top w:val="nil"/>
              <w:left w:val="nil"/>
              <w:bottom w:val="nil"/>
              <w:right w:val="single" w:sz="8" w:space="0" w:color="auto"/>
            </w:tcBorders>
            <w:shd w:val="clear" w:color="auto" w:fill="auto"/>
            <w:noWrap/>
            <w:vAlign w:val="bottom"/>
            <w:hideMark/>
          </w:tcPr>
          <w:p w14:paraId="4CE4F446"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24,648 </w:t>
            </w:r>
          </w:p>
        </w:tc>
      </w:tr>
      <w:tr w:rsidR="00586DD1" w:rsidRPr="00586DD1" w14:paraId="3851DB8B" w14:textId="77777777" w:rsidTr="00586DD1">
        <w:trPr>
          <w:trHeight w:val="630"/>
        </w:trPr>
        <w:tc>
          <w:tcPr>
            <w:tcW w:w="2950" w:type="pct"/>
            <w:tcBorders>
              <w:top w:val="nil"/>
              <w:left w:val="single" w:sz="8" w:space="0" w:color="auto"/>
              <w:bottom w:val="nil"/>
              <w:right w:val="nil"/>
            </w:tcBorders>
            <w:shd w:val="clear" w:color="auto" w:fill="auto"/>
            <w:vAlign w:val="bottom"/>
            <w:hideMark/>
          </w:tcPr>
          <w:p w14:paraId="5D213AB6"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Total assets less current liabilities </w:t>
            </w:r>
          </w:p>
        </w:tc>
        <w:tc>
          <w:tcPr>
            <w:tcW w:w="1025" w:type="pct"/>
            <w:tcBorders>
              <w:top w:val="nil"/>
              <w:left w:val="nil"/>
              <w:bottom w:val="nil"/>
              <w:right w:val="nil"/>
            </w:tcBorders>
            <w:shd w:val="clear" w:color="auto" w:fill="auto"/>
            <w:noWrap/>
            <w:vAlign w:val="bottom"/>
            <w:hideMark/>
          </w:tcPr>
          <w:p w14:paraId="5ED64390"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566,870 </w:t>
            </w:r>
          </w:p>
        </w:tc>
        <w:tc>
          <w:tcPr>
            <w:tcW w:w="1025" w:type="pct"/>
            <w:tcBorders>
              <w:top w:val="nil"/>
              <w:left w:val="nil"/>
              <w:bottom w:val="nil"/>
              <w:right w:val="single" w:sz="8" w:space="0" w:color="auto"/>
            </w:tcBorders>
            <w:shd w:val="clear" w:color="auto" w:fill="auto"/>
            <w:noWrap/>
            <w:vAlign w:val="bottom"/>
            <w:hideMark/>
          </w:tcPr>
          <w:p w14:paraId="5CEAD748"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700,631 </w:t>
            </w:r>
          </w:p>
        </w:tc>
      </w:tr>
      <w:tr w:rsidR="00586DD1" w:rsidRPr="00586DD1" w14:paraId="23AA5D79" w14:textId="77777777" w:rsidTr="00586DD1">
        <w:trPr>
          <w:trHeight w:val="630"/>
        </w:trPr>
        <w:tc>
          <w:tcPr>
            <w:tcW w:w="2950" w:type="pct"/>
            <w:tcBorders>
              <w:top w:val="nil"/>
              <w:left w:val="single" w:sz="8" w:space="0" w:color="auto"/>
              <w:bottom w:val="nil"/>
              <w:right w:val="nil"/>
            </w:tcBorders>
            <w:shd w:val="clear" w:color="auto" w:fill="auto"/>
            <w:vAlign w:val="bottom"/>
            <w:hideMark/>
          </w:tcPr>
          <w:p w14:paraId="37603D0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Creditors: amounts falling due after one year </w:t>
            </w:r>
          </w:p>
        </w:tc>
        <w:tc>
          <w:tcPr>
            <w:tcW w:w="1025" w:type="pct"/>
            <w:tcBorders>
              <w:top w:val="nil"/>
              <w:left w:val="nil"/>
              <w:bottom w:val="nil"/>
              <w:right w:val="nil"/>
            </w:tcBorders>
            <w:shd w:val="clear" w:color="auto" w:fill="auto"/>
            <w:noWrap/>
            <w:vAlign w:val="bottom"/>
            <w:hideMark/>
          </w:tcPr>
          <w:p w14:paraId="02125E6F"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290,023 </w:t>
            </w:r>
          </w:p>
        </w:tc>
        <w:tc>
          <w:tcPr>
            <w:tcW w:w="1025" w:type="pct"/>
            <w:tcBorders>
              <w:top w:val="nil"/>
              <w:left w:val="nil"/>
              <w:bottom w:val="nil"/>
              <w:right w:val="single" w:sz="8" w:space="0" w:color="auto"/>
            </w:tcBorders>
            <w:shd w:val="clear" w:color="auto" w:fill="auto"/>
            <w:noWrap/>
            <w:vAlign w:val="bottom"/>
            <w:hideMark/>
          </w:tcPr>
          <w:p w14:paraId="15BD8BD6"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302,954 </w:t>
            </w:r>
          </w:p>
        </w:tc>
      </w:tr>
      <w:tr w:rsidR="00586DD1" w:rsidRPr="00586DD1" w14:paraId="51083A04"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59D0B56F"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Provision for liabilities </w:t>
            </w:r>
          </w:p>
        </w:tc>
        <w:tc>
          <w:tcPr>
            <w:tcW w:w="1025" w:type="pct"/>
            <w:tcBorders>
              <w:top w:val="nil"/>
              <w:left w:val="nil"/>
              <w:bottom w:val="nil"/>
              <w:right w:val="nil"/>
            </w:tcBorders>
            <w:shd w:val="clear" w:color="auto" w:fill="auto"/>
            <w:noWrap/>
            <w:vAlign w:val="bottom"/>
            <w:hideMark/>
          </w:tcPr>
          <w:p w14:paraId="36CD524B"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39,092 </w:t>
            </w:r>
          </w:p>
        </w:tc>
        <w:tc>
          <w:tcPr>
            <w:tcW w:w="1025" w:type="pct"/>
            <w:tcBorders>
              <w:top w:val="nil"/>
              <w:left w:val="nil"/>
              <w:bottom w:val="nil"/>
              <w:right w:val="single" w:sz="8" w:space="0" w:color="auto"/>
            </w:tcBorders>
            <w:shd w:val="clear" w:color="auto" w:fill="auto"/>
            <w:noWrap/>
            <w:vAlign w:val="bottom"/>
            <w:hideMark/>
          </w:tcPr>
          <w:p w14:paraId="7DDAE175"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52,599 </w:t>
            </w:r>
          </w:p>
        </w:tc>
      </w:tr>
      <w:tr w:rsidR="00586DD1" w:rsidRPr="00586DD1" w14:paraId="1E8A1D1C" w14:textId="77777777" w:rsidTr="00586DD1">
        <w:trPr>
          <w:trHeight w:val="360"/>
        </w:trPr>
        <w:tc>
          <w:tcPr>
            <w:tcW w:w="2950" w:type="pct"/>
            <w:tcBorders>
              <w:top w:val="nil"/>
              <w:left w:val="single" w:sz="8" w:space="0" w:color="auto"/>
              <w:bottom w:val="nil"/>
              <w:right w:val="nil"/>
            </w:tcBorders>
            <w:shd w:val="clear" w:color="auto" w:fill="auto"/>
            <w:vAlign w:val="bottom"/>
            <w:hideMark/>
          </w:tcPr>
          <w:p w14:paraId="43A696AD"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Net assets </w:t>
            </w:r>
          </w:p>
        </w:tc>
        <w:tc>
          <w:tcPr>
            <w:tcW w:w="1025" w:type="pct"/>
            <w:tcBorders>
              <w:top w:val="nil"/>
              <w:left w:val="nil"/>
              <w:bottom w:val="nil"/>
              <w:right w:val="nil"/>
            </w:tcBorders>
            <w:shd w:val="clear" w:color="auto" w:fill="auto"/>
            <w:noWrap/>
            <w:vAlign w:val="bottom"/>
            <w:hideMark/>
          </w:tcPr>
          <w:p w14:paraId="68EF41EA" w14:textId="77777777" w:rsidR="00586DD1" w:rsidRPr="00586DD1" w:rsidRDefault="00586DD1" w:rsidP="00586DD1">
            <w:pPr>
              <w:spacing w:after="0" w:line="240" w:lineRule="auto"/>
              <w:rPr>
                <w:rFonts w:ascii="Cambria" w:eastAsia="Times New Roman" w:hAnsi="Cambria" w:cs="Calibri"/>
                <w:b/>
                <w:bCs/>
                <w:color w:val="000000"/>
                <w:sz w:val="24"/>
                <w:szCs w:val="24"/>
                <w:u w:val="double"/>
                <w:lang w:eastAsia="en-GB"/>
              </w:rPr>
            </w:pPr>
            <w:r w:rsidRPr="00586DD1">
              <w:rPr>
                <w:rFonts w:ascii="Cambria" w:eastAsia="Times New Roman" w:hAnsi="Cambria" w:cs="Calibri"/>
                <w:b/>
                <w:bCs/>
                <w:color w:val="000000"/>
                <w:sz w:val="24"/>
                <w:szCs w:val="24"/>
                <w:u w:val="double"/>
                <w:lang w:eastAsia="en-GB"/>
              </w:rPr>
              <w:t xml:space="preserve">    237,755 </w:t>
            </w:r>
          </w:p>
        </w:tc>
        <w:tc>
          <w:tcPr>
            <w:tcW w:w="1025" w:type="pct"/>
            <w:tcBorders>
              <w:top w:val="nil"/>
              <w:left w:val="nil"/>
              <w:bottom w:val="nil"/>
              <w:right w:val="single" w:sz="8" w:space="0" w:color="auto"/>
            </w:tcBorders>
            <w:shd w:val="clear" w:color="auto" w:fill="auto"/>
            <w:noWrap/>
            <w:vAlign w:val="bottom"/>
            <w:hideMark/>
          </w:tcPr>
          <w:p w14:paraId="3DC08A65" w14:textId="77777777" w:rsidR="00586DD1" w:rsidRPr="00586DD1" w:rsidRDefault="00586DD1" w:rsidP="00586DD1">
            <w:pPr>
              <w:spacing w:after="0" w:line="240" w:lineRule="auto"/>
              <w:rPr>
                <w:rFonts w:ascii="Cambria" w:eastAsia="Times New Roman" w:hAnsi="Cambria" w:cs="Calibri"/>
                <w:b/>
                <w:bCs/>
                <w:color w:val="000000"/>
                <w:sz w:val="24"/>
                <w:szCs w:val="24"/>
                <w:u w:val="double"/>
                <w:lang w:eastAsia="en-GB"/>
              </w:rPr>
            </w:pPr>
            <w:r w:rsidRPr="00586DD1">
              <w:rPr>
                <w:rFonts w:ascii="Cambria" w:eastAsia="Times New Roman" w:hAnsi="Cambria" w:cs="Calibri"/>
                <w:b/>
                <w:bCs/>
                <w:color w:val="000000"/>
                <w:sz w:val="24"/>
                <w:szCs w:val="24"/>
                <w:u w:val="double"/>
                <w:lang w:eastAsia="en-GB"/>
              </w:rPr>
              <w:t xml:space="preserve">    345,078 </w:t>
            </w:r>
          </w:p>
        </w:tc>
      </w:tr>
      <w:tr w:rsidR="00586DD1" w:rsidRPr="00586DD1" w14:paraId="786FF7B7"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338B7B89"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Capital reserve </w:t>
            </w:r>
          </w:p>
        </w:tc>
        <w:tc>
          <w:tcPr>
            <w:tcW w:w="1025" w:type="pct"/>
            <w:tcBorders>
              <w:top w:val="nil"/>
              <w:left w:val="nil"/>
              <w:bottom w:val="nil"/>
              <w:right w:val="nil"/>
            </w:tcBorders>
            <w:shd w:val="clear" w:color="auto" w:fill="auto"/>
            <w:noWrap/>
            <w:vAlign w:val="bottom"/>
            <w:hideMark/>
          </w:tcPr>
          <w:p w14:paraId="090F11BC"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p>
        </w:tc>
        <w:tc>
          <w:tcPr>
            <w:tcW w:w="1025" w:type="pct"/>
            <w:tcBorders>
              <w:top w:val="nil"/>
              <w:left w:val="nil"/>
              <w:bottom w:val="nil"/>
              <w:right w:val="single" w:sz="8" w:space="0" w:color="auto"/>
            </w:tcBorders>
            <w:shd w:val="clear" w:color="auto" w:fill="auto"/>
            <w:noWrap/>
            <w:vAlign w:val="bottom"/>
            <w:hideMark/>
          </w:tcPr>
          <w:p w14:paraId="22282068"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w:t>
            </w:r>
          </w:p>
        </w:tc>
      </w:tr>
      <w:tr w:rsidR="00586DD1" w:rsidRPr="00586DD1" w14:paraId="6156F3A2"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7A7F21AF"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Called up share capital </w:t>
            </w:r>
          </w:p>
        </w:tc>
        <w:tc>
          <w:tcPr>
            <w:tcW w:w="1025" w:type="pct"/>
            <w:tcBorders>
              <w:top w:val="nil"/>
              <w:left w:val="nil"/>
              <w:bottom w:val="nil"/>
              <w:right w:val="nil"/>
            </w:tcBorders>
            <w:shd w:val="clear" w:color="auto" w:fill="auto"/>
            <w:noWrap/>
            <w:vAlign w:val="bottom"/>
            <w:hideMark/>
          </w:tcPr>
          <w:p w14:paraId="7A3C40AA"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62 </w:t>
            </w:r>
          </w:p>
        </w:tc>
        <w:tc>
          <w:tcPr>
            <w:tcW w:w="1025" w:type="pct"/>
            <w:tcBorders>
              <w:top w:val="nil"/>
              <w:left w:val="nil"/>
              <w:bottom w:val="nil"/>
              <w:right w:val="single" w:sz="8" w:space="0" w:color="auto"/>
            </w:tcBorders>
            <w:shd w:val="clear" w:color="auto" w:fill="auto"/>
            <w:noWrap/>
            <w:vAlign w:val="bottom"/>
            <w:hideMark/>
          </w:tcPr>
          <w:p w14:paraId="7489B0F7"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62 </w:t>
            </w:r>
          </w:p>
        </w:tc>
      </w:tr>
      <w:tr w:rsidR="00586DD1" w:rsidRPr="00586DD1" w14:paraId="5A9F908B"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5FCD6A16"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Share premium account </w:t>
            </w:r>
          </w:p>
        </w:tc>
        <w:tc>
          <w:tcPr>
            <w:tcW w:w="1025" w:type="pct"/>
            <w:tcBorders>
              <w:top w:val="nil"/>
              <w:left w:val="nil"/>
              <w:bottom w:val="nil"/>
              <w:right w:val="nil"/>
            </w:tcBorders>
            <w:shd w:val="clear" w:color="auto" w:fill="auto"/>
            <w:noWrap/>
            <w:vAlign w:val="bottom"/>
            <w:hideMark/>
          </w:tcPr>
          <w:p w14:paraId="666BBED5"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29,997 </w:t>
            </w:r>
          </w:p>
        </w:tc>
        <w:tc>
          <w:tcPr>
            <w:tcW w:w="1025" w:type="pct"/>
            <w:tcBorders>
              <w:top w:val="nil"/>
              <w:left w:val="nil"/>
              <w:bottom w:val="nil"/>
              <w:right w:val="single" w:sz="8" w:space="0" w:color="auto"/>
            </w:tcBorders>
            <w:shd w:val="clear" w:color="auto" w:fill="auto"/>
            <w:noWrap/>
            <w:vAlign w:val="bottom"/>
            <w:hideMark/>
          </w:tcPr>
          <w:p w14:paraId="4E84E05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29,997 </w:t>
            </w:r>
          </w:p>
        </w:tc>
      </w:tr>
      <w:tr w:rsidR="00586DD1" w:rsidRPr="00586DD1" w14:paraId="2C3EEB77"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36791903"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Merger reserve </w:t>
            </w:r>
          </w:p>
        </w:tc>
        <w:tc>
          <w:tcPr>
            <w:tcW w:w="1025" w:type="pct"/>
            <w:tcBorders>
              <w:top w:val="nil"/>
              <w:left w:val="nil"/>
              <w:bottom w:val="nil"/>
              <w:right w:val="nil"/>
            </w:tcBorders>
            <w:shd w:val="clear" w:color="auto" w:fill="auto"/>
            <w:noWrap/>
            <w:vAlign w:val="bottom"/>
            <w:hideMark/>
          </w:tcPr>
          <w:p w14:paraId="5EC14CDF"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26,699 </w:t>
            </w:r>
          </w:p>
        </w:tc>
        <w:tc>
          <w:tcPr>
            <w:tcW w:w="1025" w:type="pct"/>
            <w:tcBorders>
              <w:top w:val="nil"/>
              <w:left w:val="nil"/>
              <w:bottom w:val="nil"/>
              <w:right w:val="single" w:sz="8" w:space="0" w:color="auto"/>
            </w:tcBorders>
            <w:shd w:val="clear" w:color="auto" w:fill="auto"/>
            <w:noWrap/>
            <w:vAlign w:val="bottom"/>
            <w:hideMark/>
          </w:tcPr>
          <w:p w14:paraId="38AEFD79"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26,699 </w:t>
            </w:r>
          </w:p>
        </w:tc>
      </w:tr>
      <w:tr w:rsidR="00586DD1" w:rsidRPr="00586DD1" w14:paraId="7B260D15" w14:textId="77777777" w:rsidTr="00586DD1">
        <w:trPr>
          <w:trHeight w:val="315"/>
        </w:trPr>
        <w:tc>
          <w:tcPr>
            <w:tcW w:w="2950" w:type="pct"/>
            <w:tcBorders>
              <w:top w:val="nil"/>
              <w:left w:val="single" w:sz="8" w:space="0" w:color="auto"/>
              <w:bottom w:val="nil"/>
              <w:right w:val="nil"/>
            </w:tcBorders>
            <w:shd w:val="clear" w:color="auto" w:fill="auto"/>
            <w:vAlign w:val="bottom"/>
            <w:hideMark/>
          </w:tcPr>
          <w:p w14:paraId="04DC0C46"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Profit &amp; Loss Ac </w:t>
            </w:r>
          </w:p>
        </w:tc>
        <w:tc>
          <w:tcPr>
            <w:tcW w:w="1025" w:type="pct"/>
            <w:tcBorders>
              <w:top w:val="nil"/>
              <w:left w:val="nil"/>
              <w:bottom w:val="nil"/>
              <w:right w:val="nil"/>
            </w:tcBorders>
            <w:shd w:val="clear" w:color="auto" w:fill="auto"/>
            <w:noWrap/>
            <w:vAlign w:val="bottom"/>
            <w:hideMark/>
          </w:tcPr>
          <w:p w14:paraId="08CF9D52"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180,997 </w:t>
            </w:r>
          </w:p>
        </w:tc>
        <w:tc>
          <w:tcPr>
            <w:tcW w:w="1025" w:type="pct"/>
            <w:tcBorders>
              <w:top w:val="nil"/>
              <w:left w:val="nil"/>
              <w:bottom w:val="nil"/>
              <w:right w:val="single" w:sz="8" w:space="0" w:color="auto"/>
            </w:tcBorders>
            <w:shd w:val="clear" w:color="auto" w:fill="auto"/>
            <w:noWrap/>
            <w:vAlign w:val="bottom"/>
            <w:hideMark/>
          </w:tcPr>
          <w:p w14:paraId="1FD2F5A2" w14:textId="77777777" w:rsidR="00586DD1" w:rsidRPr="00586DD1" w:rsidRDefault="00586DD1" w:rsidP="00586DD1">
            <w:pPr>
              <w:spacing w:after="0" w:line="240" w:lineRule="auto"/>
              <w:rPr>
                <w:rFonts w:ascii="Cambria" w:eastAsia="Times New Roman" w:hAnsi="Cambria" w:cs="Calibri"/>
                <w:color w:val="000000"/>
                <w:sz w:val="24"/>
                <w:szCs w:val="24"/>
                <w:lang w:eastAsia="en-GB"/>
              </w:rPr>
            </w:pPr>
            <w:r w:rsidRPr="00586DD1">
              <w:rPr>
                <w:rFonts w:ascii="Cambria" w:eastAsia="Times New Roman" w:hAnsi="Cambria" w:cs="Calibri"/>
                <w:color w:val="000000"/>
                <w:sz w:val="24"/>
                <w:szCs w:val="24"/>
                <w:lang w:eastAsia="en-GB"/>
              </w:rPr>
              <w:t xml:space="preserve">     288,320 </w:t>
            </w:r>
          </w:p>
        </w:tc>
      </w:tr>
      <w:tr w:rsidR="00586DD1" w:rsidRPr="00586DD1" w14:paraId="7825F67C" w14:textId="77777777" w:rsidTr="00586DD1">
        <w:trPr>
          <w:trHeight w:val="375"/>
        </w:trPr>
        <w:tc>
          <w:tcPr>
            <w:tcW w:w="2950" w:type="pct"/>
            <w:tcBorders>
              <w:top w:val="nil"/>
              <w:left w:val="single" w:sz="8" w:space="0" w:color="auto"/>
              <w:bottom w:val="single" w:sz="8" w:space="0" w:color="auto"/>
              <w:right w:val="nil"/>
            </w:tcBorders>
            <w:shd w:val="clear" w:color="auto" w:fill="auto"/>
            <w:vAlign w:val="bottom"/>
            <w:hideMark/>
          </w:tcPr>
          <w:p w14:paraId="7DD0D889" w14:textId="77777777" w:rsidR="00586DD1" w:rsidRPr="00586DD1" w:rsidRDefault="00586DD1" w:rsidP="00586DD1">
            <w:pPr>
              <w:spacing w:after="0" w:line="240" w:lineRule="auto"/>
              <w:rPr>
                <w:rFonts w:ascii="Cambria" w:eastAsia="Times New Roman" w:hAnsi="Cambria" w:cs="Calibri"/>
                <w:b/>
                <w:bCs/>
                <w:color w:val="000000"/>
                <w:sz w:val="24"/>
                <w:szCs w:val="24"/>
                <w:lang w:eastAsia="en-GB"/>
              </w:rPr>
            </w:pPr>
            <w:r w:rsidRPr="00586DD1">
              <w:rPr>
                <w:rFonts w:ascii="Cambria" w:eastAsia="Times New Roman" w:hAnsi="Cambria" w:cs="Calibri"/>
                <w:b/>
                <w:bCs/>
                <w:color w:val="000000"/>
                <w:sz w:val="24"/>
                <w:szCs w:val="24"/>
                <w:lang w:eastAsia="en-GB"/>
              </w:rPr>
              <w:t xml:space="preserve"> Shareholder's funds </w:t>
            </w:r>
          </w:p>
        </w:tc>
        <w:tc>
          <w:tcPr>
            <w:tcW w:w="1025" w:type="pct"/>
            <w:tcBorders>
              <w:top w:val="nil"/>
              <w:left w:val="nil"/>
              <w:bottom w:val="single" w:sz="8" w:space="0" w:color="auto"/>
              <w:right w:val="nil"/>
            </w:tcBorders>
            <w:shd w:val="clear" w:color="auto" w:fill="auto"/>
            <w:noWrap/>
            <w:vAlign w:val="bottom"/>
            <w:hideMark/>
          </w:tcPr>
          <w:p w14:paraId="500FEDFD" w14:textId="77777777" w:rsidR="00586DD1" w:rsidRPr="00586DD1" w:rsidRDefault="00586DD1" w:rsidP="00586DD1">
            <w:pPr>
              <w:spacing w:after="0" w:line="240" w:lineRule="auto"/>
              <w:rPr>
                <w:rFonts w:ascii="Cambria" w:eastAsia="Times New Roman" w:hAnsi="Cambria" w:cs="Calibri"/>
                <w:b/>
                <w:bCs/>
                <w:color w:val="000000"/>
                <w:sz w:val="24"/>
                <w:szCs w:val="24"/>
                <w:u w:val="double"/>
                <w:lang w:eastAsia="en-GB"/>
              </w:rPr>
            </w:pPr>
            <w:r w:rsidRPr="00586DD1">
              <w:rPr>
                <w:rFonts w:ascii="Cambria" w:eastAsia="Times New Roman" w:hAnsi="Cambria" w:cs="Calibri"/>
                <w:b/>
                <w:bCs/>
                <w:color w:val="000000"/>
                <w:sz w:val="24"/>
                <w:szCs w:val="24"/>
                <w:u w:val="double"/>
                <w:lang w:eastAsia="en-GB"/>
              </w:rPr>
              <w:t xml:space="preserve">    237,755 </w:t>
            </w:r>
          </w:p>
        </w:tc>
        <w:tc>
          <w:tcPr>
            <w:tcW w:w="1025" w:type="pct"/>
            <w:tcBorders>
              <w:top w:val="nil"/>
              <w:left w:val="nil"/>
              <w:bottom w:val="single" w:sz="8" w:space="0" w:color="auto"/>
              <w:right w:val="single" w:sz="8" w:space="0" w:color="auto"/>
            </w:tcBorders>
            <w:shd w:val="clear" w:color="auto" w:fill="auto"/>
            <w:noWrap/>
            <w:vAlign w:val="bottom"/>
            <w:hideMark/>
          </w:tcPr>
          <w:p w14:paraId="0E29E43F" w14:textId="77777777" w:rsidR="00586DD1" w:rsidRPr="00586DD1" w:rsidRDefault="00586DD1" w:rsidP="00586DD1">
            <w:pPr>
              <w:spacing w:after="0" w:line="240" w:lineRule="auto"/>
              <w:rPr>
                <w:rFonts w:ascii="Cambria" w:eastAsia="Times New Roman" w:hAnsi="Cambria" w:cs="Calibri"/>
                <w:b/>
                <w:bCs/>
                <w:color w:val="000000"/>
                <w:sz w:val="24"/>
                <w:szCs w:val="24"/>
                <w:u w:val="double"/>
                <w:lang w:eastAsia="en-GB"/>
              </w:rPr>
            </w:pPr>
            <w:r w:rsidRPr="00586DD1">
              <w:rPr>
                <w:rFonts w:ascii="Cambria" w:eastAsia="Times New Roman" w:hAnsi="Cambria" w:cs="Calibri"/>
                <w:b/>
                <w:bCs/>
                <w:color w:val="000000"/>
                <w:sz w:val="24"/>
                <w:szCs w:val="24"/>
                <w:u w:val="double"/>
                <w:lang w:eastAsia="en-GB"/>
              </w:rPr>
              <w:t xml:space="preserve">    345,078 </w:t>
            </w:r>
          </w:p>
        </w:tc>
      </w:tr>
    </w:tbl>
    <w:p w14:paraId="69B251E5" w14:textId="77777777" w:rsidR="00586DD1" w:rsidRDefault="00586DD1" w:rsidP="00CB08D8">
      <w:pPr>
        <w:spacing w:line="480" w:lineRule="auto"/>
        <w:rPr>
          <w:rFonts w:ascii="Times New Roman" w:hAnsi="Times New Roman" w:cs="Times New Roman"/>
          <w:sz w:val="24"/>
          <w:szCs w:val="24"/>
        </w:rPr>
      </w:pPr>
    </w:p>
    <w:p w14:paraId="0E09D53B" w14:textId="77777777" w:rsidR="00586DD1" w:rsidRDefault="00586DD1" w:rsidP="00CB08D8">
      <w:pPr>
        <w:spacing w:line="480" w:lineRule="auto"/>
        <w:rPr>
          <w:rFonts w:ascii="Times New Roman" w:hAnsi="Times New Roman" w:cs="Times New Roman"/>
          <w:sz w:val="24"/>
          <w:szCs w:val="24"/>
        </w:rPr>
      </w:pPr>
    </w:p>
    <w:p w14:paraId="2A45EAC9" w14:textId="77777777" w:rsidR="00586DD1" w:rsidRDefault="00586DD1" w:rsidP="00CB08D8">
      <w:pPr>
        <w:spacing w:line="480" w:lineRule="auto"/>
        <w:rPr>
          <w:rFonts w:ascii="Times New Roman" w:hAnsi="Times New Roman" w:cs="Times New Roman"/>
          <w:sz w:val="24"/>
          <w:szCs w:val="24"/>
        </w:rPr>
      </w:pPr>
    </w:p>
    <w:p w14:paraId="574CFD41" w14:textId="77777777" w:rsidR="00586DD1" w:rsidRDefault="00586DD1" w:rsidP="00CB08D8">
      <w:pPr>
        <w:spacing w:line="480" w:lineRule="auto"/>
        <w:rPr>
          <w:rFonts w:ascii="Times New Roman" w:hAnsi="Times New Roman" w:cs="Times New Roman"/>
          <w:sz w:val="24"/>
          <w:szCs w:val="24"/>
        </w:rPr>
      </w:pPr>
    </w:p>
    <w:p w14:paraId="3F9C9775" w14:textId="77777777" w:rsidR="00586DD1" w:rsidRDefault="00586DD1" w:rsidP="00CB08D8">
      <w:pPr>
        <w:spacing w:line="480" w:lineRule="auto"/>
        <w:rPr>
          <w:rFonts w:ascii="Times New Roman" w:hAnsi="Times New Roman" w:cs="Times New Roman"/>
          <w:sz w:val="24"/>
          <w:szCs w:val="24"/>
        </w:rPr>
      </w:pPr>
    </w:p>
    <w:p w14:paraId="756B2C1B" w14:textId="77777777" w:rsidR="00586DD1" w:rsidRDefault="00586DD1" w:rsidP="00CB08D8">
      <w:pPr>
        <w:spacing w:line="480" w:lineRule="auto"/>
        <w:rPr>
          <w:rFonts w:ascii="Times New Roman" w:hAnsi="Times New Roman" w:cs="Times New Roman"/>
          <w:sz w:val="24"/>
          <w:szCs w:val="24"/>
        </w:rPr>
      </w:pPr>
    </w:p>
    <w:p w14:paraId="55778733" w14:textId="658A847E" w:rsidR="00586DD1" w:rsidRPr="0067522F" w:rsidRDefault="00586DD1" w:rsidP="00CB08D8">
      <w:pPr>
        <w:spacing w:line="480" w:lineRule="auto"/>
        <w:rPr>
          <w:rFonts w:ascii="Times New Roman" w:hAnsi="Times New Roman" w:cs="Times New Roman"/>
          <w:b/>
          <w:sz w:val="24"/>
          <w:szCs w:val="24"/>
        </w:rPr>
      </w:pPr>
      <w:r w:rsidRPr="0067522F">
        <w:rPr>
          <w:rFonts w:ascii="Times New Roman" w:hAnsi="Times New Roman" w:cs="Times New Roman"/>
          <w:b/>
          <w:sz w:val="24"/>
          <w:szCs w:val="24"/>
        </w:rPr>
        <w:lastRenderedPageBreak/>
        <w:t>Cash Flow</w:t>
      </w:r>
    </w:p>
    <w:tbl>
      <w:tblPr>
        <w:tblW w:w="5000" w:type="pct"/>
        <w:tblLook w:val="04A0" w:firstRow="1" w:lastRow="0" w:firstColumn="1" w:lastColumn="0" w:noHBand="0" w:noVBand="1"/>
      </w:tblPr>
      <w:tblGrid>
        <w:gridCol w:w="5203"/>
        <w:gridCol w:w="2033"/>
        <w:gridCol w:w="2006"/>
      </w:tblGrid>
      <w:tr w:rsidR="0067522F" w:rsidRPr="0067522F" w14:paraId="0679C8BF" w14:textId="77777777" w:rsidTr="0067522F">
        <w:trPr>
          <w:trHeight w:val="315"/>
        </w:trPr>
        <w:tc>
          <w:tcPr>
            <w:tcW w:w="2815" w:type="pct"/>
            <w:tcBorders>
              <w:top w:val="single" w:sz="8" w:space="0" w:color="auto"/>
              <w:left w:val="single" w:sz="8" w:space="0" w:color="auto"/>
              <w:bottom w:val="nil"/>
              <w:right w:val="nil"/>
            </w:tcBorders>
            <w:shd w:val="clear" w:color="auto" w:fill="auto"/>
            <w:vAlign w:val="bottom"/>
            <w:hideMark/>
          </w:tcPr>
          <w:p w14:paraId="3D7773A5"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w:t>
            </w:r>
          </w:p>
        </w:tc>
        <w:tc>
          <w:tcPr>
            <w:tcW w:w="1100" w:type="pct"/>
            <w:tcBorders>
              <w:top w:val="single" w:sz="8" w:space="0" w:color="auto"/>
              <w:left w:val="nil"/>
              <w:bottom w:val="nil"/>
              <w:right w:val="nil"/>
            </w:tcBorders>
            <w:shd w:val="clear" w:color="auto" w:fill="auto"/>
            <w:noWrap/>
            <w:vAlign w:val="bottom"/>
            <w:hideMark/>
          </w:tcPr>
          <w:p w14:paraId="2A9C4F3E"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Y2021</w:t>
            </w:r>
          </w:p>
        </w:tc>
        <w:tc>
          <w:tcPr>
            <w:tcW w:w="1085" w:type="pct"/>
            <w:tcBorders>
              <w:top w:val="single" w:sz="8" w:space="0" w:color="auto"/>
              <w:left w:val="nil"/>
              <w:bottom w:val="nil"/>
              <w:right w:val="single" w:sz="8" w:space="0" w:color="auto"/>
            </w:tcBorders>
            <w:shd w:val="clear" w:color="auto" w:fill="auto"/>
            <w:noWrap/>
            <w:vAlign w:val="bottom"/>
            <w:hideMark/>
          </w:tcPr>
          <w:p w14:paraId="4998D03E"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Y2020</w:t>
            </w:r>
          </w:p>
        </w:tc>
      </w:tr>
      <w:tr w:rsidR="0067522F" w:rsidRPr="0067522F" w14:paraId="5E46CDFD"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09170249"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Net cash inflow from operating activities</w:t>
            </w:r>
          </w:p>
        </w:tc>
        <w:tc>
          <w:tcPr>
            <w:tcW w:w="1100" w:type="pct"/>
            <w:tcBorders>
              <w:top w:val="nil"/>
              <w:left w:val="nil"/>
              <w:bottom w:val="nil"/>
              <w:right w:val="nil"/>
            </w:tcBorders>
            <w:shd w:val="clear" w:color="auto" w:fill="auto"/>
            <w:noWrap/>
            <w:vAlign w:val="bottom"/>
            <w:hideMark/>
          </w:tcPr>
          <w:p w14:paraId="52BF5527"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50,045 </w:t>
            </w:r>
          </w:p>
        </w:tc>
        <w:tc>
          <w:tcPr>
            <w:tcW w:w="1085" w:type="pct"/>
            <w:tcBorders>
              <w:top w:val="nil"/>
              <w:left w:val="nil"/>
              <w:bottom w:val="nil"/>
              <w:right w:val="single" w:sz="8" w:space="0" w:color="auto"/>
            </w:tcBorders>
            <w:shd w:val="clear" w:color="auto" w:fill="auto"/>
            <w:noWrap/>
            <w:vAlign w:val="bottom"/>
            <w:hideMark/>
          </w:tcPr>
          <w:p w14:paraId="1132A092"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22,502 </w:t>
            </w:r>
          </w:p>
        </w:tc>
      </w:tr>
      <w:tr w:rsidR="0067522F" w:rsidRPr="0067522F" w14:paraId="0ACCD3ED"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5D5951A7"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Taxation received/(paid)</w:t>
            </w:r>
          </w:p>
        </w:tc>
        <w:tc>
          <w:tcPr>
            <w:tcW w:w="1100" w:type="pct"/>
            <w:tcBorders>
              <w:top w:val="nil"/>
              <w:left w:val="nil"/>
              <w:bottom w:val="nil"/>
              <w:right w:val="nil"/>
            </w:tcBorders>
            <w:shd w:val="clear" w:color="auto" w:fill="auto"/>
            <w:noWrap/>
            <w:vAlign w:val="bottom"/>
            <w:hideMark/>
          </w:tcPr>
          <w:p w14:paraId="469E5F57"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2,950 </w:t>
            </w:r>
          </w:p>
        </w:tc>
        <w:tc>
          <w:tcPr>
            <w:tcW w:w="1085" w:type="pct"/>
            <w:tcBorders>
              <w:top w:val="nil"/>
              <w:left w:val="nil"/>
              <w:bottom w:val="nil"/>
              <w:right w:val="single" w:sz="8" w:space="0" w:color="auto"/>
            </w:tcBorders>
            <w:shd w:val="clear" w:color="auto" w:fill="auto"/>
            <w:noWrap/>
            <w:vAlign w:val="bottom"/>
            <w:hideMark/>
          </w:tcPr>
          <w:p w14:paraId="44BC671E"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3,900 </w:t>
            </w:r>
          </w:p>
        </w:tc>
      </w:tr>
      <w:tr w:rsidR="0067522F" w:rsidRPr="0067522F" w14:paraId="7A19BE92"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6EEADF65"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Net cash from operating activities</w:t>
            </w:r>
          </w:p>
        </w:tc>
        <w:tc>
          <w:tcPr>
            <w:tcW w:w="1100" w:type="pct"/>
            <w:tcBorders>
              <w:top w:val="nil"/>
              <w:left w:val="nil"/>
              <w:bottom w:val="nil"/>
              <w:right w:val="nil"/>
            </w:tcBorders>
            <w:shd w:val="clear" w:color="auto" w:fill="auto"/>
            <w:noWrap/>
            <w:vAlign w:val="bottom"/>
            <w:hideMark/>
          </w:tcPr>
          <w:p w14:paraId="43891DA7"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52,995 </w:t>
            </w:r>
          </w:p>
        </w:tc>
        <w:tc>
          <w:tcPr>
            <w:tcW w:w="1085" w:type="pct"/>
            <w:tcBorders>
              <w:top w:val="nil"/>
              <w:left w:val="nil"/>
              <w:bottom w:val="nil"/>
              <w:right w:val="single" w:sz="8" w:space="0" w:color="auto"/>
            </w:tcBorders>
            <w:shd w:val="clear" w:color="auto" w:fill="auto"/>
            <w:noWrap/>
            <w:vAlign w:val="bottom"/>
            <w:hideMark/>
          </w:tcPr>
          <w:p w14:paraId="7E436229"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18,602 </w:t>
            </w:r>
          </w:p>
        </w:tc>
      </w:tr>
      <w:tr w:rsidR="0067522F" w:rsidRPr="0067522F" w14:paraId="32BCE76B"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48B0D4A9"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Cash flow from investing activities</w:t>
            </w:r>
          </w:p>
        </w:tc>
        <w:tc>
          <w:tcPr>
            <w:tcW w:w="1100" w:type="pct"/>
            <w:tcBorders>
              <w:top w:val="nil"/>
              <w:left w:val="nil"/>
              <w:bottom w:val="nil"/>
              <w:right w:val="nil"/>
            </w:tcBorders>
            <w:shd w:val="clear" w:color="auto" w:fill="auto"/>
            <w:noWrap/>
            <w:vAlign w:val="bottom"/>
            <w:hideMark/>
          </w:tcPr>
          <w:p w14:paraId="42DB2758"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p>
        </w:tc>
        <w:tc>
          <w:tcPr>
            <w:tcW w:w="1085" w:type="pct"/>
            <w:tcBorders>
              <w:top w:val="nil"/>
              <w:left w:val="nil"/>
              <w:bottom w:val="nil"/>
              <w:right w:val="single" w:sz="8" w:space="0" w:color="auto"/>
            </w:tcBorders>
            <w:shd w:val="clear" w:color="auto" w:fill="auto"/>
            <w:noWrap/>
            <w:vAlign w:val="bottom"/>
            <w:hideMark/>
          </w:tcPr>
          <w:p w14:paraId="6C812D8A"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w:t>
            </w:r>
          </w:p>
        </w:tc>
      </w:tr>
      <w:tr w:rsidR="0067522F" w:rsidRPr="0067522F" w14:paraId="3C00D2EC"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1406B716"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Interest received</w:t>
            </w:r>
          </w:p>
        </w:tc>
        <w:tc>
          <w:tcPr>
            <w:tcW w:w="1100" w:type="pct"/>
            <w:tcBorders>
              <w:top w:val="nil"/>
              <w:left w:val="nil"/>
              <w:bottom w:val="nil"/>
              <w:right w:val="nil"/>
            </w:tcBorders>
            <w:shd w:val="clear" w:color="auto" w:fill="auto"/>
            <w:noWrap/>
            <w:vAlign w:val="bottom"/>
            <w:hideMark/>
          </w:tcPr>
          <w:p w14:paraId="60AA77D8"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129 </w:t>
            </w:r>
          </w:p>
        </w:tc>
        <w:tc>
          <w:tcPr>
            <w:tcW w:w="1085" w:type="pct"/>
            <w:tcBorders>
              <w:top w:val="nil"/>
              <w:left w:val="nil"/>
              <w:bottom w:val="nil"/>
              <w:right w:val="single" w:sz="8" w:space="0" w:color="auto"/>
            </w:tcBorders>
            <w:shd w:val="clear" w:color="auto" w:fill="auto"/>
            <w:noWrap/>
            <w:vAlign w:val="bottom"/>
            <w:hideMark/>
          </w:tcPr>
          <w:p w14:paraId="06C483CC"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667 </w:t>
            </w:r>
          </w:p>
        </w:tc>
      </w:tr>
      <w:tr w:rsidR="0067522F" w:rsidRPr="0067522F" w14:paraId="0C7C3890"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06A868DA"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Proceed from sale of fixed assets</w:t>
            </w:r>
          </w:p>
        </w:tc>
        <w:tc>
          <w:tcPr>
            <w:tcW w:w="1100" w:type="pct"/>
            <w:tcBorders>
              <w:top w:val="nil"/>
              <w:left w:val="nil"/>
              <w:bottom w:val="nil"/>
              <w:right w:val="nil"/>
            </w:tcBorders>
            <w:shd w:val="clear" w:color="auto" w:fill="auto"/>
            <w:noWrap/>
            <w:vAlign w:val="bottom"/>
            <w:hideMark/>
          </w:tcPr>
          <w:p w14:paraId="05CB20C1"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   </w:t>
            </w:r>
          </w:p>
        </w:tc>
        <w:tc>
          <w:tcPr>
            <w:tcW w:w="1085" w:type="pct"/>
            <w:tcBorders>
              <w:top w:val="nil"/>
              <w:left w:val="nil"/>
              <w:bottom w:val="nil"/>
              <w:right w:val="single" w:sz="8" w:space="0" w:color="auto"/>
            </w:tcBorders>
            <w:shd w:val="clear" w:color="auto" w:fill="auto"/>
            <w:noWrap/>
            <w:vAlign w:val="bottom"/>
            <w:hideMark/>
          </w:tcPr>
          <w:p w14:paraId="5CB4505F"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   </w:t>
            </w:r>
          </w:p>
        </w:tc>
      </w:tr>
      <w:tr w:rsidR="0067522F" w:rsidRPr="0067522F" w14:paraId="780A42D6"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14929CF2"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Purchase of fixed assets</w:t>
            </w:r>
          </w:p>
        </w:tc>
        <w:tc>
          <w:tcPr>
            <w:tcW w:w="1100" w:type="pct"/>
            <w:tcBorders>
              <w:top w:val="nil"/>
              <w:left w:val="nil"/>
              <w:bottom w:val="nil"/>
              <w:right w:val="nil"/>
            </w:tcBorders>
            <w:shd w:val="clear" w:color="auto" w:fill="auto"/>
            <w:noWrap/>
            <w:vAlign w:val="bottom"/>
            <w:hideMark/>
          </w:tcPr>
          <w:p w14:paraId="579B9EF8"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1,962 </w:t>
            </w:r>
          </w:p>
        </w:tc>
        <w:tc>
          <w:tcPr>
            <w:tcW w:w="1085" w:type="pct"/>
            <w:tcBorders>
              <w:top w:val="nil"/>
              <w:left w:val="nil"/>
              <w:bottom w:val="nil"/>
              <w:right w:val="single" w:sz="8" w:space="0" w:color="auto"/>
            </w:tcBorders>
            <w:shd w:val="clear" w:color="auto" w:fill="auto"/>
            <w:noWrap/>
            <w:vAlign w:val="bottom"/>
            <w:hideMark/>
          </w:tcPr>
          <w:p w14:paraId="082E6CA2"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13,108 </w:t>
            </w:r>
          </w:p>
        </w:tc>
      </w:tr>
      <w:tr w:rsidR="0067522F" w:rsidRPr="0067522F" w14:paraId="52395DCA"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3CB31097"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Player registrations</w:t>
            </w:r>
          </w:p>
        </w:tc>
        <w:tc>
          <w:tcPr>
            <w:tcW w:w="1100" w:type="pct"/>
            <w:tcBorders>
              <w:top w:val="nil"/>
              <w:left w:val="nil"/>
              <w:bottom w:val="nil"/>
              <w:right w:val="nil"/>
            </w:tcBorders>
            <w:shd w:val="clear" w:color="auto" w:fill="auto"/>
            <w:noWrap/>
            <w:vAlign w:val="bottom"/>
            <w:hideMark/>
          </w:tcPr>
          <w:p w14:paraId="3C904CA5"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101,042 </w:t>
            </w:r>
          </w:p>
        </w:tc>
        <w:tc>
          <w:tcPr>
            <w:tcW w:w="1085" w:type="pct"/>
            <w:tcBorders>
              <w:top w:val="nil"/>
              <w:left w:val="nil"/>
              <w:bottom w:val="nil"/>
              <w:right w:val="single" w:sz="8" w:space="0" w:color="auto"/>
            </w:tcBorders>
            <w:shd w:val="clear" w:color="auto" w:fill="auto"/>
            <w:noWrap/>
            <w:vAlign w:val="bottom"/>
            <w:hideMark/>
          </w:tcPr>
          <w:p w14:paraId="06D91CFA"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57,959 </w:t>
            </w:r>
          </w:p>
        </w:tc>
      </w:tr>
      <w:tr w:rsidR="0067522F" w:rsidRPr="0067522F" w14:paraId="79335783"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7DCFE658"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Net cash flow from investing activities</w:t>
            </w:r>
          </w:p>
        </w:tc>
        <w:tc>
          <w:tcPr>
            <w:tcW w:w="1100" w:type="pct"/>
            <w:tcBorders>
              <w:top w:val="nil"/>
              <w:left w:val="nil"/>
              <w:bottom w:val="nil"/>
              <w:right w:val="nil"/>
            </w:tcBorders>
            <w:shd w:val="clear" w:color="auto" w:fill="auto"/>
            <w:noWrap/>
            <w:vAlign w:val="bottom"/>
            <w:hideMark/>
          </w:tcPr>
          <w:p w14:paraId="2BC4C79D"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102,875 </w:t>
            </w:r>
          </w:p>
        </w:tc>
        <w:tc>
          <w:tcPr>
            <w:tcW w:w="1085" w:type="pct"/>
            <w:tcBorders>
              <w:top w:val="nil"/>
              <w:left w:val="nil"/>
              <w:bottom w:val="nil"/>
              <w:right w:val="single" w:sz="8" w:space="0" w:color="auto"/>
            </w:tcBorders>
            <w:shd w:val="clear" w:color="auto" w:fill="auto"/>
            <w:noWrap/>
            <w:vAlign w:val="bottom"/>
            <w:hideMark/>
          </w:tcPr>
          <w:p w14:paraId="372A9F70"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70,400 </w:t>
            </w:r>
          </w:p>
        </w:tc>
      </w:tr>
      <w:tr w:rsidR="0067522F" w:rsidRPr="0067522F" w14:paraId="744C9ACC"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41B135E6"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Cash from financing activities</w:t>
            </w:r>
          </w:p>
        </w:tc>
        <w:tc>
          <w:tcPr>
            <w:tcW w:w="1100" w:type="pct"/>
            <w:tcBorders>
              <w:top w:val="nil"/>
              <w:left w:val="nil"/>
              <w:bottom w:val="nil"/>
              <w:right w:val="nil"/>
            </w:tcBorders>
            <w:shd w:val="clear" w:color="auto" w:fill="auto"/>
            <w:noWrap/>
            <w:vAlign w:val="bottom"/>
            <w:hideMark/>
          </w:tcPr>
          <w:p w14:paraId="466D9564"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p>
        </w:tc>
        <w:tc>
          <w:tcPr>
            <w:tcW w:w="1085" w:type="pct"/>
            <w:tcBorders>
              <w:top w:val="nil"/>
              <w:left w:val="nil"/>
              <w:bottom w:val="nil"/>
              <w:right w:val="single" w:sz="8" w:space="0" w:color="auto"/>
            </w:tcBorders>
            <w:shd w:val="clear" w:color="auto" w:fill="auto"/>
            <w:noWrap/>
            <w:vAlign w:val="bottom"/>
            <w:hideMark/>
          </w:tcPr>
          <w:p w14:paraId="7508F930"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w:t>
            </w:r>
          </w:p>
        </w:tc>
      </w:tr>
      <w:tr w:rsidR="0067522F" w:rsidRPr="0067522F" w14:paraId="4AC22461"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39DB87C2"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Finance charges paid (including exceptional break costs)</w:t>
            </w:r>
          </w:p>
        </w:tc>
        <w:tc>
          <w:tcPr>
            <w:tcW w:w="1100" w:type="pct"/>
            <w:tcBorders>
              <w:top w:val="nil"/>
              <w:left w:val="nil"/>
              <w:bottom w:val="nil"/>
              <w:right w:val="nil"/>
            </w:tcBorders>
            <w:shd w:val="clear" w:color="auto" w:fill="auto"/>
            <w:noWrap/>
            <w:vAlign w:val="bottom"/>
            <w:hideMark/>
          </w:tcPr>
          <w:p w14:paraId="35F3FCDC"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33,823 </w:t>
            </w:r>
          </w:p>
        </w:tc>
        <w:tc>
          <w:tcPr>
            <w:tcW w:w="1085" w:type="pct"/>
            <w:tcBorders>
              <w:top w:val="nil"/>
              <w:left w:val="nil"/>
              <w:bottom w:val="nil"/>
              <w:right w:val="single" w:sz="8" w:space="0" w:color="auto"/>
            </w:tcBorders>
            <w:shd w:val="clear" w:color="auto" w:fill="auto"/>
            <w:noWrap/>
            <w:vAlign w:val="bottom"/>
            <w:hideMark/>
          </w:tcPr>
          <w:p w14:paraId="6C386686"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10,714 </w:t>
            </w:r>
          </w:p>
        </w:tc>
      </w:tr>
      <w:tr w:rsidR="0067522F" w:rsidRPr="0067522F" w14:paraId="49F8DACA"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14FA8744"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New debt issued</w:t>
            </w:r>
          </w:p>
        </w:tc>
        <w:tc>
          <w:tcPr>
            <w:tcW w:w="1100" w:type="pct"/>
            <w:tcBorders>
              <w:top w:val="nil"/>
              <w:left w:val="nil"/>
              <w:bottom w:val="nil"/>
              <w:right w:val="nil"/>
            </w:tcBorders>
            <w:shd w:val="clear" w:color="auto" w:fill="auto"/>
            <w:noWrap/>
            <w:vAlign w:val="bottom"/>
            <w:hideMark/>
          </w:tcPr>
          <w:p w14:paraId="6A23F000"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196,394 </w:t>
            </w:r>
          </w:p>
        </w:tc>
        <w:tc>
          <w:tcPr>
            <w:tcW w:w="1085" w:type="pct"/>
            <w:tcBorders>
              <w:top w:val="nil"/>
              <w:left w:val="nil"/>
              <w:bottom w:val="nil"/>
              <w:right w:val="single" w:sz="8" w:space="0" w:color="auto"/>
            </w:tcBorders>
            <w:shd w:val="clear" w:color="auto" w:fill="auto"/>
            <w:noWrap/>
            <w:vAlign w:val="bottom"/>
            <w:hideMark/>
          </w:tcPr>
          <w:p w14:paraId="7FBB27F5"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15,000 </w:t>
            </w:r>
          </w:p>
        </w:tc>
      </w:tr>
      <w:tr w:rsidR="0067522F" w:rsidRPr="0067522F" w14:paraId="7075056F" w14:textId="77777777" w:rsidTr="0067522F">
        <w:trPr>
          <w:trHeight w:val="315"/>
        </w:trPr>
        <w:tc>
          <w:tcPr>
            <w:tcW w:w="2815" w:type="pct"/>
            <w:tcBorders>
              <w:top w:val="nil"/>
              <w:left w:val="single" w:sz="8" w:space="0" w:color="auto"/>
              <w:bottom w:val="nil"/>
              <w:right w:val="nil"/>
            </w:tcBorders>
            <w:shd w:val="clear" w:color="auto" w:fill="auto"/>
            <w:vAlign w:val="bottom"/>
            <w:hideMark/>
          </w:tcPr>
          <w:p w14:paraId="6AEE49BA"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Payment of debt</w:t>
            </w:r>
          </w:p>
        </w:tc>
        <w:tc>
          <w:tcPr>
            <w:tcW w:w="1100" w:type="pct"/>
            <w:tcBorders>
              <w:top w:val="nil"/>
              <w:left w:val="nil"/>
              <w:bottom w:val="nil"/>
              <w:right w:val="nil"/>
            </w:tcBorders>
            <w:shd w:val="clear" w:color="auto" w:fill="auto"/>
            <w:noWrap/>
            <w:vAlign w:val="bottom"/>
            <w:hideMark/>
          </w:tcPr>
          <w:p w14:paraId="528F5650"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203,888 </w:t>
            </w:r>
          </w:p>
        </w:tc>
        <w:tc>
          <w:tcPr>
            <w:tcW w:w="1085" w:type="pct"/>
            <w:tcBorders>
              <w:top w:val="nil"/>
              <w:left w:val="nil"/>
              <w:bottom w:val="nil"/>
              <w:right w:val="single" w:sz="8" w:space="0" w:color="auto"/>
            </w:tcBorders>
            <w:shd w:val="clear" w:color="auto" w:fill="auto"/>
            <w:noWrap/>
            <w:vAlign w:val="bottom"/>
            <w:hideMark/>
          </w:tcPr>
          <w:p w14:paraId="5FEF0A8F"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9,471 </w:t>
            </w:r>
          </w:p>
        </w:tc>
      </w:tr>
      <w:tr w:rsidR="0067522F" w:rsidRPr="0067522F" w14:paraId="04344BAA"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545E6C55"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Net cash flow from financing activities</w:t>
            </w:r>
          </w:p>
        </w:tc>
        <w:tc>
          <w:tcPr>
            <w:tcW w:w="1100" w:type="pct"/>
            <w:tcBorders>
              <w:top w:val="nil"/>
              <w:left w:val="nil"/>
              <w:bottom w:val="nil"/>
              <w:right w:val="nil"/>
            </w:tcBorders>
            <w:shd w:val="clear" w:color="auto" w:fill="auto"/>
            <w:noWrap/>
            <w:vAlign w:val="bottom"/>
            <w:hideMark/>
          </w:tcPr>
          <w:p w14:paraId="456EE034"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41,317 </w:t>
            </w:r>
          </w:p>
        </w:tc>
        <w:tc>
          <w:tcPr>
            <w:tcW w:w="1085" w:type="pct"/>
            <w:tcBorders>
              <w:top w:val="nil"/>
              <w:left w:val="nil"/>
              <w:bottom w:val="nil"/>
              <w:right w:val="single" w:sz="8" w:space="0" w:color="auto"/>
            </w:tcBorders>
            <w:shd w:val="clear" w:color="auto" w:fill="auto"/>
            <w:noWrap/>
            <w:vAlign w:val="bottom"/>
            <w:hideMark/>
          </w:tcPr>
          <w:p w14:paraId="499C173D"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5,185 </w:t>
            </w:r>
          </w:p>
        </w:tc>
      </w:tr>
      <w:tr w:rsidR="0067522F" w:rsidRPr="0067522F" w14:paraId="230A3805"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65477DB1"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(Decrease) in cash and cash equivalents</w:t>
            </w:r>
          </w:p>
        </w:tc>
        <w:tc>
          <w:tcPr>
            <w:tcW w:w="1100" w:type="pct"/>
            <w:tcBorders>
              <w:top w:val="nil"/>
              <w:left w:val="nil"/>
              <w:bottom w:val="nil"/>
              <w:right w:val="nil"/>
            </w:tcBorders>
            <w:shd w:val="clear" w:color="auto" w:fill="auto"/>
            <w:noWrap/>
            <w:vAlign w:val="bottom"/>
            <w:hideMark/>
          </w:tcPr>
          <w:p w14:paraId="02ADCD57"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91,197 </w:t>
            </w:r>
          </w:p>
        </w:tc>
        <w:tc>
          <w:tcPr>
            <w:tcW w:w="1085" w:type="pct"/>
            <w:tcBorders>
              <w:top w:val="nil"/>
              <w:left w:val="nil"/>
              <w:bottom w:val="nil"/>
              <w:right w:val="single" w:sz="8" w:space="0" w:color="auto"/>
            </w:tcBorders>
            <w:shd w:val="clear" w:color="auto" w:fill="auto"/>
            <w:noWrap/>
            <w:vAlign w:val="bottom"/>
            <w:hideMark/>
          </w:tcPr>
          <w:p w14:paraId="60AB3482"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 xml:space="preserve">-        56,983 </w:t>
            </w:r>
          </w:p>
        </w:tc>
      </w:tr>
      <w:tr w:rsidR="0067522F" w:rsidRPr="0067522F" w14:paraId="32FB23A9" w14:textId="77777777" w:rsidTr="0067522F">
        <w:trPr>
          <w:trHeight w:val="630"/>
        </w:trPr>
        <w:tc>
          <w:tcPr>
            <w:tcW w:w="2815" w:type="pct"/>
            <w:tcBorders>
              <w:top w:val="nil"/>
              <w:left w:val="single" w:sz="8" w:space="0" w:color="auto"/>
              <w:bottom w:val="nil"/>
              <w:right w:val="nil"/>
            </w:tcBorders>
            <w:shd w:val="clear" w:color="auto" w:fill="auto"/>
            <w:vAlign w:val="bottom"/>
            <w:hideMark/>
          </w:tcPr>
          <w:p w14:paraId="5A13EBA9"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Cash and </w:t>
            </w:r>
            <w:proofErr w:type="spellStart"/>
            <w:r w:rsidRPr="0067522F">
              <w:rPr>
                <w:rFonts w:ascii="Cambria" w:eastAsia="Times New Roman" w:hAnsi="Cambria" w:cs="Calibri"/>
                <w:color w:val="000000"/>
                <w:sz w:val="24"/>
                <w:szCs w:val="24"/>
                <w:lang w:eastAsia="en-GB"/>
              </w:rPr>
              <w:t>cah</w:t>
            </w:r>
            <w:proofErr w:type="spellEnd"/>
            <w:r w:rsidRPr="0067522F">
              <w:rPr>
                <w:rFonts w:ascii="Cambria" w:eastAsia="Times New Roman" w:hAnsi="Cambria" w:cs="Calibri"/>
                <w:color w:val="000000"/>
                <w:sz w:val="24"/>
                <w:szCs w:val="24"/>
                <w:lang w:eastAsia="en-GB"/>
              </w:rPr>
              <w:t xml:space="preserve"> equivalents at start of year</w:t>
            </w:r>
          </w:p>
        </w:tc>
        <w:tc>
          <w:tcPr>
            <w:tcW w:w="1100" w:type="pct"/>
            <w:tcBorders>
              <w:top w:val="nil"/>
              <w:left w:val="nil"/>
              <w:bottom w:val="nil"/>
              <w:right w:val="nil"/>
            </w:tcBorders>
            <w:shd w:val="clear" w:color="auto" w:fill="auto"/>
            <w:noWrap/>
            <w:vAlign w:val="bottom"/>
            <w:hideMark/>
          </w:tcPr>
          <w:p w14:paraId="4944960D"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109,974 </w:t>
            </w:r>
          </w:p>
        </w:tc>
        <w:tc>
          <w:tcPr>
            <w:tcW w:w="1085" w:type="pct"/>
            <w:tcBorders>
              <w:top w:val="nil"/>
              <w:left w:val="nil"/>
              <w:bottom w:val="nil"/>
              <w:right w:val="single" w:sz="8" w:space="0" w:color="auto"/>
            </w:tcBorders>
            <w:shd w:val="clear" w:color="auto" w:fill="auto"/>
            <w:noWrap/>
            <w:vAlign w:val="bottom"/>
            <w:hideMark/>
          </w:tcPr>
          <w:p w14:paraId="673D3A86" w14:textId="77777777" w:rsidR="0067522F" w:rsidRPr="0067522F" w:rsidRDefault="0067522F" w:rsidP="0067522F">
            <w:pPr>
              <w:spacing w:after="0" w:line="240" w:lineRule="auto"/>
              <w:rPr>
                <w:rFonts w:ascii="Cambria" w:eastAsia="Times New Roman" w:hAnsi="Cambria" w:cs="Calibri"/>
                <w:color w:val="000000"/>
                <w:sz w:val="24"/>
                <w:szCs w:val="24"/>
                <w:lang w:eastAsia="en-GB"/>
              </w:rPr>
            </w:pPr>
            <w:r w:rsidRPr="0067522F">
              <w:rPr>
                <w:rFonts w:ascii="Cambria" w:eastAsia="Times New Roman" w:hAnsi="Cambria" w:cs="Calibri"/>
                <w:color w:val="000000"/>
                <w:sz w:val="24"/>
                <w:szCs w:val="24"/>
                <w:lang w:eastAsia="en-GB"/>
              </w:rPr>
              <w:t xml:space="preserve">       166,957 </w:t>
            </w:r>
          </w:p>
        </w:tc>
      </w:tr>
      <w:tr w:rsidR="0067522F" w:rsidRPr="0067522F" w14:paraId="2C3FCE57" w14:textId="77777777" w:rsidTr="0067522F">
        <w:trPr>
          <w:trHeight w:val="690"/>
        </w:trPr>
        <w:tc>
          <w:tcPr>
            <w:tcW w:w="2815" w:type="pct"/>
            <w:tcBorders>
              <w:top w:val="nil"/>
              <w:left w:val="single" w:sz="8" w:space="0" w:color="auto"/>
              <w:bottom w:val="single" w:sz="8" w:space="0" w:color="auto"/>
              <w:right w:val="nil"/>
            </w:tcBorders>
            <w:shd w:val="clear" w:color="auto" w:fill="auto"/>
            <w:vAlign w:val="bottom"/>
            <w:hideMark/>
          </w:tcPr>
          <w:p w14:paraId="6793E355" w14:textId="77777777" w:rsidR="0067522F" w:rsidRPr="0067522F" w:rsidRDefault="0067522F" w:rsidP="0067522F">
            <w:pPr>
              <w:spacing w:after="0" w:line="240" w:lineRule="auto"/>
              <w:rPr>
                <w:rFonts w:ascii="Cambria" w:eastAsia="Times New Roman" w:hAnsi="Cambria" w:cs="Calibri"/>
                <w:b/>
                <w:bCs/>
                <w:color w:val="000000"/>
                <w:sz w:val="24"/>
                <w:szCs w:val="24"/>
                <w:lang w:eastAsia="en-GB"/>
              </w:rPr>
            </w:pPr>
            <w:r w:rsidRPr="0067522F">
              <w:rPr>
                <w:rFonts w:ascii="Cambria" w:eastAsia="Times New Roman" w:hAnsi="Cambria" w:cs="Calibri"/>
                <w:b/>
                <w:bCs/>
                <w:color w:val="000000"/>
                <w:sz w:val="24"/>
                <w:szCs w:val="24"/>
                <w:lang w:eastAsia="en-GB"/>
              </w:rPr>
              <w:t>Cash and cash equivalent at end of year</w:t>
            </w:r>
          </w:p>
        </w:tc>
        <w:tc>
          <w:tcPr>
            <w:tcW w:w="1100" w:type="pct"/>
            <w:tcBorders>
              <w:top w:val="nil"/>
              <w:left w:val="nil"/>
              <w:bottom w:val="single" w:sz="8" w:space="0" w:color="auto"/>
              <w:right w:val="nil"/>
            </w:tcBorders>
            <w:shd w:val="clear" w:color="auto" w:fill="auto"/>
            <w:noWrap/>
            <w:vAlign w:val="bottom"/>
            <w:hideMark/>
          </w:tcPr>
          <w:p w14:paraId="2F852506" w14:textId="77777777" w:rsidR="0067522F" w:rsidRPr="0067522F" w:rsidRDefault="0067522F" w:rsidP="0067522F">
            <w:pPr>
              <w:spacing w:after="0" w:line="240" w:lineRule="auto"/>
              <w:rPr>
                <w:rFonts w:ascii="Cambria" w:eastAsia="Times New Roman" w:hAnsi="Cambria" w:cs="Calibri"/>
                <w:b/>
                <w:bCs/>
                <w:color w:val="000000"/>
                <w:sz w:val="24"/>
                <w:szCs w:val="24"/>
                <w:u w:val="single"/>
                <w:lang w:eastAsia="en-GB"/>
              </w:rPr>
            </w:pPr>
            <w:r w:rsidRPr="0067522F">
              <w:rPr>
                <w:rFonts w:ascii="Cambria" w:eastAsia="Times New Roman" w:hAnsi="Cambria" w:cs="Calibri"/>
                <w:b/>
                <w:bCs/>
                <w:color w:val="000000"/>
                <w:sz w:val="24"/>
                <w:szCs w:val="24"/>
                <w:u w:val="single"/>
                <w:lang w:eastAsia="en-GB"/>
              </w:rPr>
              <w:t xml:space="preserve">          18,777 </w:t>
            </w:r>
          </w:p>
        </w:tc>
        <w:tc>
          <w:tcPr>
            <w:tcW w:w="1085" w:type="pct"/>
            <w:tcBorders>
              <w:top w:val="nil"/>
              <w:left w:val="nil"/>
              <w:bottom w:val="single" w:sz="8" w:space="0" w:color="auto"/>
              <w:right w:val="single" w:sz="8" w:space="0" w:color="auto"/>
            </w:tcBorders>
            <w:shd w:val="clear" w:color="auto" w:fill="auto"/>
            <w:noWrap/>
            <w:vAlign w:val="bottom"/>
            <w:hideMark/>
          </w:tcPr>
          <w:p w14:paraId="21EA154C" w14:textId="77777777" w:rsidR="0067522F" w:rsidRPr="0067522F" w:rsidRDefault="0067522F" w:rsidP="0067522F">
            <w:pPr>
              <w:spacing w:after="0" w:line="240" w:lineRule="auto"/>
              <w:rPr>
                <w:rFonts w:ascii="Cambria" w:eastAsia="Times New Roman" w:hAnsi="Cambria" w:cs="Calibri"/>
                <w:b/>
                <w:bCs/>
                <w:color w:val="000000"/>
                <w:sz w:val="24"/>
                <w:szCs w:val="24"/>
                <w:u w:val="single"/>
                <w:lang w:eastAsia="en-GB"/>
              </w:rPr>
            </w:pPr>
            <w:r w:rsidRPr="0067522F">
              <w:rPr>
                <w:rFonts w:ascii="Cambria" w:eastAsia="Times New Roman" w:hAnsi="Cambria" w:cs="Calibri"/>
                <w:b/>
                <w:bCs/>
                <w:color w:val="000000"/>
                <w:sz w:val="24"/>
                <w:szCs w:val="24"/>
                <w:u w:val="single"/>
                <w:lang w:eastAsia="en-GB"/>
              </w:rPr>
              <w:t xml:space="preserve">       109,974 </w:t>
            </w:r>
          </w:p>
        </w:tc>
      </w:tr>
    </w:tbl>
    <w:p w14:paraId="24409C21" w14:textId="77777777" w:rsidR="0067522F" w:rsidRDefault="0067522F" w:rsidP="00CB08D8">
      <w:pPr>
        <w:spacing w:line="480" w:lineRule="auto"/>
        <w:rPr>
          <w:rFonts w:ascii="Times New Roman" w:hAnsi="Times New Roman" w:cs="Times New Roman"/>
          <w:sz w:val="24"/>
          <w:szCs w:val="24"/>
        </w:rPr>
      </w:pPr>
    </w:p>
    <w:p w14:paraId="33BC9C91" w14:textId="77777777" w:rsidR="00447662" w:rsidRDefault="00447662" w:rsidP="00CB08D8">
      <w:pPr>
        <w:spacing w:line="480" w:lineRule="auto"/>
        <w:rPr>
          <w:rFonts w:ascii="Times New Roman" w:hAnsi="Times New Roman" w:cs="Times New Roman"/>
          <w:b/>
          <w:sz w:val="24"/>
          <w:szCs w:val="24"/>
        </w:rPr>
      </w:pPr>
    </w:p>
    <w:p w14:paraId="65CF368D" w14:textId="77777777" w:rsidR="00447662" w:rsidRDefault="00447662" w:rsidP="00CB08D8">
      <w:pPr>
        <w:spacing w:line="480" w:lineRule="auto"/>
        <w:rPr>
          <w:rFonts w:ascii="Times New Roman" w:hAnsi="Times New Roman" w:cs="Times New Roman"/>
          <w:b/>
          <w:sz w:val="24"/>
          <w:szCs w:val="24"/>
        </w:rPr>
      </w:pPr>
    </w:p>
    <w:p w14:paraId="596CA1D4" w14:textId="77777777" w:rsidR="00447662" w:rsidRDefault="00447662" w:rsidP="00CB08D8">
      <w:pPr>
        <w:spacing w:line="480" w:lineRule="auto"/>
        <w:rPr>
          <w:rFonts w:ascii="Times New Roman" w:hAnsi="Times New Roman" w:cs="Times New Roman"/>
          <w:b/>
          <w:sz w:val="24"/>
          <w:szCs w:val="24"/>
        </w:rPr>
      </w:pPr>
    </w:p>
    <w:p w14:paraId="37891D5B" w14:textId="77777777" w:rsidR="00447662" w:rsidRDefault="00447662" w:rsidP="00CB08D8">
      <w:pPr>
        <w:spacing w:line="480" w:lineRule="auto"/>
        <w:rPr>
          <w:rFonts w:ascii="Times New Roman" w:hAnsi="Times New Roman" w:cs="Times New Roman"/>
          <w:b/>
          <w:sz w:val="24"/>
          <w:szCs w:val="24"/>
        </w:rPr>
      </w:pPr>
    </w:p>
    <w:p w14:paraId="2237EFA5" w14:textId="77777777" w:rsidR="00447662" w:rsidRDefault="00447662" w:rsidP="00CB08D8">
      <w:pPr>
        <w:spacing w:line="480" w:lineRule="auto"/>
        <w:rPr>
          <w:rFonts w:ascii="Times New Roman" w:hAnsi="Times New Roman" w:cs="Times New Roman"/>
          <w:b/>
          <w:sz w:val="24"/>
          <w:szCs w:val="24"/>
        </w:rPr>
      </w:pPr>
    </w:p>
    <w:p w14:paraId="60EE45CC" w14:textId="2FF87A67" w:rsidR="00447662" w:rsidRDefault="00447662" w:rsidP="00CB08D8">
      <w:pPr>
        <w:spacing w:line="480" w:lineRule="auto"/>
        <w:rPr>
          <w:rFonts w:ascii="Times New Roman" w:hAnsi="Times New Roman" w:cs="Times New Roman"/>
          <w:b/>
          <w:sz w:val="24"/>
          <w:szCs w:val="24"/>
        </w:rPr>
      </w:pPr>
      <w:r w:rsidRPr="00447662">
        <w:rPr>
          <w:rFonts w:ascii="Times New Roman" w:hAnsi="Times New Roman" w:cs="Times New Roman"/>
          <w:b/>
          <w:sz w:val="24"/>
          <w:szCs w:val="24"/>
        </w:rPr>
        <w:lastRenderedPageBreak/>
        <w:t>Key Ratios</w:t>
      </w:r>
    </w:p>
    <w:tbl>
      <w:tblPr>
        <w:tblW w:w="9160" w:type="dxa"/>
        <w:tblInd w:w="93" w:type="dxa"/>
        <w:tblLook w:val="04A0" w:firstRow="1" w:lastRow="0" w:firstColumn="1" w:lastColumn="0" w:noHBand="0" w:noVBand="1"/>
      </w:tblPr>
      <w:tblGrid>
        <w:gridCol w:w="2860"/>
        <w:gridCol w:w="4420"/>
        <w:gridCol w:w="987"/>
        <w:gridCol w:w="987"/>
      </w:tblGrid>
      <w:tr w:rsidR="00447662" w:rsidRPr="00447662" w14:paraId="73DA1F3D" w14:textId="77777777" w:rsidTr="00447662">
        <w:trPr>
          <w:trHeight w:val="315"/>
        </w:trPr>
        <w:tc>
          <w:tcPr>
            <w:tcW w:w="2860" w:type="dxa"/>
            <w:tcBorders>
              <w:top w:val="nil"/>
              <w:left w:val="nil"/>
              <w:bottom w:val="nil"/>
              <w:right w:val="nil"/>
            </w:tcBorders>
            <w:shd w:val="clear" w:color="auto" w:fill="auto"/>
            <w:noWrap/>
            <w:vAlign w:val="center"/>
            <w:hideMark/>
          </w:tcPr>
          <w:p w14:paraId="64AF09CD" w14:textId="77777777" w:rsidR="00447662" w:rsidRPr="00447662" w:rsidRDefault="00447662" w:rsidP="00447662">
            <w:pPr>
              <w:spacing w:after="0" w:line="240" w:lineRule="auto"/>
              <w:jc w:val="center"/>
              <w:rPr>
                <w:rFonts w:ascii="Arial" w:eastAsia="Times New Roman" w:hAnsi="Arial" w:cs="Arial"/>
                <w:b/>
                <w:bCs/>
                <w:color w:val="000000"/>
                <w:sz w:val="24"/>
                <w:szCs w:val="24"/>
                <w:lang w:eastAsia="en-GB"/>
              </w:rPr>
            </w:pPr>
            <w:r w:rsidRPr="00447662">
              <w:rPr>
                <w:rFonts w:ascii="Arial" w:eastAsia="Times New Roman" w:hAnsi="Arial" w:cs="Arial"/>
                <w:b/>
                <w:bCs/>
                <w:color w:val="000000"/>
                <w:sz w:val="24"/>
                <w:szCs w:val="24"/>
                <w:lang w:eastAsia="en-GB"/>
              </w:rPr>
              <w:t>Ratio</w:t>
            </w:r>
          </w:p>
        </w:tc>
        <w:tc>
          <w:tcPr>
            <w:tcW w:w="4420" w:type="dxa"/>
            <w:tcBorders>
              <w:top w:val="nil"/>
              <w:left w:val="nil"/>
              <w:bottom w:val="nil"/>
              <w:right w:val="nil"/>
            </w:tcBorders>
            <w:shd w:val="clear" w:color="auto" w:fill="auto"/>
            <w:noWrap/>
            <w:vAlign w:val="center"/>
            <w:hideMark/>
          </w:tcPr>
          <w:p w14:paraId="2A17DCDC" w14:textId="77777777" w:rsidR="00447662" w:rsidRPr="00447662" w:rsidRDefault="00447662" w:rsidP="00447662">
            <w:pPr>
              <w:spacing w:after="0" w:line="240" w:lineRule="auto"/>
              <w:jc w:val="center"/>
              <w:rPr>
                <w:rFonts w:ascii="Arial" w:eastAsia="Times New Roman" w:hAnsi="Arial" w:cs="Arial"/>
                <w:b/>
                <w:bCs/>
                <w:color w:val="000000"/>
                <w:sz w:val="24"/>
                <w:szCs w:val="24"/>
                <w:lang w:eastAsia="en-GB"/>
              </w:rPr>
            </w:pPr>
            <w:r w:rsidRPr="00447662">
              <w:rPr>
                <w:rFonts w:ascii="Arial" w:eastAsia="Times New Roman" w:hAnsi="Arial" w:cs="Arial"/>
                <w:b/>
                <w:bCs/>
                <w:color w:val="000000"/>
                <w:sz w:val="24"/>
                <w:szCs w:val="24"/>
                <w:lang w:eastAsia="en-GB"/>
              </w:rPr>
              <w:t>Formula</w:t>
            </w:r>
          </w:p>
        </w:tc>
        <w:tc>
          <w:tcPr>
            <w:tcW w:w="940" w:type="dxa"/>
            <w:tcBorders>
              <w:top w:val="nil"/>
              <w:left w:val="nil"/>
              <w:bottom w:val="nil"/>
              <w:right w:val="nil"/>
            </w:tcBorders>
            <w:shd w:val="clear" w:color="auto" w:fill="auto"/>
            <w:noWrap/>
            <w:hideMark/>
          </w:tcPr>
          <w:p w14:paraId="7080A029" w14:textId="77777777" w:rsidR="00447662" w:rsidRPr="00447662" w:rsidRDefault="00447662" w:rsidP="00447662">
            <w:pPr>
              <w:spacing w:after="0" w:line="240" w:lineRule="auto"/>
              <w:rPr>
                <w:rFonts w:ascii="Arial" w:eastAsia="Times New Roman" w:hAnsi="Arial" w:cs="Arial"/>
                <w:color w:val="000000"/>
                <w:sz w:val="24"/>
                <w:szCs w:val="24"/>
                <w:lang w:eastAsia="en-GB"/>
              </w:rPr>
            </w:pPr>
          </w:p>
        </w:tc>
        <w:tc>
          <w:tcPr>
            <w:tcW w:w="940" w:type="dxa"/>
            <w:tcBorders>
              <w:top w:val="nil"/>
              <w:left w:val="nil"/>
              <w:bottom w:val="nil"/>
              <w:right w:val="nil"/>
            </w:tcBorders>
            <w:shd w:val="clear" w:color="auto" w:fill="auto"/>
            <w:noWrap/>
            <w:hideMark/>
          </w:tcPr>
          <w:p w14:paraId="118D4699" w14:textId="77777777" w:rsidR="00447662" w:rsidRPr="00447662" w:rsidRDefault="00447662" w:rsidP="00447662">
            <w:pPr>
              <w:spacing w:after="0" w:line="240" w:lineRule="auto"/>
              <w:rPr>
                <w:rFonts w:ascii="Arial" w:eastAsia="Times New Roman" w:hAnsi="Arial" w:cs="Arial"/>
                <w:color w:val="000000"/>
                <w:sz w:val="24"/>
                <w:szCs w:val="24"/>
                <w:lang w:eastAsia="en-GB"/>
              </w:rPr>
            </w:pPr>
          </w:p>
        </w:tc>
      </w:tr>
      <w:tr w:rsidR="00447662" w:rsidRPr="00447662" w14:paraId="62C55DAE" w14:textId="77777777" w:rsidTr="00447662">
        <w:trPr>
          <w:trHeight w:val="315"/>
        </w:trPr>
        <w:tc>
          <w:tcPr>
            <w:tcW w:w="2860" w:type="dxa"/>
            <w:tcBorders>
              <w:top w:val="nil"/>
              <w:left w:val="nil"/>
              <w:bottom w:val="nil"/>
              <w:right w:val="nil"/>
            </w:tcBorders>
            <w:shd w:val="clear" w:color="auto" w:fill="auto"/>
            <w:noWrap/>
            <w:vAlign w:val="center"/>
            <w:hideMark/>
          </w:tcPr>
          <w:p w14:paraId="11ED6831" w14:textId="77777777" w:rsidR="00447662" w:rsidRPr="00447662" w:rsidRDefault="00447662" w:rsidP="00447662">
            <w:pPr>
              <w:spacing w:after="0" w:line="240" w:lineRule="auto"/>
              <w:jc w:val="center"/>
              <w:rPr>
                <w:rFonts w:ascii="Arial" w:eastAsia="Times New Roman" w:hAnsi="Arial" w:cs="Arial"/>
                <w:b/>
                <w:bCs/>
                <w:color w:val="000000"/>
                <w:sz w:val="24"/>
                <w:szCs w:val="24"/>
                <w:lang w:eastAsia="en-GB"/>
              </w:rPr>
            </w:pPr>
          </w:p>
        </w:tc>
        <w:tc>
          <w:tcPr>
            <w:tcW w:w="4420" w:type="dxa"/>
            <w:tcBorders>
              <w:top w:val="nil"/>
              <w:left w:val="nil"/>
              <w:bottom w:val="nil"/>
              <w:right w:val="nil"/>
            </w:tcBorders>
            <w:shd w:val="clear" w:color="auto" w:fill="auto"/>
            <w:noWrap/>
            <w:vAlign w:val="center"/>
            <w:hideMark/>
          </w:tcPr>
          <w:p w14:paraId="5BC2CB08" w14:textId="77777777" w:rsidR="00447662" w:rsidRPr="00447662" w:rsidRDefault="00447662" w:rsidP="00447662">
            <w:pPr>
              <w:spacing w:after="0" w:line="240" w:lineRule="auto"/>
              <w:jc w:val="center"/>
              <w:rPr>
                <w:rFonts w:ascii="Arial" w:eastAsia="Times New Roman" w:hAnsi="Arial" w:cs="Arial"/>
                <w:b/>
                <w:bCs/>
                <w:color w:val="000000"/>
                <w:sz w:val="24"/>
                <w:szCs w:val="24"/>
                <w:lang w:eastAsia="en-GB"/>
              </w:rPr>
            </w:pPr>
          </w:p>
        </w:tc>
        <w:tc>
          <w:tcPr>
            <w:tcW w:w="940" w:type="dxa"/>
            <w:tcBorders>
              <w:top w:val="nil"/>
              <w:left w:val="nil"/>
              <w:bottom w:val="nil"/>
              <w:right w:val="nil"/>
            </w:tcBorders>
            <w:shd w:val="clear" w:color="auto" w:fill="auto"/>
            <w:noWrap/>
            <w:vAlign w:val="center"/>
            <w:hideMark/>
          </w:tcPr>
          <w:p w14:paraId="5AF3EAB0" w14:textId="77777777" w:rsidR="00447662" w:rsidRPr="00447662" w:rsidRDefault="00447662" w:rsidP="00447662">
            <w:pPr>
              <w:spacing w:after="0" w:line="240" w:lineRule="auto"/>
              <w:jc w:val="center"/>
              <w:rPr>
                <w:rFonts w:ascii="Arial" w:eastAsia="Times New Roman" w:hAnsi="Arial" w:cs="Arial"/>
                <w:b/>
                <w:bCs/>
                <w:color w:val="000000"/>
                <w:sz w:val="24"/>
                <w:szCs w:val="24"/>
                <w:lang w:eastAsia="en-GB"/>
              </w:rPr>
            </w:pPr>
            <w:r w:rsidRPr="00447662">
              <w:rPr>
                <w:rFonts w:ascii="Arial" w:eastAsia="Times New Roman" w:hAnsi="Arial" w:cs="Arial"/>
                <w:b/>
                <w:bCs/>
                <w:color w:val="000000"/>
                <w:sz w:val="24"/>
                <w:szCs w:val="24"/>
                <w:lang w:eastAsia="en-GB"/>
              </w:rPr>
              <w:t>2021</w:t>
            </w:r>
          </w:p>
        </w:tc>
        <w:tc>
          <w:tcPr>
            <w:tcW w:w="940" w:type="dxa"/>
            <w:tcBorders>
              <w:top w:val="nil"/>
              <w:left w:val="nil"/>
              <w:bottom w:val="nil"/>
              <w:right w:val="nil"/>
            </w:tcBorders>
            <w:shd w:val="clear" w:color="auto" w:fill="auto"/>
            <w:noWrap/>
            <w:vAlign w:val="center"/>
            <w:hideMark/>
          </w:tcPr>
          <w:p w14:paraId="5A7F5AA5" w14:textId="77777777" w:rsidR="00447662" w:rsidRPr="00447662" w:rsidRDefault="00447662" w:rsidP="00447662">
            <w:pPr>
              <w:spacing w:after="0" w:line="240" w:lineRule="auto"/>
              <w:jc w:val="center"/>
              <w:rPr>
                <w:rFonts w:ascii="Arial" w:eastAsia="Times New Roman" w:hAnsi="Arial" w:cs="Arial"/>
                <w:b/>
                <w:bCs/>
                <w:color w:val="000000"/>
                <w:sz w:val="24"/>
                <w:szCs w:val="24"/>
                <w:lang w:eastAsia="en-GB"/>
              </w:rPr>
            </w:pPr>
            <w:r w:rsidRPr="00447662">
              <w:rPr>
                <w:rFonts w:ascii="Arial" w:eastAsia="Times New Roman" w:hAnsi="Arial" w:cs="Arial"/>
                <w:b/>
                <w:bCs/>
                <w:color w:val="000000"/>
                <w:sz w:val="24"/>
                <w:szCs w:val="24"/>
                <w:lang w:eastAsia="en-GB"/>
              </w:rPr>
              <w:t>2020</w:t>
            </w:r>
          </w:p>
        </w:tc>
      </w:tr>
      <w:tr w:rsidR="00447662" w:rsidRPr="00447662" w14:paraId="1A99CE51" w14:textId="77777777" w:rsidTr="00447662">
        <w:trPr>
          <w:trHeight w:val="315"/>
        </w:trPr>
        <w:tc>
          <w:tcPr>
            <w:tcW w:w="2860" w:type="dxa"/>
            <w:tcBorders>
              <w:top w:val="nil"/>
              <w:left w:val="nil"/>
              <w:bottom w:val="nil"/>
              <w:right w:val="nil"/>
            </w:tcBorders>
            <w:shd w:val="clear" w:color="auto" w:fill="auto"/>
            <w:noWrap/>
            <w:hideMark/>
          </w:tcPr>
          <w:p w14:paraId="48A7D213" w14:textId="77777777" w:rsidR="00447662" w:rsidRPr="00447662" w:rsidRDefault="00447662" w:rsidP="00447662">
            <w:pPr>
              <w:spacing w:after="0" w:line="240" w:lineRule="auto"/>
              <w:rPr>
                <w:rFonts w:ascii="Arial" w:eastAsia="Times New Roman" w:hAnsi="Arial" w:cs="Arial"/>
                <w:color w:val="000000"/>
                <w:sz w:val="24"/>
                <w:szCs w:val="24"/>
                <w:lang w:eastAsia="en-GB"/>
              </w:rPr>
            </w:pPr>
          </w:p>
        </w:tc>
        <w:tc>
          <w:tcPr>
            <w:tcW w:w="4420" w:type="dxa"/>
            <w:tcBorders>
              <w:top w:val="nil"/>
              <w:left w:val="nil"/>
              <w:bottom w:val="nil"/>
              <w:right w:val="nil"/>
            </w:tcBorders>
            <w:shd w:val="clear" w:color="auto" w:fill="auto"/>
            <w:noWrap/>
            <w:hideMark/>
          </w:tcPr>
          <w:p w14:paraId="6932F206" w14:textId="77777777" w:rsidR="00447662" w:rsidRPr="00447662" w:rsidRDefault="00447662" w:rsidP="00447662">
            <w:pPr>
              <w:spacing w:after="0" w:line="240" w:lineRule="auto"/>
              <w:rPr>
                <w:rFonts w:ascii="Arial" w:eastAsia="Times New Roman" w:hAnsi="Arial" w:cs="Arial"/>
                <w:color w:val="000000"/>
                <w:sz w:val="24"/>
                <w:szCs w:val="24"/>
                <w:lang w:eastAsia="en-GB"/>
              </w:rPr>
            </w:pPr>
          </w:p>
        </w:tc>
        <w:tc>
          <w:tcPr>
            <w:tcW w:w="940" w:type="dxa"/>
            <w:tcBorders>
              <w:top w:val="nil"/>
              <w:left w:val="nil"/>
              <w:bottom w:val="nil"/>
              <w:right w:val="nil"/>
            </w:tcBorders>
            <w:shd w:val="clear" w:color="auto" w:fill="auto"/>
            <w:noWrap/>
            <w:hideMark/>
          </w:tcPr>
          <w:p w14:paraId="627BC930" w14:textId="77777777" w:rsidR="00447662" w:rsidRPr="00447662" w:rsidRDefault="00447662" w:rsidP="00447662">
            <w:pPr>
              <w:spacing w:after="0" w:line="240" w:lineRule="auto"/>
              <w:rPr>
                <w:rFonts w:ascii="Arial" w:eastAsia="Times New Roman" w:hAnsi="Arial" w:cs="Arial"/>
                <w:color w:val="000000"/>
                <w:sz w:val="24"/>
                <w:szCs w:val="24"/>
                <w:lang w:eastAsia="en-GB"/>
              </w:rPr>
            </w:pPr>
          </w:p>
        </w:tc>
        <w:tc>
          <w:tcPr>
            <w:tcW w:w="940" w:type="dxa"/>
            <w:tcBorders>
              <w:top w:val="nil"/>
              <w:left w:val="nil"/>
              <w:bottom w:val="nil"/>
              <w:right w:val="nil"/>
            </w:tcBorders>
            <w:shd w:val="clear" w:color="auto" w:fill="auto"/>
            <w:noWrap/>
            <w:hideMark/>
          </w:tcPr>
          <w:p w14:paraId="41E21DB0" w14:textId="77777777" w:rsidR="00447662" w:rsidRPr="00447662" w:rsidRDefault="00447662" w:rsidP="00447662">
            <w:pPr>
              <w:spacing w:after="0" w:line="240" w:lineRule="auto"/>
              <w:rPr>
                <w:rFonts w:ascii="Arial" w:eastAsia="Times New Roman" w:hAnsi="Arial" w:cs="Arial"/>
                <w:color w:val="000000"/>
                <w:sz w:val="24"/>
                <w:szCs w:val="24"/>
                <w:lang w:eastAsia="en-GB"/>
              </w:rPr>
            </w:pPr>
          </w:p>
        </w:tc>
      </w:tr>
      <w:tr w:rsidR="00447662" w:rsidRPr="00447662" w14:paraId="6085AAD3" w14:textId="77777777" w:rsidTr="00447662">
        <w:trPr>
          <w:trHeight w:val="312"/>
        </w:trPr>
        <w:tc>
          <w:tcPr>
            <w:tcW w:w="2860" w:type="dxa"/>
            <w:tcBorders>
              <w:top w:val="single" w:sz="8" w:space="0" w:color="auto"/>
              <w:left w:val="single" w:sz="8" w:space="0" w:color="auto"/>
              <w:bottom w:val="nil"/>
              <w:right w:val="nil"/>
            </w:tcBorders>
            <w:shd w:val="clear" w:color="auto" w:fill="auto"/>
            <w:noWrap/>
            <w:hideMark/>
          </w:tcPr>
          <w:p w14:paraId="198CCA0D" w14:textId="77777777" w:rsidR="00447662" w:rsidRPr="00447662" w:rsidRDefault="00447662" w:rsidP="00447662">
            <w:pPr>
              <w:spacing w:after="0" w:line="240" w:lineRule="auto"/>
              <w:rPr>
                <w:rFonts w:ascii="Arial" w:eastAsia="Times New Roman" w:hAnsi="Arial" w:cs="Arial"/>
                <w:b/>
                <w:bCs/>
                <w:color w:val="000000"/>
                <w:sz w:val="20"/>
                <w:szCs w:val="20"/>
                <w:lang w:eastAsia="en-GB"/>
              </w:rPr>
            </w:pPr>
            <w:r w:rsidRPr="00447662">
              <w:rPr>
                <w:rFonts w:ascii="Arial" w:eastAsia="Times New Roman" w:hAnsi="Arial" w:cs="Arial"/>
                <w:b/>
                <w:bCs/>
                <w:color w:val="000000"/>
                <w:sz w:val="20"/>
                <w:szCs w:val="20"/>
                <w:lang w:eastAsia="en-GB"/>
              </w:rPr>
              <w:t>Profitability</w:t>
            </w:r>
          </w:p>
        </w:tc>
        <w:tc>
          <w:tcPr>
            <w:tcW w:w="4420" w:type="dxa"/>
            <w:tcBorders>
              <w:top w:val="single" w:sz="8" w:space="0" w:color="auto"/>
              <w:left w:val="nil"/>
              <w:bottom w:val="nil"/>
              <w:right w:val="nil"/>
            </w:tcBorders>
            <w:shd w:val="clear" w:color="auto" w:fill="auto"/>
            <w:noWrap/>
            <w:hideMark/>
          </w:tcPr>
          <w:p w14:paraId="49301948"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 </w:t>
            </w:r>
          </w:p>
        </w:tc>
        <w:tc>
          <w:tcPr>
            <w:tcW w:w="940" w:type="dxa"/>
            <w:tcBorders>
              <w:top w:val="single" w:sz="8" w:space="0" w:color="auto"/>
              <w:left w:val="nil"/>
              <w:bottom w:val="nil"/>
              <w:right w:val="nil"/>
            </w:tcBorders>
            <w:shd w:val="clear" w:color="auto" w:fill="auto"/>
            <w:noWrap/>
            <w:hideMark/>
          </w:tcPr>
          <w:p w14:paraId="5546C0B6"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940" w:type="dxa"/>
            <w:tcBorders>
              <w:top w:val="single" w:sz="8" w:space="0" w:color="auto"/>
              <w:left w:val="nil"/>
              <w:bottom w:val="nil"/>
              <w:right w:val="single" w:sz="8" w:space="0" w:color="auto"/>
            </w:tcBorders>
            <w:shd w:val="clear" w:color="auto" w:fill="auto"/>
            <w:noWrap/>
            <w:hideMark/>
          </w:tcPr>
          <w:p w14:paraId="165BF2FE"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r>
      <w:tr w:rsidR="00447662" w:rsidRPr="00447662" w14:paraId="391516B3" w14:textId="77777777" w:rsidTr="00447662">
        <w:trPr>
          <w:trHeight w:val="289"/>
        </w:trPr>
        <w:tc>
          <w:tcPr>
            <w:tcW w:w="2860" w:type="dxa"/>
            <w:tcBorders>
              <w:top w:val="nil"/>
              <w:left w:val="single" w:sz="8" w:space="0" w:color="auto"/>
              <w:bottom w:val="nil"/>
              <w:right w:val="nil"/>
            </w:tcBorders>
            <w:shd w:val="clear" w:color="auto" w:fill="auto"/>
            <w:noWrap/>
            <w:hideMark/>
          </w:tcPr>
          <w:p w14:paraId="02F75578"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Profit Margin</w:t>
            </w:r>
          </w:p>
        </w:tc>
        <w:tc>
          <w:tcPr>
            <w:tcW w:w="4420" w:type="dxa"/>
            <w:tcBorders>
              <w:top w:val="nil"/>
              <w:left w:val="nil"/>
              <w:bottom w:val="nil"/>
              <w:right w:val="nil"/>
            </w:tcBorders>
            <w:shd w:val="clear" w:color="auto" w:fill="auto"/>
            <w:noWrap/>
            <w:hideMark/>
          </w:tcPr>
          <w:p w14:paraId="659696E3"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Profit / Total Revenue</w:t>
            </w:r>
          </w:p>
        </w:tc>
        <w:tc>
          <w:tcPr>
            <w:tcW w:w="940" w:type="dxa"/>
            <w:tcBorders>
              <w:top w:val="nil"/>
              <w:left w:val="nil"/>
              <w:bottom w:val="nil"/>
              <w:right w:val="nil"/>
            </w:tcBorders>
            <w:shd w:val="clear" w:color="auto" w:fill="auto"/>
            <w:noWrap/>
            <w:vAlign w:val="bottom"/>
            <w:hideMark/>
          </w:tcPr>
          <w:p w14:paraId="5D276871"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-32.69%</w:t>
            </w:r>
          </w:p>
        </w:tc>
        <w:tc>
          <w:tcPr>
            <w:tcW w:w="940" w:type="dxa"/>
            <w:tcBorders>
              <w:top w:val="nil"/>
              <w:left w:val="nil"/>
              <w:bottom w:val="nil"/>
              <w:right w:val="single" w:sz="8" w:space="0" w:color="auto"/>
            </w:tcBorders>
            <w:shd w:val="clear" w:color="auto" w:fill="auto"/>
            <w:noWrap/>
            <w:vAlign w:val="bottom"/>
            <w:hideMark/>
          </w:tcPr>
          <w:p w14:paraId="4BDEB00F"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-13.87%</w:t>
            </w:r>
          </w:p>
        </w:tc>
      </w:tr>
      <w:tr w:rsidR="00447662" w:rsidRPr="00447662" w14:paraId="6274AEC3" w14:textId="77777777" w:rsidTr="00447662">
        <w:trPr>
          <w:trHeight w:val="289"/>
        </w:trPr>
        <w:tc>
          <w:tcPr>
            <w:tcW w:w="2860" w:type="dxa"/>
            <w:tcBorders>
              <w:top w:val="nil"/>
              <w:left w:val="single" w:sz="8" w:space="0" w:color="auto"/>
              <w:bottom w:val="nil"/>
              <w:right w:val="nil"/>
            </w:tcBorders>
            <w:shd w:val="clear" w:color="auto" w:fill="auto"/>
            <w:noWrap/>
            <w:hideMark/>
          </w:tcPr>
          <w:p w14:paraId="7914B667"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Return on Assets</w:t>
            </w:r>
          </w:p>
        </w:tc>
        <w:tc>
          <w:tcPr>
            <w:tcW w:w="4420" w:type="dxa"/>
            <w:tcBorders>
              <w:top w:val="nil"/>
              <w:left w:val="nil"/>
              <w:bottom w:val="nil"/>
              <w:right w:val="nil"/>
            </w:tcBorders>
            <w:shd w:val="clear" w:color="auto" w:fill="auto"/>
            <w:noWrap/>
            <w:hideMark/>
          </w:tcPr>
          <w:p w14:paraId="2AA68468"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Profit / Average Total Assets</w:t>
            </w:r>
          </w:p>
        </w:tc>
        <w:tc>
          <w:tcPr>
            <w:tcW w:w="940" w:type="dxa"/>
            <w:tcBorders>
              <w:top w:val="nil"/>
              <w:left w:val="nil"/>
              <w:bottom w:val="nil"/>
              <w:right w:val="nil"/>
            </w:tcBorders>
            <w:shd w:val="clear" w:color="auto" w:fill="auto"/>
            <w:noWrap/>
            <w:vAlign w:val="bottom"/>
            <w:hideMark/>
          </w:tcPr>
          <w:p w14:paraId="51324E57"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-13.62%</w:t>
            </w:r>
          </w:p>
        </w:tc>
        <w:tc>
          <w:tcPr>
            <w:tcW w:w="940" w:type="dxa"/>
            <w:tcBorders>
              <w:top w:val="nil"/>
              <w:left w:val="nil"/>
              <w:bottom w:val="nil"/>
              <w:right w:val="single" w:sz="8" w:space="0" w:color="auto"/>
            </w:tcBorders>
            <w:shd w:val="clear" w:color="auto" w:fill="auto"/>
            <w:noWrap/>
            <w:vAlign w:val="bottom"/>
            <w:hideMark/>
          </w:tcPr>
          <w:p w14:paraId="11F4412A"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-5.10%</w:t>
            </w:r>
          </w:p>
        </w:tc>
      </w:tr>
      <w:tr w:rsidR="00447662" w:rsidRPr="00447662" w14:paraId="10EC9FC1" w14:textId="77777777" w:rsidTr="00447662">
        <w:trPr>
          <w:trHeight w:val="319"/>
        </w:trPr>
        <w:tc>
          <w:tcPr>
            <w:tcW w:w="2860" w:type="dxa"/>
            <w:tcBorders>
              <w:top w:val="nil"/>
              <w:left w:val="single" w:sz="8" w:space="0" w:color="auto"/>
              <w:bottom w:val="single" w:sz="8" w:space="0" w:color="auto"/>
              <w:right w:val="nil"/>
            </w:tcBorders>
            <w:shd w:val="clear" w:color="auto" w:fill="auto"/>
            <w:noWrap/>
            <w:hideMark/>
          </w:tcPr>
          <w:p w14:paraId="31616C1F"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4420" w:type="dxa"/>
            <w:tcBorders>
              <w:top w:val="nil"/>
              <w:left w:val="nil"/>
              <w:bottom w:val="single" w:sz="8" w:space="0" w:color="auto"/>
              <w:right w:val="nil"/>
            </w:tcBorders>
            <w:shd w:val="clear" w:color="auto" w:fill="auto"/>
            <w:noWrap/>
            <w:hideMark/>
          </w:tcPr>
          <w:p w14:paraId="017DAFB7"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940" w:type="dxa"/>
            <w:tcBorders>
              <w:top w:val="nil"/>
              <w:left w:val="nil"/>
              <w:bottom w:val="single" w:sz="8" w:space="0" w:color="auto"/>
              <w:right w:val="nil"/>
            </w:tcBorders>
            <w:shd w:val="clear" w:color="auto" w:fill="auto"/>
            <w:noWrap/>
            <w:hideMark/>
          </w:tcPr>
          <w:p w14:paraId="4DCAB9C6"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940" w:type="dxa"/>
            <w:tcBorders>
              <w:top w:val="nil"/>
              <w:left w:val="nil"/>
              <w:bottom w:val="single" w:sz="8" w:space="0" w:color="auto"/>
              <w:right w:val="single" w:sz="8" w:space="0" w:color="auto"/>
            </w:tcBorders>
            <w:shd w:val="clear" w:color="auto" w:fill="auto"/>
            <w:noWrap/>
            <w:hideMark/>
          </w:tcPr>
          <w:p w14:paraId="7545C6E8"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r>
      <w:tr w:rsidR="00447662" w:rsidRPr="00447662" w14:paraId="7A9BC28F" w14:textId="77777777" w:rsidTr="00447662">
        <w:trPr>
          <w:trHeight w:val="300"/>
        </w:trPr>
        <w:tc>
          <w:tcPr>
            <w:tcW w:w="2860" w:type="dxa"/>
            <w:tcBorders>
              <w:top w:val="nil"/>
              <w:left w:val="single" w:sz="8" w:space="0" w:color="auto"/>
              <w:bottom w:val="nil"/>
              <w:right w:val="nil"/>
            </w:tcBorders>
            <w:shd w:val="clear" w:color="auto" w:fill="auto"/>
            <w:noWrap/>
            <w:hideMark/>
          </w:tcPr>
          <w:p w14:paraId="60B97120" w14:textId="77777777" w:rsidR="00447662" w:rsidRPr="00447662" w:rsidRDefault="00447662" w:rsidP="00447662">
            <w:pPr>
              <w:spacing w:after="0" w:line="240" w:lineRule="auto"/>
              <w:rPr>
                <w:rFonts w:ascii="Arial" w:eastAsia="Times New Roman" w:hAnsi="Arial" w:cs="Arial"/>
                <w:b/>
                <w:bCs/>
                <w:color w:val="000000"/>
                <w:sz w:val="20"/>
                <w:szCs w:val="20"/>
                <w:lang w:eastAsia="en-GB"/>
              </w:rPr>
            </w:pPr>
            <w:r w:rsidRPr="00447662">
              <w:rPr>
                <w:rFonts w:ascii="Arial" w:eastAsia="Times New Roman" w:hAnsi="Arial" w:cs="Arial"/>
                <w:b/>
                <w:bCs/>
                <w:color w:val="000000"/>
                <w:sz w:val="20"/>
                <w:szCs w:val="20"/>
                <w:lang w:eastAsia="en-GB"/>
              </w:rPr>
              <w:t>Efficiency</w:t>
            </w:r>
          </w:p>
        </w:tc>
        <w:tc>
          <w:tcPr>
            <w:tcW w:w="4420" w:type="dxa"/>
            <w:tcBorders>
              <w:top w:val="nil"/>
              <w:left w:val="nil"/>
              <w:bottom w:val="nil"/>
              <w:right w:val="nil"/>
            </w:tcBorders>
            <w:shd w:val="clear" w:color="auto" w:fill="auto"/>
            <w:noWrap/>
            <w:hideMark/>
          </w:tcPr>
          <w:p w14:paraId="4535B370"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 </w:t>
            </w:r>
          </w:p>
        </w:tc>
        <w:tc>
          <w:tcPr>
            <w:tcW w:w="940" w:type="dxa"/>
            <w:tcBorders>
              <w:top w:val="nil"/>
              <w:left w:val="nil"/>
              <w:bottom w:val="nil"/>
              <w:right w:val="nil"/>
            </w:tcBorders>
            <w:shd w:val="clear" w:color="auto" w:fill="auto"/>
            <w:noWrap/>
            <w:hideMark/>
          </w:tcPr>
          <w:p w14:paraId="3831AF39"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940" w:type="dxa"/>
            <w:tcBorders>
              <w:top w:val="nil"/>
              <w:left w:val="nil"/>
              <w:bottom w:val="nil"/>
              <w:right w:val="single" w:sz="8" w:space="0" w:color="auto"/>
            </w:tcBorders>
            <w:shd w:val="clear" w:color="auto" w:fill="auto"/>
            <w:noWrap/>
            <w:hideMark/>
          </w:tcPr>
          <w:p w14:paraId="651BE7E2"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r>
      <w:tr w:rsidR="00447662" w:rsidRPr="00447662" w14:paraId="747B14A2" w14:textId="77777777" w:rsidTr="00447662">
        <w:trPr>
          <w:trHeight w:val="300"/>
        </w:trPr>
        <w:tc>
          <w:tcPr>
            <w:tcW w:w="2860" w:type="dxa"/>
            <w:tcBorders>
              <w:top w:val="nil"/>
              <w:left w:val="single" w:sz="8" w:space="0" w:color="auto"/>
              <w:bottom w:val="nil"/>
              <w:right w:val="nil"/>
            </w:tcBorders>
            <w:shd w:val="clear" w:color="auto" w:fill="auto"/>
            <w:noWrap/>
            <w:hideMark/>
          </w:tcPr>
          <w:p w14:paraId="4483D2A6"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Receivable days</w:t>
            </w:r>
          </w:p>
        </w:tc>
        <w:tc>
          <w:tcPr>
            <w:tcW w:w="4420" w:type="dxa"/>
            <w:tcBorders>
              <w:top w:val="nil"/>
              <w:left w:val="nil"/>
              <w:bottom w:val="nil"/>
              <w:right w:val="nil"/>
            </w:tcBorders>
            <w:shd w:val="clear" w:color="auto" w:fill="auto"/>
            <w:noWrap/>
            <w:hideMark/>
          </w:tcPr>
          <w:p w14:paraId="1034F6F6"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(Trade debtors/revenues)*365</w:t>
            </w:r>
          </w:p>
        </w:tc>
        <w:tc>
          <w:tcPr>
            <w:tcW w:w="940" w:type="dxa"/>
            <w:tcBorders>
              <w:top w:val="nil"/>
              <w:left w:val="nil"/>
              <w:bottom w:val="nil"/>
              <w:right w:val="nil"/>
            </w:tcBorders>
            <w:shd w:val="clear" w:color="auto" w:fill="auto"/>
            <w:noWrap/>
            <w:vAlign w:val="bottom"/>
            <w:hideMark/>
          </w:tcPr>
          <w:p w14:paraId="5AF2E7E0"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63.97</w:t>
            </w:r>
          </w:p>
        </w:tc>
        <w:tc>
          <w:tcPr>
            <w:tcW w:w="940" w:type="dxa"/>
            <w:tcBorders>
              <w:top w:val="nil"/>
              <w:left w:val="nil"/>
              <w:bottom w:val="nil"/>
              <w:right w:val="single" w:sz="8" w:space="0" w:color="auto"/>
            </w:tcBorders>
            <w:shd w:val="clear" w:color="auto" w:fill="auto"/>
            <w:noWrap/>
            <w:vAlign w:val="bottom"/>
            <w:hideMark/>
          </w:tcPr>
          <w:p w14:paraId="33B6522B"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95.09</w:t>
            </w:r>
          </w:p>
        </w:tc>
      </w:tr>
      <w:tr w:rsidR="00447662" w:rsidRPr="00447662" w14:paraId="0A2CEB7B" w14:textId="77777777" w:rsidTr="00447662">
        <w:trPr>
          <w:trHeight w:val="315"/>
        </w:trPr>
        <w:tc>
          <w:tcPr>
            <w:tcW w:w="2860" w:type="dxa"/>
            <w:tcBorders>
              <w:top w:val="nil"/>
              <w:left w:val="single" w:sz="8" w:space="0" w:color="auto"/>
              <w:bottom w:val="nil"/>
              <w:right w:val="nil"/>
            </w:tcBorders>
            <w:shd w:val="clear" w:color="auto" w:fill="auto"/>
            <w:noWrap/>
            <w:hideMark/>
          </w:tcPr>
          <w:p w14:paraId="30D382F6"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Payable days</w:t>
            </w:r>
          </w:p>
        </w:tc>
        <w:tc>
          <w:tcPr>
            <w:tcW w:w="4420" w:type="dxa"/>
            <w:tcBorders>
              <w:top w:val="nil"/>
              <w:left w:val="nil"/>
              <w:bottom w:val="nil"/>
              <w:right w:val="nil"/>
            </w:tcBorders>
            <w:shd w:val="clear" w:color="auto" w:fill="auto"/>
            <w:noWrap/>
            <w:hideMark/>
          </w:tcPr>
          <w:p w14:paraId="3D53F7CD"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(Average a/c payable/COGS)*365</w:t>
            </w:r>
          </w:p>
        </w:tc>
        <w:tc>
          <w:tcPr>
            <w:tcW w:w="940" w:type="dxa"/>
            <w:tcBorders>
              <w:top w:val="nil"/>
              <w:left w:val="nil"/>
              <w:bottom w:val="nil"/>
              <w:right w:val="nil"/>
            </w:tcBorders>
            <w:shd w:val="clear" w:color="auto" w:fill="auto"/>
            <w:noWrap/>
            <w:vAlign w:val="bottom"/>
            <w:hideMark/>
          </w:tcPr>
          <w:p w14:paraId="5956448B" w14:textId="77777777" w:rsidR="00447662" w:rsidRPr="00447662" w:rsidRDefault="00447662" w:rsidP="00447662">
            <w:pPr>
              <w:spacing w:after="0" w:line="240" w:lineRule="auto"/>
              <w:rPr>
                <w:rFonts w:ascii="Calibri" w:eastAsia="Times New Roman" w:hAnsi="Calibri" w:cs="Calibri"/>
                <w:color w:val="000000"/>
                <w:lang w:eastAsia="en-GB"/>
              </w:rPr>
            </w:pPr>
          </w:p>
        </w:tc>
        <w:tc>
          <w:tcPr>
            <w:tcW w:w="940" w:type="dxa"/>
            <w:tcBorders>
              <w:top w:val="nil"/>
              <w:left w:val="nil"/>
              <w:bottom w:val="nil"/>
              <w:right w:val="single" w:sz="8" w:space="0" w:color="auto"/>
            </w:tcBorders>
            <w:shd w:val="clear" w:color="auto" w:fill="auto"/>
            <w:noWrap/>
            <w:vAlign w:val="bottom"/>
            <w:hideMark/>
          </w:tcPr>
          <w:p w14:paraId="5D9076DD" w14:textId="77777777" w:rsidR="00447662" w:rsidRPr="00447662" w:rsidRDefault="00447662" w:rsidP="00447662">
            <w:pPr>
              <w:spacing w:after="0" w:line="240" w:lineRule="auto"/>
              <w:rPr>
                <w:rFonts w:ascii="Calibri" w:eastAsia="Times New Roman" w:hAnsi="Calibri" w:cs="Calibri"/>
                <w:color w:val="000000"/>
                <w:lang w:eastAsia="en-GB"/>
              </w:rPr>
            </w:pPr>
            <w:r w:rsidRPr="00447662">
              <w:rPr>
                <w:rFonts w:ascii="Calibri" w:eastAsia="Times New Roman" w:hAnsi="Calibri" w:cs="Calibri"/>
                <w:color w:val="000000"/>
                <w:lang w:eastAsia="en-GB"/>
              </w:rPr>
              <w:t> </w:t>
            </w:r>
          </w:p>
        </w:tc>
      </w:tr>
      <w:tr w:rsidR="00447662" w:rsidRPr="00447662" w14:paraId="79B62CF6" w14:textId="77777777" w:rsidTr="00447662">
        <w:trPr>
          <w:trHeight w:val="300"/>
        </w:trPr>
        <w:tc>
          <w:tcPr>
            <w:tcW w:w="2860" w:type="dxa"/>
            <w:tcBorders>
              <w:top w:val="single" w:sz="8" w:space="0" w:color="auto"/>
              <w:left w:val="single" w:sz="8" w:space="0" w:color="auto"/>
              <w:bottom w:val="nil"/>
              <w:right w:val="nil"/>
            </w:tcBorders>
            <w:shd w:val="clear" w:color="auto" w:fill="auto"/>
            <w:noWrap/>
            <w:hideMark/>
          </w:tcPr>
          <w:p w14:paraId="78529670" w14:textId="77777777" w:rsidR="00447662" w:rsidRPr="00447662" w:rsidRDefault="00447662" w:rsidP="00447662">
            <w:pPr>
              <w:spacing w:after="0" w:line="240" w:lineRule="auto"/>
              <w:rPr>
                <w:rFonts w:ascii="Arial" w:eastAsia="Times New Roman" w:hAnsi="Arial" w:cs="Arial"/>
                <w:b/>
                <w:bCs/>
                <w:color w:val="000000"/>
                <w:sz w:val="20"/>
                <w:szCs w:val="20"/>
                <w:lang w:eastAsia="en-GB"/>
              </w:rPr>
            </w:pPr>
            <w:r w:rsidRPr="00447662">
              <w:rPr>
                <w:rFonts w:ascii="Arial" w:eastAsia="Times New Roman" w:hAnsi="Arial" w:cs="Arial"/>
                <w:b/>
                <w:bCs/>
                <w:color w:val="000000"/>
                <w:sz w:val="20"/>
                <w:szCs w:val="20"/>
                <w:lang w:eastAsia="en-GB"/>
              </w:rPr>
              <w:t>Liquidity</w:t>
            </w:r>
          </w:p>
        </w:tc>
        <w:tc>
          <w:tcPr>
            <w:tcW w:w="4420" w:type="dxa"/>
            <w:tcBorders>
              <w:top w:val="single" w:sz="8" w:space="0" w:color="auto"/>
              <w:left w:val="nil"/>
              <w:bottom w:val="nil"/>
              <w:right w:val="nil"/>
            </w:tcBorders>
            <w:shd w:val="clear" w:color="auto" w:fill="auto"/>
            <w:noWrap/>
            <w:hideMark/>
          </w:tcPr>
          <w:p w14:paraId="13622ED7"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 </w:t>
            </w:r>
          </w:p>
        </w:tc>
        <w:tc>
          <w:tcPr>
            <w:tcW w:w="940" w:type="dxa"/>
            <w:tcBorders>
              <w:top w:val="single" w:sz="8" w:space="0" w:color="auto"/>
              <w:left w:val="nil"/>
              <w:bottom w:val="nil"/>
              <w:right w:val="nil"/>
            </w:tcBorders>
            <w:shd w:val="clear" w:color="auto" w:fill="auto"/>
            <w:noWrap/>
            <w:hideMark/>
          </w:tcPr>
          <w:p w14:paraId="38ABB404"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940" w:type="dxa"/>
            <w:tcBorders>
              <w:top w:val="single" w:sz="8" w:space="0" w:color="auto"/>
              <w:left w:val="nil"/>
              <w:bottom w:val="nil"/>
              <w:right w:val="single" w:sz="8" w:space="0" w:color="auto"/>
            </w:tcBorders>
            <w:shd w:val="clear" w:color="auto" w:fill="auto"/>
            <w:noWrap/>
            <w:hideMark/>
          </w:tcPr>
          <w:p w14:paraId="2E25C2FD"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r>
      <w:tr w:rsidR="00447662" w:rsidRPr="00447662" w14:paraId="3F7194B6" w14:textId="77777777" w:rsidTr="00447662">
        <w:trPr>
          <w:trHeight w:val="289"/>
        </w:trPr>
        <w:tc>
          <w:tcPr>
            <w:tcW w:w="2860" w:type="dxa"/>
            <w:tcBorders>
              <w:top w:val="nil"/>
              <w:left w:val="single" w:sz="8" w:space="0" w:color="auto"/>
              <w:bottom w:val="nil"/>
              <w:right w:val="nil"/>
            </w:tcBorders>
            <w:shd w:val="clear" w:color="auto" w:fill="auto"/>
            <w:noWrap/>
            <w:hideMark/>
          </w:tcPr>
          <w:p w14:paraId="5CE7DD64"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Current Ratio</w:t>
            </w:r>
          </w:p>
        </w:tc>
        <w:tc>
          <w:tcPr>
            <w:tcW w:w="4420" w:type="dxa"/>
            <w:tcBorders>
              <w:top w:val="nil"/>
              <w:left w:val="nil"/>
              <w:bottom w:val="nil"/>
              <w:right w:val="nil"/>
            </w:tcBorders>
            <w:shd w:val="clear" w:color="auto" w:fill="auto"/>
            <w:noWrap/>
            <w:hideMark/>
          </w:tcPr>
          <w:p w14:paraId="4625211D"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Current Assets / Current Liabilities</w:t>
            </w:r>
          </w:p>
        </w:tc>
        <w:tc>
          <w:tcPr>
            <w:tcW w:w="940" w:type="dxa"/>
            <w:tcBorders>
              <w:top w:val="nil"/>
              <w:left w:val="nil"/>
              <w:bottom w:val="nil"/>
              <w:right w:val="nil"/>
            </w:tcBorders>
            <w:shd w:val="clear" w:color="auto" w:fill="auto"/>
            <w:noWrap/>
            <w:vAlign w:val="bottom"/>
            <w:hideMark/>
          </w:tcPr>
          <w:p w14:paraId="197442EF"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-0.40</w:t>
            </w:r>
          </w:p>
        </w:tc>
        <w:tc>
          <w:tcPr>
            <w:tcW w:w="940" w:type="dxa"/>
            <w:tcBorders>
              <w:top w:val="nil"/>
              <w:left w:val="nil"/>
              <w:bottom w:val="nil"/>
              <w:right w:val="single" w:sz="8" w:space="0" w:color="auto"/>
            </w:tcBorders>
            <w:shd w:val="clear" w:color="auto" w:fill="auto"/>
            <w:noWrap/>
            <w:vAlign w:val="bottom"/>
            <w:hideMark/>
          </w:tcPr>
          <w:p w14:paraId="1C3885CC"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-0.90</w:t>
            </w:r>
          </w:p>
        </w:tc>
      </w:tr>
      <w:tr w:rsidR="00447662" w:rsidRPr="00447662" w14:paraId="6211FD36" w14:textId="77777777" w:rsidTr="00447662">
        <w:trPr>
          <w:trHeight w:val="289"/>
        </w:trPr>
        <w:tc>
          <w:tcPr>
            <w:tcW w:w="2860" w:type="dxa"/>
            <w:tcBorders>
              <w:top w:val="nil"/>
              <w:left w:val="single" w:sz="8" w:space="0" w:color="auto"/>
              <w:bottom w:val="nil"/>
              <w:right w:val="nil"/>
            </w:tcBorders>
            <w:shd w:val="clear" w:color="auto" w:fill="auto"/>
            <w:noWrap/>
            <w:hideMark/>
          </w:tcPr>
          <w:p w14:paraId="0362ED67"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Quick Ratio</w:t>
            </w:r>
          </w:p>
        </w:tc>
        <w:tc>
          <w:tcPr>
            <w:tcW w:w="4420" w:type="dxa"/>
            <w:tcBorders>
              <w:top w:val="nil"/>
              <w:left w:val="nil"/>
              <w:bottom w:val="nil"/>
              <w:right w:val="nil"/>
            </w:tcBorders>
            <w:shd w:val="clear" w:color="auto" w:fill="auto"/>
            <w:noWrap/>
            <w:hideMark/>
          </w:tcPr>
          <w:p w14:paraId="053A2F62"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(Cash Assets + Receivables) / Current Liabilities</w:t>
            </w:r>
          </w:p>
        </w:tc>
        <w:tc>
          <w:tcPr>
            <w:tcW w:w="940" w:type="dxa"/>
            <w:tcBorders>
              <w:top w:val="nil"/>
              <w:left w:val="nil"/>
              <w:bottom w:val="nil"/>
              <w:right w:val="nil"/>
            </w:tcBorders>
            <w:shd w:val="clear" w:color="auto" w:fill="auto"/>
            <w:noWrap/>
            <w:vAlign w:val="bottom"/>
            <w:hideMark/>
          </w:tcPr>
          <w:p w14:paraId="24388776"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-0.31</w:t>
            </w:r>
          </w:p>
        </w:tc>
        <w:tc>
          <w:tcPr>
            <w:tcW w:w="940" w:type="dxa"/>
            <w:tcBorders>
              <w:top w:val="nil"/>
              <w:left w:val="nil"/>
              <w:bottom w:val="nil"/>
              <w:right w:val="single" w:sz="8" w:space="0" w:color="auto"/>
            </w:tcBorders>
            <w:shd w:val="clear" w:color="auto" w:fill="auto"/>
            <w:noWrap/>
            <w:vAlign w:val="bottom"/>
            <w:hideMark/>
          </w:tcPr>
          <w:p w14:paraId="27B190F0"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-0.73</w:t>
            </w:r>
          </w:p>
        </w:tc>
      </w:tr>
      <w:tr w:rsidR="00447662" w:rsidRPr="00447662" w14:paraId="0336BF36" w14:textId="77777777" w:rsidTr="00447662">
        <w:trPr>
          <w:trHeight w:val="319"/>
        </w:trPr>
        <w:tc>
          <w:tcPr>
            <w:tcW w:w="2860" w:type="dxa"/>
            <w:tcBorders>
              <w:top w:val="nil"/>
              <w:left w:val="single" w:sz="8" w:space="0" w:color="auto"/>
              <w:bottom w:val="single" w:sz="8" w:space="0" w:color="auto"/>
              <w:right w:val="nil"/>
            </w:tcBorders>
            <w:shd w:val="clear" w:color="auto" w:fill="auto"/>
            <w:noWrap/>
            <w:hideMark/>
          </w:tcPr>
          <w:p w14:paraId="672BD908" w14:textId="77777777" w:rsidR="00447662" w:rsidRPr="00447662" w:rsidRDefault="00447662" w:rsidP="00447662">
            <w:pPr>
              <w:spacing w:after="0" w:line="240" w:lineRule="auto"/>
              <w:rPr>
                <w:rFonts w:ascii="Arial" w:eastAsia="Times New Roman" w:hAnsi="Arial" w:cs="Arial"/>
                <w:color w:val="FF0000"/>
                <w:sz w:val="24"/>
                <w:szCs w:val="24"/>
                <w:lang w:eastAsia="en-GB"/>
              </w:rPr>
            </w:pPr>
            <w:r w:rsidRPr="00447662">
              <w:rPr>
                <w:rFonts w:ascii="Arial" w:eastAsia="Times New Roman" w:hAnsi="Arial" w:cs="Arial"/>
                <w:color w:val="FF0000"/>
                <w:sz w:val="24"/>
                <w:szCs w:val="24"/>
                <w:lang w:eastAsia="en-GB"/>
              </w:rPr>
              <w:t> </w:t>
            </w:r>
          </w:p>
        </w:tc>
        <w:tc>
          <w:tcPr>
            <w:tcW w:w="4420" w:type="dxa"/>
            <w:tcBorders>
              <w:top w:val="nil"/>
              <w:left w:val="nil"/>
              <w:bottom w:val="single" w:sz="8" w:space="0" w:color="auto"/>
              <w:right w:val="nil"/>
            </w:tcBorders>
            <w:shd w:val="clear" w:color="auto" w:fill="auto"/>
            <w:noWrap/>
            <w:hideMark/>
          </w:tcPr>
          <w:p w14:paraId="1831EEA3" w14:textId="77777777" w:rsidR="00447662" w:rsidRPr="00447662" w:rsidRDefault="00447662" w:rsidP="00447662">
            <w:pPr>
              <w:spacing w:after="0" w:line="240" w:lineRule="auto"/>
              <w:rPr>
                <w:rFonts w:ascii="Arial" w:eastAsia="Times New Roman" w:hAnsi="Arial" w:cs="Arial"/>
                <w:color w:val="FF0000"/>
                <w:sz w:val="24"/>
                <w:szCs w:val="24"/>
                <w:lang w:eastAsia="en-GB"/>
              </w:rPr>
            </w:pPr>
            <w:r w:rsidRPr="00447662">
              <w:rPr>
                <w:rFonts w:ascii="Arial" w:eastAsia="Times New Roman" w:hAnsi="Arial" w:cs="Arial"/>
                <w:color w:val="FF0000"/>
                <w:sz w:val="24"/>
                <w:szCs w:val="24"/>
                <w:lang w:eastAsia="en-GB"/>
              </w:rPr>
              <w:t> </w:t>
            </w:r>
          </w:p>
        </w:tc>
        <w:tc>
          <w:tcPr>
            <w:tcW w:w="940" w:type="dxa"/>
            <w:tcBorders>
              <w:top w:val="nil"/>
              <w:left w:val="nil"/>
              <w:bottom w:val="single" w:sz="8" w:space="0" w:color="auto"/>
              <w:right w:val="nil"/>
            </w:tcBorders>
            <w:shd w:val="clear" w:color="auto" w:fill="auto"/>
            <w:noWrap/>
            <w:hideMark/>
          </w:tcPr>
          <w:p w14:paraId="4E9C97D0"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940" w:type="dxa"/>
            <w:tcBorders>
              <w:top w:val="nil"/>
              <w:left w:val="nil"/>
              <w:bottom w:val="single" w:sz="8" w:space="0" w:color="auto"/>
              <w:right w:val="single" w:sz="8" w:space="0" w:color="auto"/>
            </w:tcBorders>
            <w:shd w:val="clear" w:color="auto" w:fill="auto"/>
            <w:noWrap/>
            <w:hideMark/>
          </w:tcPr>
          <w:p w14:paraId="6878F408"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r>
      <w:tr w:rsidR="00447662" w:rsidRPr="00447662" w14:paraId="75254734" w14:textId="77777777" w:rsidTr="00447662">
        <w:trPr>
          <w:trHeight w:val="312"/>
        </w:trPr>
        <w:tc>
          <w:tcPr>
            <w:tcW w:w="2860" w:type="dxa"/>
            <w:tcBorders>
              <w:top w:val="nil"/>
              <w:left w:val="single" w:sz="8" w:space="0" w:color="auto"/>
              <w:bottom w:val="nil"/>
              <w:right w:val="nil"/>
            </w:tcBorders>
            <w:shd w:val="clear" w:color="auto" w:fill="auto"/>
            <w:noWrap/>
            <w:hideMark/>
          </w:tcPr>
          <w:p w14:paraId="66522819" w14:textId="77777777" w:rsidR="00447662" w:rsidRPr="00447662" w:rsidRDefault="00447662" w:rsidP="00447662">
            <w:pPr>
              <w:spacing w:after="0" w:line="240" w:lineRule="auto"/>
              <w:rPr>
                <w:rFonts w:ascii="Arial" w:eastAsia="Times New Roman" w:hAnsi="Arial" w:cs="Arial"/>
                <w:b/>
                <w:bCs/>
                <w:color w:val="000000"/>
                <w:sz w:val="20"/>
                <w:szCs w:val="20"/>
                <w:lang w:eastAsia="en-GB"/>
              </w:rPr>
            </w:pPr>
            <w:r w:rsidRPr="00447662">
              <w:rPr>
                <w:rFonts w:ascii="Arial" w:eastAsia="Times New Roman" w:hAnsi="Arial" w:cs="Arial"/>
                <w:b/>
                <w:bCs/>
                <w:color w:val="000000"/>
                <w:sz w:val="20"/>
                <w:szCs w:val="20"/>
                <w:lang w:eastAsia="en-GB"/>
              </w:rPr>
              <w:t>Solvency</w:t>
            </w:r>
          </w:p>
        </w:tc>
        <w:tc>
          <w:tcPr>
            <w:tcW w:w="4420" w:type="dxa"/>
            <w:tcBorders>
              <w:top w:val="nil"/>
              <w:left w:val="nil"/>
              <w:bottom w:val="nil"/>
              <w:right w:val="nil"/>
            </w:tcBorders>
            <w:shd w:val="clear" w:color="auto" w:fill="auto"/>
            <w:noWrap/>
            <w:hideMark/>
          </w:tcPr>
          <w:p w14:paraId="78D92ABC"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 </w:t>
            </w:r>
          </w:p>
        </w:tc>
        <w:tc>
          <w:tcPr>
            <w:tcW w:w="940" w:type="dxa"/>
            <w:tcBorders>
              <w:top w:val="nil"/>
              <w:left w:val="nil"/>
              <w:bottom w:val="nil"/>
              <w:right w:val="nil"/>
            </w:tcBorders>
            <w:shd w:val="clear" w:color="auto" w:fill="auto"/>
            <w:noWrap/>
            <w:hideMark/>
          </w:tcPr>
          <w:p w14:paraId="3E497578"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c>
          <w:tcPr>
            <w:tcW w:w="940" w:type="dxa"/>
            <w:tcBorders>
              <w:top w:val="nil"/>
              <w:left w:val="nil"/>
              <w:bottom w:val="nil"/>
              <w:right w:val="single" w:sz="8" w:space="0" w:color="auto"/>
            </w:tcBorders>
            <w:shd w:val="clear" w:color="auto" w:fill="auto"/>
            <w:noWrap/>
            <w:hideMark/>
          </w:tcPr>
          <w:p w14:paraId="232C4A26" w14:textId="77777777" w:rsidR="00447662" w:rsidRPr="00447662" w:rsidRDefault="00447662" w:rsidP="00447662">
            <w:pPr>
              <w:spacing w:after="0" w:line="240" w:lineRule="auto"/>
              <w:rPr>
                <w:rFonts w:ascii="Arial" w:eastAsia="Times New Roman" w:hAnsi="Arial" w:cs="Arial"/>
                <w:color w:val="000000"/>
                <w:sz w:val="24"/>
                <w:szCs w:val="24"/>
                <w:lang w:eastAsia="en-GB"/>
              </w:rPr>
            </w:pPr>
            <w:r w:rsidRPr="00447662">
              <w:rPr>
                <w:rFonts w:ascii="Arial" w:eastAsia="Times New Roman" w:hAnsi="Arial" w:cs="Arial"/>
                <w:color w:val="000000"/>
                <w:sz w:val="24"/>
                <w:szCs w:val="24"/>
                <w:lang w:eastAsia="en-GB"/>
              </w:rPr>
              <w:t> </w:t>
            </w:r>
          </w:p>
        </w:tc>
      </w:tr>
      <w:tr w:rsidR="00447662" w:rsidRPr="00447662" w14:paraId="270DDFF6" w14:textId="77777777" w:rsidTr="00447662">
        <w:trPr>
          <w:trHeight w:val="289"/>
        </w:trPr>
        <w:tc>
          <w:tcPr>
            <w:tcW w:w="2860" w:type="dxa"/>
            <w:tcBorders>
              <w:top w:val="nil"/>
              <w:left w:val="single" w:sz="8" w:space="0" w:color="auto"/>
              <w:bottom w:val="nil"/>
              <w:right w:val="nil"/>
            </w:tcBorders>
            <w:shd w:val="clear" w:color="auto" w:fill="auto"/>
            <w:noWrap/>
            <w:hideMark/>
          </w:tcPr>
          <w:p w14:paraId="322986F5"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Debt Ratio</w:t>
            </w:r>
          </w:p>
        </w:tc>
        <w:tc>
          <w:tcPr>
            <w:tcW w:w="4420" w:type="dxa"/>
            <w:tcBorders>
              <w:top w:val="nil"/>
              <w:left w:val="nil"/>
              <w:bottom w:val="nil"/>
              <w:right w:val="nil"/>
            </w:tcBorders>
            <w:shd w:val="clear" w:color="auto" w:fill="auto"/>
            <w:noWrap/>
            <w:hideMark/>
          </w:tcPr>
          <w:p w14:paraId="7E2B4296"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Total Liabilities / Total Assets</w:t>
            </w:r>
          </w:p>
        </w:tc>
        <w:tc>
          <w:tcPr>
            <w:tcW w:w="940" w:type="dxa"/>
            <w:tcBorders>
              <w:top w:val="nil"/>
              <w:left w:val="nil"/>
              <w:bottom w:val="nil"/>
              <w:right w:val="nil"/>
            </w:tcBorders>
            <w:shd w:val="clear" w:color="auto" w:fill="auto"/>
            <w:noWrap/>
            <w:vAlign w:val="bottom"/>
            <w:hideMark/>
          </w:tcPr>
          <w:p w14:paraId="5CA66FAC"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-69.82%</w:t>
            </w:r>
          </w:p>
        </w:tc>
        <w:tc>
          <w:tcPr>
            <w:tcW w:w="940" w:type="dxa"/>
            <w:tcBorders>
              <w:top w:val="nil"/>
              <w:left w:val="nil"/>
              <w:bottom w:val="nil"/>
              <w:right w:val="single" w:sz="8" w:space="0" w:color="auto"/>
            </w:tcBorders>
            <w:shd w:val="clear" w:color="auto" w:fill="auto"/>
            <w:noWrap/>
            <w:vAlign w:val="bottom"/>
            <w:hideMark/>
          </w:tcPr>
          <w:p w14:paraId="78170AFF"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-63.15%</w:t>
            </w:r>
          </w:p>
        </w:tc>
      </w:tr>
      <w:tr w:rsidR="00447662" w:rsidRPr="00447662" w14:paraId="07806C2A" w14:textId="77777777" w:rsidTr="00447662">
        <w:trPr>
          <w:trHeight w:val="289"/>
        </w:trPr>
        <w:tc>
          <w:tcPr>
            <w:tcW w:w="2860" w:type="dxa"/>
            <w:tcBorders>
              <w:top w:val="nil"/>
              <w:left w:val="single" w:sz="8" w:space="0" w:color="auto"/>
              <w:bottom w:val="nil"/>
              <w:right w:val="nil"/>
            </w:tcBorders>
            <w:shd w:val="clear" w:color="auto" w:fill="auto"/>
            <w:noWrap/>
            <w:hideMark/>
          </w:tcPr>
          <w:p w14:paraId="5A55957D"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Debt to Equity</w:t>
            </w:r>
          </w:p>
        </w:tc>
        <w:tc>
          <w:tcPr>
            <w:tcW w:w="4420" w:type="dxa"/>
            <w:tcBorders>
              <w:top w:val="nil"/>
              <w:left w:val="nil"/>
              <w:bottom w:val="nil"/>
              <w:right w:val="nil"/>
            </w:tcBorders>
            <w:shd w:val="clear" w:color="auto" w:fill="auto"/>
            <w:noWrap/>
            <w:hideMark/>
          </w:tcPr>
          <w:p w14:paraId="2054D44C"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Total Liabilities / Total Equity</w:t>
            </w:r>
          </w:p>
        </w:tc>
        <w:tc>
          <w:tcPr>
            <w:tcW w:w="940" w:type="dxa"/>
            <w:tcBorders>
              <w:top w:val="nil"/>
              <w:left w:val="nil"/>
              <w:bottom w:val="nil"/>
              <w:right w:val="nil"/>
            </w:tcBorders>
            <w:shd w:val="clear" w:color="auto" w:fill="auto"/>
            <w:noWrap/>
            <w:vAlign w:val="bottom"/>
            <w:hideMark/>
          </w:tcPr>
          <w:p w14:paraId="7161330F"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-231.38%</w:t>
            </w:r>
          </w:p>
        </w:tc>
        <w:tc>
          <w:tcPr>
            <w:tcW w:w="940" w:type="dxa"/>
            <w:tcBorders>
              <w:top w:val="nil"/>
              <w:left w:val="nil"/>
              <w:bottom w:val="nil"/>
              <w:right w:val="single" w:sz="8" w:space="0" w:color="auto"/>
            </w:tcBorders>
            <w:shd w:val="clear" w:color="auto" w:fill="auto"/>
            <w:noWrap/>
            <w:vAlign w:val="bottom"/>
            <w:hideMark/>
          </w:tcPr>
          <w:p w14:paraId="38F0C348"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-171.37%</w:t>
            </w:r>
          </w:p>
        </w:tc>
      </w:tr>
      <w:tr w:rsidR="00447662" w:rsidRPr="00447662" w14:paraId="02DB579C" w14:textId="77777777" w:rsidTr="00447662">
        <w:trPr>
          <w:trHeight w:val="300"/>
        </w:trPr>
        <w:tc>
          <w:tcPr>
            <w:tcW w:w="2860" w:type="dxa"/>
            <w:tcBorders>
              <w:top w:val="nil"/>
              <w:left w:val="single" w:sz="8" w:space="0" w:color="auto"/>
              <w:bottom w:val="single" w:sz="8" w:space="0" w:color="auto"/>
              <w:right w:val="nil"/>
            </w:tcBorders>
            <w:shd w:val="clear" w:color="auto" w:fill="auto"/>
            <w:noWrap/>
            <w:hideMark/>
          </w:tcPr>
          <w:p w14:paraId="64C233EA"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Interest Coverage</w:t>
            </w:r>
          </w:p>
        </w:tc>
        <w:tc>
          <w:tcPr>
            <w:tcW w:w="4420" w:type="dxa"/>
            <w:tcBorders>
              <w:top w:val="nil"/>
              <w:left w:val="nil"/>
              <w:bottom w:val="single" w:sz="8" w:space="0" w:color="auto"/>
              <w:right w:val="nil"/>
            </w:tcBorders>
            <w:shd w:val="clear" w:color="auto" w:fill="auto"/>
            <w:noWrap/>
            <w:hideMark/>
          </w:tcPr>
          <w:p w14:paraId="094E7BBE" w14:textId="77777777" w:rsidR="00447662" w:rsidRPr="00447662" w:rsidRDefault="00447662" w:rsidP="00447662">
            <w:pPr>
              <w:spacing w:after="0" w:line="240" w:lineRule="auto"/>
              <w:rPr>
                <w:rFonts w:ascii="Arial" w:eastAsia="Times New Roman" w:hAnsi="Arial" w:cs="Arial"/>
                <w:color w:val="000000"/>
                <w:sz w:val="20"/>
                <w:szCs w:val="20"/>
                <w:lang w:eastAsia="en-GB"/>
              </w:rPr>
            </w:pPr>
            <w:r w:rsidRPr="00447662">
              <w:rPr>
                <w:rFonts w:ascii="Arial" w:eastAsia="Times New Roman" w:hAnsi="Arial" w:cs="Arial"/>
                <w:color w:val="000000"/>
                <w:sz w:val="20"/>
                <w:szCs w:val="20"/>
                <w:lang w:eastAsia="en-GB"/>
              </w:rPr>
              <w:t>EBIT / Finance Costs</w:t>
            </w:r>
          </w:p>
        </w:tc>
        <w:tc>
          <w:tcPr>
            <w:tcW w:w="940" w:type="dxa"/>
            <w:tcBorders>
              <w:top w:val="nil"/>
              <w:left w:val="nil"/>
              <w:bottom w:val="single" w:sz="8" w:space="0" w:color="auto"/>
              <w:right w:val="nil"/>
            </w:tcBorders>
            <w:shd w:val="clear" w:color="auto" w:fill="auto"/>
            <w:noWrap/>
            <w:vAlign w:val="bottom"/>
            <w:hideMark/>
          </w:tcPr>
          <w:p w14:paraId="22EDD26F"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319.71%</w:t>
            </w:r>
          </w:p>
        </w:tc>
        <w:tc>
          <w:tcPr>
            <w:tcW w:w="940" w:type="dxa"/>
            <w:tcBorders>
              <w:top w:val="nil"/>
              <w:left w:val="nil"/>
              <w:bottom w:val="single" w:sz="8" w:space="0" w:color="auto"/>
              <w:right w:val="single" w:sz="8" w:space="0" w:color="auto"/>
            </w:tcBorders>
            <w:shd w:val="clear" w:color="auto" w:fill="auto"/>
            <w:noWrap/>
            <w:vAlign w:val="bottom"/>
            <w:hideMark/>
          </w:tcPr>
          <w:p w14:paraId="18AEBED3" w14:textId="77777777" w:rsidR="00447662" w:rsidRPr="00447662" w:rsidRDefault="00447662" w:rsidP="00447662">
            <w:pPr>
              <w:spacing w:after="0" w:line="240" w:lineRule="auto"/>
              <w:jc w:val="right"/>
              <w:rPr>
                <w:rFonts w:ascii="Calibri" w:eastAsia="Times New Roman" w:hAnsi="Calibri" w:cs="Calibri"/>
                <w:color w:val="000000"/>
                <w:lang w:eastAsia="en-GB"/>
              </w:rPr>
            </w:pPr>
            <w:r w:rsidRPr="00447662">
              <w:rPr>
                <w:rFonts w:ascii="Calibri" w:eastAsia="Times New Roman" w:hAnsi="Calibri" w:cs="Calibri"/>
                <w:color w:val="000000"/>
                <w:lang w:eastAsia="en-GB"/>
              </w:rPr>
              <w:t>396.61%</w:t>
            </w:r>
          </w:p>
        </w:tc>
      </w:tr>
    </w:tbl>
    <w:p w14:paraId="6A7C8C58" w14:textId="77777777" w:rsidR="00447662" w:rsidRPr="00447662" w:rsidRDefault="00447662" w:rsidP="00CB08D8">
      <w:pPr>
        <w:spacing w:line="480" w:lineRule="auto"/>
        <w:rPr>
          <w:rFonts w:ascii="Times New Roman" w:hAnsi="Times New Roman" w:cs="Times New Roman"/>
          <w:b/>
          <w:sz w:val="24"/>
          <w:szCs w:val="24"/>
        </w:rPr>
      </w:pPr>
      <w:bookmarkStart w:id="24" w:name="_GoBack"/>
      <w:bookmarkEnd w:id="24"/>
    </w:p>
    <w:sectPr w:rsidR="00447662" w:rsidRPr="00447662">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E29F8" w14:textId="77777777" w:rsidR="008F06F4" w:rsidRDefault="008F06F4">
      <w:pPr>
        <w:spacing w:after="0" w:line="240" w:lineRule="auto"/>
      </w:pPr>
      <w:r>
        <w:separator/>
      </w:r>
    </w:p>
  </w:endnote>
  <w:endnote w:type="continuationSeparator" w:id="0">
    <w:p w14:paraId="13ED0BB8" w14:textId="77777777" w:rsidR="008F06F4" w:rsidRDefault="008F0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90AC8" w14:textId="77777777" w:rsidR="008F06F4" w:rsidRDefault="008F06F4">
      <w:pPr>
        <w:spacing w:after="0" w:line="240" w:lineRule="auto"/>
      </w:pPr>
      <w:r>
        <w:separator/>
      </w:r>
    </w:p>
  </w:footnote>
  <w:footnote w:type="continuationSeparator" w:id="0">
    <w:p w14:paraId="24618ADB" w14:textId="77777777" w:rsidR="008F06F4" w:rsidRDefault="008F06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732286"/>
      <w:docPartObj>
        <w:docPartGallery w:val="Page Numbers (Top of Page)"/>
        <w:docPartUnique/>
      </w:docPartObj>
    </w:sdtPr>
    <w:sdtEndPr>
      <w:rPr>
        <w:noProof/>
      </w:rPr>
    </w:sdtEndPr>
    <w:sdtContent>
      <w:p w14:paraId="39A20292" w14:textId="77777777" w:rsidR="00FE5EDE" w:rsidRDefault="00FE5EDE">
        <w:pPr>
          <w:pStyle w:val="Header"/>
          <w:jc w:val="right"/>
        </w:pPr>
        <w:r>
          <w:fldChar w:fldCharType="begin"/>
        </w:r>
        <w:r>
          <w:instrText xml:space="preserve"> PAGE   \* MERGEFORMAT </w:instrText>
        </w:r>
        <w:r>
          <w:fldChar w:fldCharType="separate"/>
        </w:r>
        <w:r w:rsidR="00E41BB6">
          <w:rPr>
            <w:noProof/>
          </w:rPr>
          <w:t>18</w:t>
        </w:r>
        <w:r>
          <w:rPr>
            <w:noProof/>
          </w:rPr>
          <w:fldChar w:fldCharType="end"/>
        </w:r>
      </w:p>
    </w:sdtContent>
  </w:sdt>
  <w:p w14:paraId="17496E83" w14:textId="77777777" w:rsidR="00FE5EDE" w:rsidRDefault="00FE5E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61C4"/>
    <w:multiLevelType w:val="multilevel"/>
    <w:tmpl w:val="E856B0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8C74E6A"/>
    <w:multiLevelType w:val="hybridMultilevel"/>
    <w:tmpl w:val="79E4C4B4"/>
    <w:lvl w:ilvl="0" w:tplc="CA68B6D2">
      <w:start w:val="1"/>
      <w:numFmt w:val="upperRoman"/>
      <w:lvlText w:val="%1."/>
      <w:lvlJc w:val="left"/>
      <w:pPr>
        <w:ind w:left="1080" w:hanging="720"/>
      </w:pPr>
      <w:rPr>
        <w:rFonts w:ascii="Times New Roman" w:eastAsiaTheme="minorHAnsi"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A62642"/>
    <w:multiLevelType w:val="multilevel"/>
    <w:tmpl w:val="B52CD19C"/>
    <w:lvl w:ilvl="0">
      <w:start w:val="4"/>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6C1068"/>
    <w:multiLevelType w:val="multilevel"/>
    <w:tmpl w:val="4336FE7C"/>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B481152"/>
    <w:multiLevelType w:val="hybridMultilevel"/>
    <w:tmpl w:val="36E2D5B2"/>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B008DA"/>
    <w:multiLevelType w:val="multilevel"/>
    <w:tmpl w:val="6E26275A"/>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BFB13EC"/>
    <w:multiLevelType w:val="multilevel"/>
    <w:tmpl w:val="E8106598"/>
    <w:lvl w:ilvl="0">
      <w:start w:val="2"/>
      <w:numFmt w:val="decimal"/>
      <w:lvlText w:val="%1"/>
      <w:lvlJc w:val="left"/>
      <w:pPr>
        <w:ind w:left="420" w:hanging="420"/>
      </w:pPr>
      <w:rPr>
        <w:rFonts w:hint="default"/>
      </w:rPr>
    </w:lvl>
    <w:lvl w:ilvl="1">
      <w:start w:val="10"/>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4"/>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NDG0NDA3MzUwNLMwNzNT0lEKTi0uzszPAykwrgUA3m6w2iwAAAA="/>
  </w:docVars>
  <w:rsids>
    <w:rsidRoot w:val="00743898"/>
    <w:rsid w:val="00031E30"/>
    <w:rsid w:val="000471EF"/>
    <w:rsid w:val="0005730D"/>
    <w:rsid w:val="00081332"/>
    <w:rsid w:val="000855F4"/>
    <w:rsid w:val="00086554"/>
    <w:rsid w:val="000C59F9"/>
    <w:rsid w:val="000D27D0"/>
    <w:rsid w:val="000E4175"/>
    <w:rsid w:val="00113577"/>
    <w:rsid w:val="001557CD"/>
    <w:rsid w:val="001622BC"/>
    <w:rsid w:val="00192C57"/>
    <w:rsid w:val="00197466"/>
    <w:rsid w:val="001A31FF"/>
    <w:rsid w:val="001A43CB"/>
    <w:rsid w:val="001F0B3F"/>
    <w:rsid w:val="001F2C83"/>
    <w:rsid w:val="002067BA"/>
    <w:rsid w:val="00240294"/>
    <w:rsid w:val="00291DCF"/>
    <w:rsid w:val="002B1A53"/>
    <w:rsid w:val="002D5E24"/>
    <w:rsid w:val="00320E14"/>
    <w:rsid w:val="0034752B"/>
    <w:rsid w:val="0035465B"/>
    <w:rsid w:val="003618AF"/>
    <w:rsid w:val="003A4437"/>
    <w:rsid w:val="003E2270"/>
    <w:rsid w:val="00400DC2"/>
    <w:rsid w:val="004011D4"/>
    <w:rsid w:val="00411B4F"/>
    <w:rsid w:val="00412295"/>
    <w:rsid w:val="00426230"/>
    <w:rsid w:val="00430674"/>
    <w:rsid w:val="00447662"/>
    <w:rsid w:val="00450502"/>
    <w:rsid w:val="0045316E"/>
    <w:rsid w:val="0047059C"/>
    <w:rsid w:val="004A0997"/>
    <w:rsid w:val="004F39F1"/>
    <w:rsid w:val="00574EE5"/>
    <w:rsid w:val="00586DD1"/>
    <w:rsid w:val="005907AF"/>
    <w:rsid w:val="005A4E1C"/>
    <w:rsid w:val="005A5075"/>
    <w:rsid w:val="005B1C35"/>
    <w:rsid w:val="005C0E84"/>
    <w:rsid w:val="005E5B38"/>
    <w:rsid w:val="00613AAE"/>
    <w:rsid w:val="00636329"/>
    <w:rsid w:val="00636A66"/>
    <w:rsid w:val="00641E8D"/>
    <w:rsid w:val="0067522F"/>
    <w:rsid w:val="006A1E23"/>
    <w:rsid w:val="006D17EA"/>
    <w:rsid w:val="006D6EB5"/>
    <w:rsid w:val="006E72C6"/>
    <w:rsid w:val="006E7677"/>
    <w:rsid w:val="006F187F"/>
    <w:rsid w:val="00711A31"/>
    <w:rsid w:val="00743898"/>
    <w:rsid w:val="00761539"/>
    <w:rsid w:val="007752BC"/>
    <w:rsid w:val="007855F5"/>
    <w:rsid w:val="007D7BB5"/>
    <w:rsid w:val="007F13B0"/>
    <w:rsid w:val="007F2333"/>
    <w:rsid w:val="008169A4"/>
    <w:rsid w:val="00856790"/>
    <w:rsid w:val="008F06F4"/>
    <w:rsid w:val="008F22FB"/>
    <w:rsid w:val="00942F42"/>
    <w:rsid w:val="0095551F"/>
    <w:rsid w:val="0097450B"/>
    <w:rsid w:val="00997986"/>
    <w:rsid w:val="009E73EB"/>
    <w:rsid w:val="00A1071D"/>
    <w:rsid w:val="00A25E6A"/>
    <w:rsid w:val="00A2719C"/>
    <w:rsid w:val="00A35CE9"/>
    <w:rsid w:val="00A471F1"/>
    <w:rsid w:val="00A57C3A"/>
    <w:rsid w:val="00A60408"/>
    <w:rsid w:val="00A61CE0"/>
    <w:rsid w:val="00A904EC"/>
    <w:rsid w:val="00AB5921"/>
    <w:rsid w:val="00AD556D"/>
    <w:rsid w:val="00AE2246"/>
    <w:rsid w:val="00AE778B"/>
    <w:rsid w:val="00AE7DA4"/>
    <w:rsid w:val="00B50E5D"/>
    <w:rsid w:val="00B51AF4"/>
    <w:rsid w:val="00B9225A"/>
    <w:rsid w:val="00BA3D65"/>
    <w:rsid w:val="00BF07D0"/>
    <w:rsid w:val="00C010E4"/>
    <w:rsid w:val="00C01BC8"/>
    <w:rsid w:val="00C26638"/>
    <w:rsid w:val="00C4102C"/>
    <w:rsid w:val="00C91254"/>
    <w:rsid w:val="00CA7BE8"/>
    <w:rsid w:val="00CB08D8"/>
    <w:rsid w:val="00CB65D6"/>
    <w:rsid w:val="00CC3491"/>
    <w:rsid w:val="00CC530B"/>
    <w:rsid w:val="00CE17EB"/>
    <w:rsid w:val="00D21A6D"/>
    <w:rsid w:val="00D220B6"/>
    <w:rsid w:val="00D2635D"/>
    <w:rsid w:val="00D37738"/>
    <w:rsid w:val="00D556AF"/>
    <w:rsid w:val="00DA16C0"/>
    <w:rsid w:val="00DD3FD5"/>
    <w:rsid w:val="00DF77E0"/>
    <w:rsid w:val="00E33665"/>
    <w:rsid w:val="00E41BB6"/>
    <w:rsid w:val="00E642B3"/>
    <w:rsid w:val="00E65AFD"/>
    <w:rsid w:val="00E722EF"/>
    <w:rsid w:val="00E73D7C"/>
    <w:rsid w:val="00EB252A"/>
    <w:rsid w:val="00F00955"/>
    <w:rsid w:val="00F06199"/>
    <w:rsid w:val="00F17865"/>
    <w:rsid w:val="00F21014"/>
    <w:rsid w:val="00F22A13"/>
    <w:rsid w:val="00FA6D0F"/>
    <w:rsid w:val="00FD0CD1"/>
    <w:rsid w:val="00FE5E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BB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98"/>
  </w:style>
  <w:style w:type="paragraph" w:styleId="Heading1">
    <w:name w:val="heading 1"/>
    <w:basedOn w:val="Normal"/>
    <w:next w:val="Normal"/>
    <w:link w:val="Heading1Char"/>
    <w:uiPriority w:val="9"/>
    <w:qFormat/>
    <w:rsid w:val="003618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61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5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3898"/>
  </w:style>
  <w:style w:type="paragraph" w:styleId="ListParagraph">
    <w:name w:val="List Paragraph"/>
    <w:basedOn w:val="Normal"/>
    <w:uiPriority w:val="34"/>
    <w:qFormat/>
    <w:rsid w:val="00743898"/>
    <w:pPr>
      <w:ind w:left="720"/>
      <w:contextualSpacing/>
    </w:pPr>
  </w:style>
  <w:style w:type="character" w:styleId="Hyperlink">
    <w:name w:val="Hyperlink"/>
    <w:basedOn w:val="DefaultParagraphFont"/>
    <w:uiPriority w:val="99"/>
    <w:unhideWhenUsed/>
    <w:rsid w:val="0034752B"/>
    <w:rPr>
      <w:color w:val="0000FF" w:themeColor="hyperlink"/>
      <w:u w:val="single"/>
    </w:rPr>
  </w:style>
  <w:style w:type="character" w:customStyle="1" w:styleId="selectable">
    <w:name w:val="selectable"/>
    <w:basedOn w:val="DefaultParagraphFont"/>
    <w:rsid w:val="002D5E24"/>
  </w:style>
  <w:style w:type="paragraph" w:styleId="NormalWeb">
    <w:name w:val="Normal (Web)"/>
    <w:basedOn w:val="Normal"/>
    <w:uiPriority w:val="99"/>
    <w:semiHidden/>
    <w:unhideWhenUsed/>
    <w:rsid w:val="002D5E2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3618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61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5075"/>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AE7DA4"/>
    <w:pPr>
      <w:outlineLvl w:val="9"/>
    </w:pPr>
    <w:rPr>
      <w:lang w:val="en-US" w:eastAsia="ja-JP"/>
    </w:rPr>
  </w:style>
  <w:style w:type="paragraph" w:styleId="TOC1">
    <w:name w:val="toc 1"/>
    <w:basedOn w:val="Normal"/>
    <w:next w:val="Normal"/>
    <w:autoRedefine/>
    <w:uiPriority w:val="39"/>
    <w:unhideWhenUsed/>
    <w:rsid w:val="00AE7DA4"/>
    <w:pPr>
      <w:spacing w:after="100"/>
    </w:pPr>
  </w:style>
  <w:style w:type="paragraph" w:styleId="TOC2">
    <w:name w:val="toc 2"/>
    <w:basedOn w:val="Normal"/>
    <w:next w:val="Normal"/>
    <w:autoRedefine/>
    <w:uiPriority w:val="39"/>
    <w:unhideWhenUsed/>
    <w:rsid w:val="00AE7DA4"/>
    <w:pPr>
      <w:spacing w:after="100"/>
      <w:ind w:left="220"/>
    </w:pPr>
  </w:style>
  <w:style w:type="paragraph" w:styleId="BalloonText">
    <w:name w:val="Balloon Text"/>
    <w:basedOn w:val="Normal"/>
    <w:link w:val="BalloonTextChar"/>
    <w:uiPriority w:val="99"/>
    <w:semiHidden/>
    <w:unhideWhenUsed/>
    <w:rsid w:val="00AE7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D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98"/>
  </w:style>
  <w:style w:type="paragraph" w:styleId="Heading1">
    <w:name w:val="heading 1"/>
    <w:basedOn w:val="Normal"/>
    <w:next w:val="Normal"/>
    <w:link w:val="Heading1Char"/>
    <w:uiPriority w:val="9"/>
    <w:qFormat/>
    <w:rsid w:val="003618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61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5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3898"/>
  </w:style>
  <w:style w:type="paragraph" w:styleId="ListParagraph">
    <w:name w:val="List Paragraph"/>
    <w:basedOn w:val="Normal"/>
    <w:uiPriority w:val="34"/>
    <w:qFormat/>
    <w:rsid w:val="00743898"/>
    <w:pPr>
      <w:ind w:left="720"/>
      <w:contextualSpacing/>
    </w:pPr>
  </w:style>
  <w:style w:type="character" w:styleId="Hyperlink">
    <w:name w:val="Hyperlink"/>
    <w:basedOn w:val="DefaultParagraphFont"/>
    <w:uiPriority w:val="99"/>
    <w:unhideWhenUsed/>
    <w:rsid w:val="0034752B"/>
    <w:rPr>
      <w:color w:val="0000FF" w:themeColor="hyperlink"/>
      <w:u w:val="single"/>
    </w:rPr>
  </w:style>
  <w:style w:type="character" w:customStyle="1" w:styleId="selectable">
    <w:name w:val="selectable"/>
    <w:basedOn w:val="DefaultParagraphFont"/>
    <w:rsid w:val="002D5E24"/>
  </w:style>
  <w:style w:type="paragraph" w:styleId="NormalWeb">
    <w:name w:val="Normal (Web)"/>
    <w:basedOn w:val="Normal"/>
    <w:uiPriority w:val="99"/>
    <w:semiHidden/>
    <w:unhideWhenUsed/>
    <w:rsid w:val="002D5E2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3618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61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5075"/>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AE7DA4"/>
    <w:pPr>
      <w:outlineLvl w:val="9"/>
    </w:pPr>
    <w:rPr>
      <w:lang w:val="en-US" w:eastAsia="ja-JP"/>
    </w:rPr>
  </w:style>
  <w:style w:type="paragraph" w:styleId="TOC1">
    <w:name w:val="toc 1"/>
    <w:basedOn w:val="Normal"/>
    <w:next w:val="Normal"/>
    <w:autoRedefine/>
    <w:uiPriority w:val="39"/>
    <w:unhideWhenUsed/>
    <w:rsid w:val="00AE7DA4"/>
    <w:pPr>
      <w:spacing w:after="100"/>
    </w:pPr>
  </w:style>
  <w:style w:type="paragraph" w:styleId="TOC2">
    <w:name w:val="toc 2"/>
    <w:basedOn w:val="Normal"/>
    <w:next w:val="Normal"/>
    <w:autoRedefine/>
    <w:uiPriority w:val="39"/>
    <w:unhideWhenUsed/>
    <w:rsid w:val="00AE7DA4"/>
    <w:pPr>
      <w:spacing w:after="100"/>
      <w:ind w:left="220"/>
    </w:pPr>
  </w:style>
  <w:style w:type="paragraph" w:styleId="BalloonText">
    <w:name w:val="Balloon Text"/>
    <w:basedOn w:val="Normal"/>
    <w:link w:val="BalloonTextChar"/>
    <w:uiPriority w:val="99"/>
    <w:semiHidden/>
    <w:unhideWhenUsed/>
    <w:rsid w:val="00AE7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D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846662">
      <w:bodyDiv w:val="1"/>
      <w:marLeft w:val="0"/>
      <w:marRight w:val="0"/>
      <w:marTop w:val="0"/>
      <w:marBottom w:val="0"/>
      <w:divBdr>
        <w:top w:val="none" w:sz="0" w:space="0" w:color="auto"/>
        <w:left w:val="none" w:sz="0" w:space="0" w:color="auto"/>
        <w:bottom w:val="none" w:sz="0" w:space="0" w:color="auto"/>
        <w:right w:val="none" w:sz="0" w:space="0" w:color="auto"/>
      </w:divBdr>
    </w:div>
    <w:div w:id="1485589976">
      <w:bodyDiv w:val="1"/>
      <w:marLeft w:val="0"/>
      <w:marRight w:val="0"/>
      <w:marTop w:val="0"/>
      <w:marBottom w:val="0"/>
      <w:divBdr>
        <w:top w:val="none" w:sz="0" w:space="0" w:color="auto"/>
        <w:left w:val="none" w:sz="0" w:space="0" w:color="auto"/>
        <w:bottom w:val="none" w:sz="0" w:space="0" w:color="auto"/>
        <w:right w:val="none" w:sz="0" w:space="0" w:color="auto"/>
      </w:divBdr>
    </w:div>
    <w:div w:id="1719822191">
      <w:bodyDiv w:val="1"/>
      <w:marLeft w:val="0"/>
      <w:marRight w:val="0"/>
      <w:marTop w:val="0"/>
      <w:marBottom w:val="0"/>
      <w:divBdr>
        <w:top w:val="none" w:sz="0" w:space="0" w:color="auto"/>
        <w:left w:val="none" w:sz="0" w:space="0" w:color="auto"/>
        <w:bottom w:val="none" w:sz="0" w:space="0" w:color="auto"/>
        <w:right w:val="none" w:sz="0" w:space="0" w:color="auto"/>
      </w:divBdr>
    </w:div>
    <w:div w:id="194191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derscienceonline.com/doi/abs/10.1504/IJMABS.2018.09329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i.org/10.1146/annurev-financial-110716-03251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1016/j.ribaf.2015.11.0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searchgate.net/publication/349506325_Critical_examination_of_the_PESTEL_Analysis_Model" TargetMode="External"/><Relationship Id="rId5" Type="http://schemas.openxmlformats.org/officeDocument/2006/relationships/settings" Target="settings.xml"/><Relationship Id="rId15" Type="http://schemas.openxmlformats.org/officeDocument/2006/relationships/hyperlink" Target="https://dx.doi.org/10.2139/ssrn.2922598" TargetMode="External"/><Relationship Id="rId10" Type="http://schemas.openxmlformats.org/officeDocument/2006/relationships/hyperlink" Target="https://www.bloomberg.com/profile/company/AFC:P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arsenal.com/the-club/corporate-info/arsenal-holdings-financial-results" TargetMode="External"/><Relationship Id="rId14" Type="http://schemas.openxmlformats.org/officeDocument/2006/relationships/hyperlink" Target="https://doi.org/10.38157/finance-economics-review.v2i2.1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98B97-41BA-4E17-9D1C-9A454DA79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18</Pages>
  <Words>4321</Words>
  <Characters>24631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2022-04-11T23:43:00Z</dcterms:created>
  <dcterms:modified xsi:type="dcterms:W3CDTF">2022-04-12T01:12:00Z</dcterms:modified>
</cp:coreProperties>
</file>