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347A" w:rsidRDefault="00E80810">
      <w:pPr>
        <w:spacing w:after="74" w:line="259" w:lineRule="auto"/>
        <w:ind w:left="510" w:right="-863" w:firstLine="0"/>
      </w:pPr>
      <w:r>
        <w:rPr>
          <w:rFonts w:ascii="Arial" w:eastAsia="Arial" w:hAnsi="Arial" w:cs="Arial"/>
        </w:rPr>
        <w:t xml:space="preserve"> </w:t>
      </w:r>
    </w:p>
    <w:p w:rsidR="00BD347A" w:rsidRDefault="00E80810">
      <w:pPr>
        <w:spacing w:after="430" w:line="265" w:lineRule="auto"/>
        <w:ind w:left="1393"/>
        <w:jc w:val="center"/>
      </w:pPr>
      <w:bookmarkStart w:id="0" w:name="_GoBack"/>
      <w:r>
        <w:t>Gentrification in Toronto</w:t>
      </w:r>
      <w:r w:rsidR="00CD299C">
        <w:t xml:space="preserve"> </w:t>
      </w:r>
      <w:r w:rsidR="00CD299C" w:rsidRPr="00CD299C">
        <w:t>Area</w:t>
      </w:r>
    </w:p>
    <w:bookmarkEnd w:id="0"/>
    <w:p w:rsidR="00BD347A" w:rsidRDefault="00E80810">
      <w:pPr>
        <w:ind w:left="1370" w:firstLine="720"/>
      </w:pPr>
      <w:r>
        <w:t>Studies on gentrification have become indispensable in geographical analyses, particularly in urban environments. The term was coined by Ruth Glass in the 1960s to mean the processes or rebuilding and redeveloping of deteriorating regions; which is often a</w:t>
      </w:r>
      <w:r>
        <w:t xml:space="preserve">ccompanied by an influx of affluent people leading to the displacement of the </w:t>
      </w:r>
      <w:proofErr w:type="gramStart"/>
      <w:r>
        <w:t>impoverished</w:t>
      </w:r>
      <w:proofErr w:type="gramEnd"/>
      <w:r>
        <w:t xml:space="preserve"> locals. The actual meaning of the term has often been debated albeit most concede to Slater's definition which holds that it is a</w:t>
      </w:r>
      <w:r>
        <w:rPr>
          <w:color w:val="333333"/>
        </w:rPr>
        <w:t xml:space="preserve"> process that turn a poor </w:t>
      </w:r>
      <w:proofErr w:type="spellStart"/>
      <w:r>
        <w:rPr>
          <w:color w:val="333333"/>
        </w:rPr>
        <w:t>neighbourh</w:t>
      </w:r>
      <w:r>
        <w:rPr>
          <w:color w:val="333333"/>
        </w:rPr>
        <w:t>ood</w:t>
      </w:r>
      <w:proofErr w:type="spellEnd"/>
      <w:r>
        <w:rPr>
          <w:color w:val="333333"/>
        </w:rPr>
        <w:t xml:space="preserve"> area into a middle class or upper-class area.</w:t>
      </w:r>
      <w:r>
        <w:t xml:space="preserve"> (Slater et al., 2004, p. 1145). Many researchers on the subject have delved deeper into the subject to highlight the origin, nature, and explanations of gentrification; and the exploration of the positive a</w:t>
      </w:r>
      <w:r>
        <w:t>nd adverse effects on the local neighborhoods. The current paper will examine the impact of gentrification on the neighborhood groups in the Toronto Area.</w:t>
      </w:r>
    </w:p>
    <w:p w:rsidR="00BD347A" w:rsidRDefault="00E80810">
      <w:pPr>
        <w:pStyle w:val="Heading1"/>
        <w:spacing w:after="436" w:line="259" w:lineRule="auto"/>
        <w:ind w:left="2825" w:firstLine="0"/>
        <w:jc w:val="left"/>
      </w:pPr>
      <w:r>
        <w:t xml:space="preserve">Gentrification in Greater Toronto </w:t>
      </w:r>
      <w:r>
        <w:t>Area</w:t>
      </w:r>
    </w:p>
    <w:p w:rsidR="00BD347A" w:rsidRDefault="00E80810">
      <w:pPr>
        <w:ind w:left="1370" w:firstLine="720"/>
      </w:pPr>
      <w:r>
        <w:t>Gentrification has been in existence for almost half a century</w:t>
      </w:r>
      <w:r>
        <w:t xml:space="preserve"> now. Since the inception of the programs, the most significant facilitator has been public </w:t>
      </w:r>
      <w:proofErr w:type="spellStart"/>
      <w:r>
        <w:t>policyDeteriorating</w:t>
      </w:r>
      <w:proofErr w:type="spellEnd"/>
      <w:r>
        <w:t xml:space="preserve"> structures in many neighborhoods were initially demolished and replaced with ambitious projects which were relatively expensive with the governm</w:t>
      </w:r>
      <w:r>
        <w:t>ents hoping that they would release the fundamental exchange value of the environs of the central business districts. The period that was characterized by these demolitions was around the 1970s and is commonly referred to as the first wave of gentrificatio</w:t>
      </w:r>
      <w:r>
        <w:t xml:space="preserve">n. State investment roll-back followed in the 80s with the focus being on the beautification of the inner city </w:t>
      </w:r>
    </w:p>
    <w:p w:rsidR="00BD347A" w:rsidRDefault="00E80810">
      <w:pPr>
        <w:ind w:left="1370" w:firstLine="720"/>
      </w:pPr>
      <w:r>
        <w:t>Canada, in particular, had a very extensive roll-over program that was implemented through broadly diversified methods in the provincial governm</w:t>
      </w:r>
      <w:r>
        <w:t xml:space="preserve">ents and neighborhood improvement programs were sponsored by the municipalities. Upgrading and gentrification </w:t>
      </w:r>
      <w:r>
        <w:lastRenderedPageBreak/>
        <w:t>have almost become the order of the day in Toronto. During the first years of the 2000s, the neighborhoods that had escaped gentrification were ve</w:t>
      </w:r>
      <w:r>
        <w:t>ry few, particular those in the northern parts of the Junction area to the City of York. The accessibility of the system of the subway and proximity to the elite regions triggered the first wave of the process. The subway system was incepted in 1956 stretc</w:t>
      </w:r>
      <w:r>
        <w:t xml:space="preserve">hing all the way to around 1970s. The development was beneficial to many neighborhoods, including Yorkville, </w:t>
      </w:r>
      <w:proofErr w:type="spellStart"/>
      <w:r>
        <w:t>Playter</w:t>
      </w:r>
      <w:proofErr w:type="spellEnd"/>
      <w:r>
        <w:t xml:space="preserve"> Estates, Riverdale, </w:t>
      </w:r>
      <w:proofErr w:type="spellStart"/>
      <w:r>
        <w:t>Cabbagetown</w:t>
      </w:r>
      <w:proofErr w:type="spellEnd"/>
      <w:r>
        <w:t xml:space="preserve">, Don Vale, and the Annex. The part along the subway line running from the north to south was also affected </w:t>
      </w:r>
      <w:r>
        <w:t xml:space="preserve">by the construction, with most areas receiving massive investments in the 1960s, in the form of new structures. </w:t>
      </w:r>
    </w:p>
    <w:p w:rsidR="00BD347A" w:rsidRDefault="00E80810">
      <w:pPr>
        <w:ind w:left="1370" w:firstLine="720"/>
      </w:pPr>
      <w:r>
        <w:t>After the first phase, other tracts close to these already gentrified regions were developed including those bordering the High Park in South D</w:t>
      </w:r>
      <w:r>
        <w:t>ale and the neighborhoods of the Beaches. The third, and final, wave was adopted in the 1990s and was characterized by a more privately inclined approach. Instead of using the public funds, the government encouraged private developers to make selective inv</w:t>
      </w:r>
      <w:r>
        <w:t xml:space="preserve">estments in the regions, which would, in turn, attract the middle classes into the area; hence, technically invalidating the residence of less resource-endowed persons in the areas. Though there were hopes of a reasonably good impact on the residents, the </w:t>
      </w:r>
      <w:r>
        <w:t xml:space="preserve">municipally controlled gentrification and neo-liberalism in Canada had an overtly adverse effect on the inner-city communities (Hackworth and Smith, 2001, </w:t>
      </w:r>
      <w:proofErr w:type="spellStart"/>
      <w:r>
        <w:t>n.p</w:t>
      </w:r>
      <w:proofErr w:type="spellEnd"/>
      <w:r>
        <w:t>). Those ambitious on their capability to influence the public policy were, however, given an oppo</w:t>
      </w:r>
      <w:r>
        <w:t>rtunity to do so by this evolution of the inner parts of the cities. The intervention was no longer the interest. What mattered most was on whose interest the interventions on the gentrification were based.</w:t>
      </w:r>
    </w:p>
    <w:p w:rsidR="00BD347A" w:rsidRDefault="00E80810">
      <w:pPr>
        <w:ind w:left="1370" w:firstLine="720"/>
      </w:pPr>
      <w:r>
        <w:t>The areas that remained without full renewal afte</w:t>
      </w:r>
      <w:r>
        <w:t>r this period have never been fully gentrified up to date. Bloor West Village and Seaton Village are some of the regions where total gentrification has been experienced despite having been affected by the second and third waves. However, since gentrificati</w:t>
      </w:r>
      <w:r>
        <w:t xml:space="preserve">on has not stopped evolving, some areas are anticipated to be gentrified in the future which will leave very few, if any, Toronto </w:t>
      </w:r>
      <w:r>
        <w:lastRenderedPageBreak/>
        <w:t>neighborhoods untouched. Probably, only the far northwest regions will remain, like Mount Dennis (Science Letter, 2015).</w:t>
      </w:r>
    </w:p>
    <w:p w:rsidR="00BD347A" w:rsidRDefault="00E80810">
      <w:pPr>
        <w:ind w:left="1370" w:firstLine="720"/>
      </w:pPr>
      <w:r>
        <w:t>Nonet</w:t>
      </w:r>
      <w:r>
        <w:t>heless, gentrification did not entirely do away with the low-income earners in the inner cities. There remains significant numbers of these low-income populations in these areas and also leftist middle-classers and are expected to take part in voting proce</w:t>
      </w:r>
      <w:r>
        <w:t>sses involving decisions on social justice. Neo-liberal approaches limit the freedom of policymakers and city planners in the implementation of well-meaning and progressive strategies in the management of gentrification. Another challenge that faces most a</w:t>
      </w:r>
      <w:r>
        <w:t xml:space="preserve">dministrators regarding gentrification is the fact that it does not affect different neighborhoods in the same way. The implication is that some results of restoration are inevitable and petite can be done to minimize their impact. The global hierarchical </w:t>
      </w:r>
      <w:r>
        <w:t>position of a city determines the way its gentrification programs are executed.</w:t>
      </w:r>
    </w:p>
    <w:p w:rsidR="00BD347A" w:rsidRDefault="00E80810">
      <w:pPr>
        <w:pStyle w:val="Heading1"/>
        <w:ind w:left="2114" w:right="2"/>
      </w:pPr>
      <w:r>
        <w:t>Gentrification on Ethnic Groups</w:t>
      </w:r>
    </w:p>
    <w:p w:rsidR="00BD347A" w:rsidRDefault="00E80810">
      <w:pPr>
        <w:ind w:left="1380"/>
      </w:pPr>
      <w:r>
        <w:t xml:space="preserve"> Ethnic neighborhoods have been ignored by many researchers in their examination of the impact of gentrification. Most of the recent studies foc</w:t>
      </w:r>
      <w:r>
        <w:t xml:space="preserve">us on commercial and residential displacement as the main results of restoration. Nonetheless, immigrant groups are highly connected to the ethnic enclaves. </w:t>
      </w:r>
      <w:proofErr w:type="spellStart"/>
      <w:r>
        <w:t>Krase</w:t>
      </w:r>
      <w:proofErr w:type="spellEnd"/>
      <w:r>
        <w:t xml:space="preserve"> asserts that the communities’ representations together with their activities are significantl</w:t>
      </w:r>
      <w:r>
        <w:t>y displaced (</w:t>
      </w:r>
      <w:proofErr w:type="spellStart"/>
      <w:r>
        <w:t>Krase</w:t>
      </w:r>
      <w:proofErr w:type="spellEnd"/>
      <w:r>
        <w:t>, 2005, p. 207). In the Greater Toronto Area, gentrification has led to the loss of racial identity through disruption of community organizations, religious institutions, ethnic retailing, and neighborhood social networks. Minority respon</w:t>
      </w:r>
      <w:r>
        <w:t xml:space="preserve">dents in most cases hold that gentrification is a racist activity meant to demean those unable to fight for themselves. With most </w:t>
      </w:r>
      <w:proofErr w:type="spellStart"/>
      <w:r>
        <w:t>gentrifiers</w:t>
      </w:r>
      <w:proofErr w:type="spellEnd"/>
      <w:r>
        <w:t xml:space="preserve"> being Whites, the feeling has led to uneasy relationships between different races and has furthered the historical</w:t>
      </w:r>
      <w:r>
        <w:t xml:space="preserve"> aggression in the city. </w:t>
      </w:r>
    </w:p>
    <w:p w:rsidR="00BD347A" w:rsidRDefault="00E80810">
      <w:pPr>
        <w:ind w:left="1380"/>
      </w:pPr>
      <w:r>
        <w:t xml:space="preserve"> </w:t>
      </w:r>
      <w:r>
        <w:t xml:space="preserve">Another version of gentrification occurs when low-income earners are displaced by higher earners of the same group. When this happens among the blacks, a way is paved for the </w:t>
      </w:r>
      <w:r>
        <w:lastRenderedPageBreak/>
        <w:t>upper-class Whites to follow suit. Though gentrification is praised for the impro</w:t>
      </w:r>
      <w:r>
        <w:t>vement of infrastructure, services, and amenities in many parts of the Greater Toronto Area, it has done little towards the development of employment prospects (</w:t>
      </w:r>
      <w:proofErr w:type="spellStart"/>
      <w:r>
        <w:t>Keatinge</w:t>
      </w:r>
      <w:proofErr w:type="spellEnd"/>
      <w:r>
        <w:t xml:space="preserve"> &amp; Martin, 2016, p. 867).</w:t>
      </w:r>
    </w:p>
    <w:p w:rsidR="00BD347A" w:rsidRDefault="00E80810">
      <w:pPr>
        <w:pStyle w:val="Heading1"/>
        <w:ind w:left="2114" w:right="782"/>
      </w:pPr>
      <w:r>
        <w:t xml:space="preserve">Impact of Gentrification </w:t>
      </w:r>
    </w:p>
    <w:p w:rsidR="00BD347A" w:rsidRDefault="00E80810">
      <w:pPr>
        <w:ind w:left="1380"/>
      </w:pPr>
      <w:r>
        <w:t xml:space="preserve"> The effects of gentrification on s</w:t>
      </w:r>
      <w:r>
        <w:t xml:space="preserve">ociety are both positive and negative. Due to the increase in speculation by investors, housing affordability has been declining. Renters are the most affected, due to the fact that houses are continually too expensive for them, leaving them with no other </w:t>
      </w:r>
      <w:r>
        <w:t>option but to relocate. Despite their immeasurable nature, these displacements have been identified as adversely affecting their victims. In addition to finding new housing, displaced people must also establish new social networks since the old ones have b</w:t>
      </w:r>
      <w:r>
        <w:t>een eliminated, including some family structures. Further, if the trend to gentrification reaches their new establishments, new immigrants who manage to secure housing in the gentrifying neighborhoods must look elsewhere for housing. In other words, they a</w:t>
      </w:r>
      <w:r>
        <w:t>re being excluded from a community. (Marcuse</w:t>
      </w:r>
      <w:proofErr w:type="gramStart"/>
      <w:r>
        <w:t>,1986</w:t>
      </w:r>
      <w:proofErr w:type="gramEnd"/>
      <w:r>
        <w:t xml:space="preserve">, p. 156). Every time such gentrification processes take place, rents have always escalated, and the residents who earn the least are the most affected. </w:t>
      </w:r>
    </w:p>
    <w:p w:rsidR="00BD347A" w:rsidRDefault="00E80810">
      <w:pPr>
        <w:spacing w:after="0"/>
        <w:ind w:left="1370" w:firstLine="720"/>
      </w:pPr>
      <w:r>
        <w:t>They also experience several hardships when trying to</w:t>
      </w:r>
      <w:r>
        <w:t xml:space="preserve"> secure new houses are the rents for the new houses are above their capabilities. Most people from the Greater Toronto Area believe that smaller apartments in the neighborhoods will soon be eliminated because they will have few consumers. The increased val</w:t>
      </w:r>
      <w:r>
        <w:t>ue of the property encourages the development of homes rather than rental units. There is a growing gap between the poor and the rich and hence, the renters continue being unable to own homes in these regions (</w:t>
      </w:r>
      <w:proofErr w:type="spellStart"/>
      <w:r>
        <w:t>Hulchanski</w:t>
      </w:r>
      <w:proofErr w:type="spellEnd"/>
      <w:r>
        <w:t xml:space="preserve">, 2004, </w:t>
      </w:r>
    </w:p>
    <w:p w:rsidR="00BD347A" w:rsidRDefault="00E80810">
      <w:pPr>
        <w:ind w:left="1380"/>
      </w:pPr>
      <w:proofErr w:type="spellStart"/>
      <w:r>
        <w:t>n.p</w:t>
      </w:r>
      <w:proofErr w:type="spellEnd"/>
      <w:r>
        <w:t xml:space="preserve">). </w:t>
      </w:r>
      <w:proofErr w:type="gramStart"/>
      <w:r>
        <w:t>On</w:t>
      </w:r>
      <w:proofErr w:type="gramEnd"/>
      <w:r>
        <w:t xml:space="preserve"> the other side, ho</w:t>
      </w:r>
      <w:r>
        <w:t xml:space="preserve">meowners benefit substantially from the gentrification because they capitalize on the higher housing equities. Those who sell their houses during these times are likely to have better incomes, with many customers competing for them. </w:t>
      </w:r>
    </w:p>
    <w:p w:rsidR="00BD347A" w:rsidRDefault="00E80810">
      <w:pPr>
        <w:ind w:left="1380"/>
      </w:pPr>
      <w:r>
        <w:lastRenderedPageBreak/>
        <w:t xml:space="preserve"> Industrial and commer</w:t>
      </w:r>
      <w:r>
        <w:t>cial activity displacement is another impact of gentrification. Moreover, members of the working class lose many opportunities. After the gentrification process begins, the neighborhoods change drastically because of the differing preferences between the w</w:t>
      </w:r>
      <w:r>
        <w:t xml:space="preserve">orking-class and the wealthy. The fact that factories are located in old factory spaces and land values have increased makes operating in these neighborhoods extremely expensive. Additionally, industrial activities may result in conflicts between them and </w:t>
      </w:r>
      <w:r>
        <w:t xml:space="preserve">the middle-class, which may lead to the denial of political support from these elites. Many </w:t>
      </w:r>
      <w:proofErr w:type="spellStart"/>
      <w:r>
        <w:t>wellpaying</w:t>
      </w:r>
      <w:proofErr w:type="spellEnd"/>
      <w:r>
        <w:t xml:space="preserve"> manufacturing jobs are lost in the process of gentrification, with replacements being informal low-payers. The low-paying jobs are those provided to the </w:t>
      </w:r>
      <w:r>
        <w:t xml:space="preserve">laborers for the development and gentrification of their neighborhoods (Walks &amp; </w:t>
      </w:r>
      <w:proofErr w:type="spellStart"/>
      <w:r>
        <w:t>Maaranen</w:t>
      </w:r>
      <w:proofErr w:type="spellEnd"/>
      <w:r>
        <w:t xml:space="preserve">, 2008, </w:t>
      </w:r>
      <w:proofErr w:type="spellStart"/>
      <w:r>
        <w:t>n.p</w:t>
      </w:r>
      <w:proofErr w:type="spellEnd"/>
      <w:r>
        <w:t>).</w:t>
      </w:r>
    </w:p>
    <w:p w:rsidR="00BD347A" w:rsidRDefault="00E80810">
      <w:pPr>
        <w:ind w:left="1370" w:firstLine="720"/>
      </w:pPr>
      <w:r>
        <w:t>On the other hand, gentrification helps stabilize declining neighborhoods and triggers further development. Some processes of gentrification attract publi</w:t>
      </w:r>
      <w:r>
        <w:t xml:space="preserve">c funding through subsidies and other kinds of support. The enhancement of the communities leads to the creation of confidence in the area regarding its future. Physical and social improvements can be lobbied through the several avenues that are available </w:t>
      </w:r>
      <w:r>
        <w:t>to the middle-classers. Entrepreneurs are also actively engaged in the development of these areas during the residential gentrification. Upscale ethnic retailing has been used in Toronto by business owners to enhance their residential properties' values (R</w:t>
      </w:r>
      <w:r>
        <w:t xml:space="preserve">ankin &amp; McLean, 2015, </w:t>
      </w:r>
      <w:proofErr w:type="spellStart"/>
      <w:r>
        <w:t>n.p</w:t>
      </w:r>
      <w:proofErr w:type="spellEnd"/>
      <w:r>
        <w:t>). Nonetheless, as the neighborhoods embrace more gentrification, the laborers who perform very vital duties for the locals are displaced from the areas eventually; thus, making it difficult to continue developing the neighborhoods</w:t>
      </w:r>
      <w:r>
        <w:t xml:space="preserve">. For example, the future of the ethnic economy of Little Portugal in the Greater Toronto Area is believed by the residents to be doomed if the increased property taxes and commercial gentrification continue. The </w:t>
      </w:r>
      <w:proofErr w:type="spellStart"/>
      <w:r>
        <w:t>lowincome</w:t>
      </w:r>
      <w:proofErr w:type="spellEnd"/>
      <w:r>
        <w:t xml:space="preserve"> owners feel that they are being t</w:t>
      </w:r>
      <w:r>
        <w:t xml:space="preserve">hreatened to leave the area because of the skyrocketing costs of living. </w:t>
      </w:r>
    </w:p>
    <w:p w:rsidR="00BD347A" w:rsidRDefault="00E80810">
      <w:pPr>
        <w:ind w:left="1370" w:firstLine="720"/>
      </w:pPr>
      <w:r>
        <w:t xml:space="preserve">Existing residents are also faced with the challenge of resentment. The chief factor that leads to the resentment is the increased costs of housing, which commonly affect the </w:t>
      </w:r>
      <w:r>
        <w:lastRenderedPageBreak/>
        <w:t>renters</w:t>
      </w:r>
      <w:r>
        <w:t>. They may also resent the other general changes that occur because of the gentrification like the gradual loss of control over the activities and the increased upscale goods costs in the neighborhood. Moreover, the middle-class or high-class members in th</w:t>
      </w:r>
      <w:r>
        <w:t xml:space="preserve">e region may not be tolerant to the working-class residents because of the feeling that they have different customs and values (August 2015, </w:t>
      </w:r>
      <w:proofErr w:type="spellStart"/>
      <w:r>
        <w:t>n.p</w:t>
      </w:r>
      <w:proofErr w:type="spellEnd"/>
      <w:r>
        <w:t>). Despite the skepticism observed by most people regarding the racial mix created by the gentrification, some s</w:t>
      </w:r>
      <w:r>
        <w:t>till feel that it is beneficial to both groups. The cultural diversity and social interactions are cited as the primary promoters of integration and shunning of social segregation (Lees et al., 2007, pp. 201). However, it should be noted that social intera</w:t>
      </w:r>
      <w:r>
        <w:t>ction is not a universal remedy for the negative impact of gentrification. Attitude is one factor that greatly determines the kind of social mix and the results. Some affluent families embrace the less resource-endowed while others do not. In the Greater T</w:t>
      </w:r>
      <w:r>
        <w:t>oronto Area, most of the groups are relatively tolerant; hence, it is still common to find the original residents owning property in these neighborhoods (</w:t>
      </w:r>
      <w:proofErr w:type="spellStart"/>
      <w:r>
        <w:t>Murdie</w:t>
      </w:r>
      <w:proofErr w:type="spellEnd"/>
      <w:r>
        <w:t xml:space="preserve">, 2008, </w:t>
      </w:r>
      <w:proofErr w:type="spellStart"/>
      <w:r>
        <w:t>n.p</w:t>
      </w:r>
      <w:proofErr w:type="spellEnd"/>
      <w:r>
        <w:t>).</w:t>
      </w:r>
    </w:p>
    <w:p w:rsidR="00BD347A" w:rsidRDefault="00E80810">
      <w:pPr>
        <w:pStyle w:val="Heading1"/>
        <w:ind w:left="2114"/>
      </w:pPr>
      <w:r>
        <w:t>Conclusion</w:t>
      </w:r>
    </w:p>
    <w:p w:rsidR="00BD347A" w:rsidRDefault="00E80810">
      <w:pPr>
        <w:ind w:left="1370" w:firstLine="720"/>
      </w:pPr>
      <w:r>
        <w:t>Gentrification in the Greater Toronto Area has had both negative and po</w:t>
      </w:r>
      <w:r>
        <w:t>sitive impacts. Though it started several decades ago, the processes still continue in some neighborhoods in the region. The displacement of original residents is one of the most immediate effects of gentrification. Others, further, are displaced after the</w:t>
      </w:r>
      <w:r>
        <w:t xml:space="preserve"> process of renovation reaches their new settlements. Housing becomes costly as investors speculate future increases in the value of their equities. The implication here is that the working-class will not be able to secure residential units; even the renta</w:t>
      </w:r>
      <w:r>
        <w:t>ls are unavailable as most of them are turned into homes. Industries and commercial activities are adversely affected by the displacements. A positive outcome of gentrification is the opening up of opportunities for the working-class in the areas being dev</w:t>
      </w:r>
      <w:r>
        <w:t xml:space="preserve">eloped. There is also a likelihood of expanding the developments as the rich have more power to influence funding. </w:t>
      </w:r>
    </w:p>
    <w:p w:rsidR="00BD347A" w:rsidRDefault="00E80810">
      <w:pPr>
        <w:spacing w:after="194" w:line="265" w:lineRule="auto"/>
        <w:ind w:left="1393"/>
        <w:jc w:val="center"/>
      </w:pPr>
      <w:r>
        <w:t>Works cited</w:t>
      </w:r>
    </w:p>
    <w:p w:rsidR="00BD347A" w:rsidRDefault="00E80810">
      <w:pPr>
        <w:spacing w:after="0"/>
        <w:ind w:left="1385" w:hanging="720"/>
      </w:pPr>
      <w:r>
        <w:lastRenderedPageBreak/>
        <w:t>August, M. (2015). "It's all about power, and you have none:" The marginalization of tenant resistance to mixed-income social ho</w:t>
      </w:r>
      <w:r>
        <w:t xml:space="preserve">using redevelopment in Toronto, Canada. </w:t>
      </w:r>
      <w:r>
        <w:rPr>
          <w:i/>
        </w:rPr>
        <w:t>Cities</w:t>
      </w:r>
      <w:r>
        <w:t>, doi:10.1016/j.cities.2015.12.004</w:t>
      </w:r>
    </w:p>
    <w:p w:rsidR="00BD347A" w:rsidRDefault="00E80810">
      <w:pPr>
        <w:spacing w:after="236" w:line="259" w:lineRule="auto"/>
        <w:ind w:left="675"/>
      </w:pPr>
      <w:r>
        <w:t xml:space="preserve">Curran, W. (2004) Gentrification and the nature of work: exploring the links in Williamsburg, </w:t>
      </w:r>
    </w:p>
    <w:p w:rsidR="00BD347A" w:rsidRDefault="00E80810">
      <w:pPr>
        <w:spacing w:after="236" w:line="259" w:lineRule="auto"/>
        <w:ind w:left="1380"/>
      </w:pPr>
      <w:r>
        <w:t>Brooklyn, Environment and Planning A, 36(7), pp. 1243–1258</w:t>
      </w:r>
    </w:p>
    <w:p w:rsidR="00BD347A" w:rsidRDefault="00E80810">
      <w:pPr>
        <w:spacing w:after="236" w:line="259" w:lineRule="auto"/>
        <w:ind w:left="675"/>
      </w:pPr>
      <w:r>
        <w:t>Hackworth, J., and Sm</w:t>
      </w:r>
      <w:r>
        <w:t xml:space="preserve">ith, N. (2001) </w:t>
      </w:r>
      <w:proofErr w:type="gramStart"/>
      <w:r>
        <w:t>The</w:t>
      </w:r>
      <w:proofErr w:type="gramEnd"/>
      <w:r>
        <w:t xml:space="preserve"> changing state of gentrification, </w:t>
      </w:r>
      <w:proofErr w:type="spellStart"/>
      <w:r>
        <w:t>Tijdschrift</w:t>
      </w:r>
      <w:proofErr w:type="spellEnd"/>
      <w:r>
        <w:t xml:space="preserve"> </w:t>
      </w:r>
      <w:proofErr w:type="spellStart"/>
      <w:r>
        <w:t>Voor</w:t>
      </w:r>
      <w:proofErr w:type="spellEnd"/>
      <w:r>
        <w:t xml:space="preserve"> </w:t>
      </w:r>
    </w:p>
    <w:p w:rsidR="00BD347A" w:rsidRDefault="00E80810">
      <w:pPr>
        <w:spacing w:after="236" w:line="259" w:lineRule="auto"/>
        <w:ind w:left="1380"/>
      </w:pPr>
      <w:proofErr w:type="spellStart"/>
      <w:r>
        <w:t>Economische</w:t>
      </w:r>
      <w:proofErr w:type="spellEnd"/>
      <w:r>
        <w:t xml:space="preserve"> </w:t>
      </w:r>
      <w:proofErr w:type="spellStart"/>
      <w:r>
        <w:t>en</w:t>
      </w:r>
      <w:proofErr w:type="spellEnd"/>
      <w:r>
        <w:t xml:space="preserve"> </w:t>
      </w:r>
      <w:proofErr w:type="spellStart"/>
      <w:r>
        <w:t>Sociale</w:t>
      </w:r>
      <w:proofErr w:type="spellEnd"/>
      <w:r>
        <w:t xml:space="preserve"> </w:t>
      </w:r>
      <w:proofErr w:type="spellStart"/>
      <w:r>
        <w:t>Geografie</w:t>
      </w:r>
      <w:proofErr w:type="spellEnd"/>
      <w:r>
        <w:t>, 92(4), pp. 464–477.</w:t>
      </w:r>
    </w:p>
    <w:p w:rsidR="00BD347A" w:rsidRDefault="00E80810">
      <w:pPr>
        <w:spacing w:after="236" w:line="259" w:lineRule="auto"/>
        <w:ind w:left="675"/>
      </w:pPr>
      <w:proofErr w:type="spellStart"/>
      <w:r>
        <w:t>Hulchanski</w:t>
      </w:r>
      <w:proofErr w:type="spellEnd"/>
      <w:r>
        <w:t xml:space="preserve">, J. D. (2004) </w:t>
      </w:r>
      <w:proofErr w:type="gramStart"/>
      <w:r>
        <w:t>A</w:t>
      </w:r>
      <w:proofErr w:type="gramEnd"/>
      <w:r>
        <w:t xml:space="preserve"> tale of two Canadas: homeowners and renters, in J. D. </w:t>
      </w:r>
      <w:proofErr w:type="spellStart"/>
      <w:r>
        <w:t>Hulchanski</w:t>
      </w:r>
      <w:proofErr w:type="spellEnd"/>
      <w:r>
        <w:t xml:space="preserve"> and M.</w:t>
      </w:r>
    </w:p>
    <w:p w:rsidR="00BD347A" w:rsidRDefault="00E80810">
      <w:pPr>
        <w:spacing w:after="236" w:line="259" w:lineRule="auto"/>
        <w:ind w:left="1380"/>
      </w:pPr>
      <w:proofErr w:type="spellStart"/>
      <w:r>
        <w:t>Shapcott</w:t>
      </w:r>
      <w:proofErr w:type="spellEnd"/>
      <w:r>
        <w:t xml:space="preserve"> (</w:t>
      </w:r>
      <w:proofErr w:type="spellStart"/>
      <w:r>
        <w:t>Eds</w:t>
      </w:r>
      <w:proofErr w:type="spellEnd"/>
      <w:r>
        <w:t>) Finding Room: Pol</w:t>
      </w:r>
      <w:r>
        <w:t xml:space="preserve">icy Options for a Canadian Rental Housing Strategy, pp. </w:t>
      </w:r>
    </w:p>
    <w:p w:rsidR="00BD347A" w:rsidRDefault="00E80810">
      <w:pPr>
        <w:spacing w:after="236" w:line="259" w:lineRule="auto"/>
        <w:ind w:left="1380"/>
      </w:pPr>
      <w:r>
        <w:t>81–88. Toronto: Centre for Urban and Community Studies Press.</w:t>
      </w:r>
    </w:p>
    <w:p w:rsidR="00BD347A" w:rsidRDefault="00E80810">
      <w:pPr>
        <w:spacing w:after="236" w:line="259" w:lineRule="auto"/>
        <w:ind w:left="675"/>
      </w:pPr>
      <w:proofErr w:type="spellStart"/>
      <w:r>
        <w:t>Keatinge</w:t>
      </w:r>
      <w:proofErr w:type="spellEnd"/>
      <w:r>
        <w:t xml:space="preserve">, B., &amp; Martin, D. G. (2016). A ‘Bedford Falls’ kind of place: </w:t>
      </w:r>
      <w:proofErr w:type="spellStart"/>
      <w:r>
        <w:t>Neighbourhood</w:t>
      </w:r>
      <w:proofErr w:type="spellEnd"/>
      <w:r>
        <w:t xml:space="preserve"> branding and </w:t>
      </w:r>
    </w:p>
    <w:p w:rsidR="00BD347A" w:rsidRDefault="00E80810">
      <w:pPr>
        <w:spacing w:after="236" w:line="259" w:lineRule="auto"/>
        <w:ind w:left="1380"/>
      </w:pPr>
      <w:proofErr w:type="gramStart"/>
      <w:r>
        <w:t>commercial</w:t>
      </w:r>
      <w:proofErr w:type="gramEnd"/>
      <w:r>
        <w:t xml:space="preserve"> </w:t>
      </w:r>
      <w:proofErr w:type="spellStart"/>
      <w:r>
        <w:t>revitalisation</w:t>
      </w:r>
      <w:proofErr w:type="spellEnd"/>
      <w:r>
        <w:t xml:space="preserve"> in processes of gentrification in Toronto, Ontario. </w:t>
      </w:r>
      <w:r>
        <w:rPr>
          <w:i/>
        </w:rPr>
        <w:t xml:space="preserve">Urban Studies </w:t>
      </w:r>
    </w:p>
    <w:p w:rsidR="00BD347A" w:rsidRDefault="00E80810">
      <w:pPr>
        <w:spacing w:after="236" w:line="259" w:lineRule="auto"/>
        <w:ind w:left="1380"/>
      </w:pPr>
      <w:r>
        <w:rPr>
          <w:i/>
        </w:rPr>
        <w:t>(Sage Publications, Ltd.)</w:t>
      </w:r>
      <w:r>
        <w:t xml:space="preserve">, </w:t>
      </w:r>
      <w:r>
        <w:rPr>
          <w:i/>
        </w:rPr>
        <w:t>53</w:t>
      </w:r>
      <w:r>
        <w:t xml:space="preserve">(5), 867. </w:t>
      </w:r>
      <w:proofErr w:type="gramStart"/>
      <w:r>
        <w:t>doi:</w:t>
      </w:r>
      <w:proofErr w:type="gramEnd"/>
      <w:r>
        <w:t>10.1177/0042098015569681</w:t>
      </w:r>
    </w:p>
    <w:p w:rsidR="00BD347A" w:rsidRDefault="00E80810">
      <w:pPr>
        <w:spacing w:after="236" w:line="259" w:lineRule="auto"/>
        <w:ind w:left="675"/>
      </w:pPr>
      <w:proofErr w:type="spellStart"/>
      <w:r>
        <w:t>Krase</w:t>
      </w:r>
      <w:proofErr w:type="spellEnd"/>
      <w:r>
        <w:t xml:space="preserve">, J. (2005) Poland and </w:t>
      </w:r>
      <w:proofErr w:type="spellStart"/>
      <w:r>
        <w:t>Polonia</w:t>
      </w:r>
      <w:proofErr w:type="spellEnd"/>
      <w:r>
        <w:t xml:space="preserve">: migration, and the re-incorporation of ethnic aesthetic practice </w:t>
      </w:r>
    </w:p>
    <w:p w:rsidR="00BD347A" w:rsidRDefault="00E80810">
      <w:pPr>
        <w:spacing w:after="236" w:line="259" w:lineRule="auto"/>
        <w:ind w:left="1380"/>
      </w:pPr>
      <w:proofErr w:type="gramStart"/>
      <w:r>
        <w:t>in</w:t>
      </w:r>
      <w:proofErr w:type="gramEnd"/>
      <w:r>
        <w:t xml:space="preserve"> the taste of luxury, in R. Atkinson and G. Bridge (</w:t>
      </w:r>
      <w:proofErr w:type="spellStart"/>
      <w:r>
        <w:t>Eds</w:t>
      </w:r>
      <w:proofErr w:type="spellEnd"/>
      <w:r>
        <w:t xml:space="preserve">) Gentrification in a Global Context: </w:t>
      </w:r>
    </w:p>
    <w:p w:rsidR="00BD347A" w:rsidRDefault="00E80810">
      <w:pPr>
        <w:spacing w:after="5846"/>
        <w:ind w:left="1380"/>
      </w:pPr>
      <w:r>
        <w:t>The New Urban Colonialism, pp. 185–208. London: Routledge</w:t>
      </w:r>
      <w:r>
        <w:t>.</w:t>
      </w:r>
    </w:p>
    <w:p w:rsidR="00BD347A" w:rsidRDefault="00E80810">
      <w:pPr>
        <w:spacing w:after="0" w:line="259" w:lineRule="auto"/>
        <w:ind w:left="0" w:firstLine="0"/>
      </w:pPr>
      <w:hyperlink r:id="rId6">
        <w:r>
          <w:rPr>
            <w:rFonts w:ascii="Arial" w:eastAsia="Arial" w:hAnsi="Arial" w:cs="Arial"/>
            <w:sz w:val="2"/>
          </w:rPr>
          <w:t>Powered by TCPDF (www.tcpdf.org)</w:t>
        </w:r>
      </w:hyperlink>
    </w:p>
    <w:sectPr w:rsidR="00BD347A">
      <w:headerReference w:type="even" r:id="rId7"/>
      <w:headerReference w:type="default" r:id="rId8"/>
      <w:footerReference w:type="even" r:id="rId9"/>
      <w:footerReference w:type="default" r:id="rId10"/>
      <w:headerReference w:type="first" r:id="rId11"/>
      <w:footerReference w:type="first" r:id="rId12"/>
      <w:pgSz w:w="11900" w:h="16840"/>
      <w:pgMar w:top="387" w:right="1430" w:bottom="20" w:left="57" w:header="720" w:footer="1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0810" w:rsidRDefault="00E80810">
      <w:pPr>
        <w:spacing w:after="0" w:line="240" w:lineRule="auto"/>
      </w:pPr>
      <w:r>
        <w:separator/>
      </w:r>
    </w:p>
  </w:endnote>
  <w:endnote w:type="continuationSeparator" w:id="0">
    <w:p w:rsidR="00E80810" w:rsidRDefault="00E80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47A" w:rsidRDefault="00E80810">
    <w:pPr>
      <w:spacing w:after="367" w:line="259" w:lineRule="auto"/>
      <w:ind w:left="567" w:firstLine="0"/>
    </w:pPr>
    <w:r>
      <w:rPr>
        <w:rFonts w:ascii="Times New Roman" w:eastAsia="Times New Roman" w:hAnsi="Times New Roman" w:cs="Times New Roman"/>
        <w:sz w:val="16"/>
      </w:rPr>
      <w:t>This study source was downloaded by 100000844367464 from CourseHero.com on 03-31-2022 02:16:03 GMT -05:00</w:t>
    </w:r>
  </w:p>
  <w:p w:rsidR="00BD347A" w:rsidRDefault="00E80810">
    <w:pPr>
      <w:spacing w:after="0" w:line="259" w:lineRule="auto"/>
      <w:ind w:left="567" w:firstLine="0"/>
    </w:pPr>
    <w:r>
      <w:rPr>
        <w:rFonts w:ascii="Times New Roman" w:eastAsia="Times New Roman" w:hAnsi="Times New Roman" w:cs="Times New Roman"/>
        <w:sz w:val="16"/>
      </w:rPr>
      <w:t>https://www.coursehero.com/file/128464384/TOROdocx/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47A" w:rsidRDefault="00BD347A">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47A" w:rsidRDefault="00BD347A">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0810" w:rsidRDefault="00E80810">
      <w:pPr>
        <w:spacing w:after="0" w:line="240" w:lineRule="auto"/>
      </w:pPr>
      <w:r>
        <w:separator/>
      </w:r>
    </w:p>
  </w:footnote>
  <w:footnote w:type="continuationSeparator" w:id="0">
    <w:p w:rsidR="00E80810" w:rsidRDefault="00E808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47A" w:rsidRDefault="00E80810">
    <w:pPr>
      <w:spacing w:after="0" w:line="259" w:lineRule="auto"/>
      <w:ind w:left="0" w:firstLine="0"/>
      <w:jc w:val="right"/>
    </w:pPr>
    <w:r>
      <w:t xml:space="preserve">Surname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47A" w:rsidRDefault="00BD347A">
    <w:pPr>
      <w:spacing w:after="0" w:line="259" w:lineRule="auto"/>
      <w:ind w:lef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47A" w:rsidRDefault="00BD347A">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47A"/>
    <w:rsid w:val="00BD347A"/>
    <w:rsid w:val="00CD299C"/>
    <w:rsid w:val="00E808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84CE13A-A2DB-4CD0-9BAA-2C4FA2608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8" w:line="452" w:lineRule="auto"/>
      <w:ind w:left="10"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420" w:line="274" w:lineRule="auto"/>
      <w:ind w:left="2835"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2140</Words>
  <Characters>12198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100000844367464,Uploader: 100000841210730,CHDL-UGC-Meta</cp:keywords>
  <cp:lastModifiedBy>Microsoft account</cp:lastModifiedBy>
  <cp:revision>2</cp:revision>
  <dcterms:created xsi:type="dcterms:W3CDTF">2022-03-31T07:18:00Z</dcterms:created>
  <dcterms:modified xsi:type="dcterms:W3CDTF">2022-03-31T07:18:00Z</dcterms:modified>
</cp:coreProperties>
</file>