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3F6" w:rsidRPr="003742A7" w:rsidRDefault="002E5BC4" w:rsidP="003742A7">
      <w:pPr>
        <w:pStyle w:val="Title"/>
        <w:jc w:val="center"/>
        <w:rPr>
          <w:sz w:val="40"/>
        </w:rPr>
        <w:sectPr w:rsidR="00EE13F6" w:rsidRPr="003742A7">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899" w:h="16841"/>
          <w:pgMar w:top="1440" w:right="1447" w:bottom="1440" w:left="1428" w:header="720" w:footer="22" w:gutter="0"/>
          <w:cols w:space="720"/>
        </w:sectPr>
      </w:pPr>
      <w:r w:rsidRPr="003742A7">
        <w:rPr>
          <w:rFonts w:eastAsia="Calibri"/>
          <w:sz w:val="40"/>
        </w:rPr>
        <w:t>Impact on Capital Markets of the European Project of a Financial Transaction Tax Paris-Dauphine Doctoral school ED 543 ec</w:t>
      </w:r>
      <w:r w:rsidR="003742A7" w:rsidRPr="003742A7">
        <w:rPr>
          <w:sz w:val="40"/>
        </w:rPr>
        <w:t>onomic</w:t>
      </w:r>
    </w:p>
    <w:p w:rsidR="00EE13F6" w:rsidRDefault="002E5BC4" w:rsidP="003742A7">
      <w:pPr>
        <w:spacing w:after="555"/>
      </w:pPr>
      <w:r>
        <w:rPr>
          <w:rFonts w:ascii="Times New Roman" w:eastAsia="Times New Roman" w:hAnsi="Times New Roman" w:cs="Times New Roman"/>
          <w:b/>
          <w:sz w:val="24"/>
        </w:rPr>
        <w:lastRenderedPageBreak/>
        <w:t xml:space="preserve">SUMMARY </w:t>
      </w:r>
    </w:p>
    <w:p w:rsidR="00EE13F6" w:rsidRDefault="002E5BC4" w:rsidP="002E5BC4">
      <w:pPr>
        <w:numPr>
          <w:ilvl w:val="0"/>
          <w:numId w:val="1"/>
        </w:numPr>
        <w:spacing w:after="260"/>
        <w:ind w:right="339" w:hanging="360"/>
        <w:jc w:val="both"/>
      </w:pPr>
      <w:r>
        <w:rPr>
          <w:rFonts w:ascii="Times New Roman" w:eastAsia="Times New Roman" w:hAnsi="Times New Roman" w:cs="Times New Roman"/>
          <w:sz w:val="24"/>
        </w:rPr>
        <w:t>Dissertation Summary</w:t>
      </w:r>
    </w:p>
    <w:p w:rsidR="00EE13F6" w:rsidRDefault="002E5BC4" w:rsidP="002E5BC4">
      <w:pPr>
        <w:numPr>
          <w:ilvl w:val="0"/>
          <w:numId w:val="1"/>
        </w:numPr>
        <w:spacing w:after="9" w:line="250" w:lineRule="auto"/>
        <w:ind w:right="339" w:hanging="360"/>
        <w:jc w:val="both"/>
      </w:pPr>
      <w:r>
        <w:rPr>
          <w:rFonts w:ascii="Times New Roman" w:eastAsia="Times New Roman" w:hAnsi="Times New Roman" w:cs="Times New Roman"/>
          <w:sz w:val="24"/>
        </w:rPr>
        <w:t xml:space="preserve">Chapter I: “The Effect of the EU Financial Transaction Tax on Implied </w:t>
      </w:r>
    </w:p>
    <w:p w:rsidR="00EE13F6" w:rsidRDefault="002E5BC4">
      <w:pPr>
        <w:spacing w:after="263" w:line="250" w:lineRule="auto"/>
        <w:ind w:left="1095" w:right="339" w:hanging="10"/>
        <w:jc w:val="both"/>
      </w:pPr>
      <w:r>
        <w:rPr>
          <w:rFonts w:ascii="Times New Roman" w:eastAsia="Times New Roman" w:hAnsi="Times New Roman" w:cs="Times New Roman"/>
          <w:sz w:val="24"/>
        </w:rPr>
        <w:t>Volatility”.</w:t>
      </w:r>
    </w:p>
    <w:p w:rsidR="00EE13F6" w:rsidRDefault="002E5BC4" w:rsidP="002E5BC4">
      <w:pPr>
        <w:numPr>
          <w:ilvl w:val="0"/>
          <w:numId w:val="1"/>
        </w:numPr>
        <w:spacing w:after="263" w:line="250" w:lineRule="auto"/>
        <w:ind w:right="339" w:hanging="360"/>
        <w:jc w:val="both"/>
      </w:pPr>
      <w:r>
        <w:rPr>
          <w:rFonts w:ascii="Times New Roman" w:eastAsia="Times New Roman" w:hAnsi="Times New Roman" w:cs="Times New Roman"/>
          <w:sz w:val="24"/>
        </w:rPr>
        <w:t>Chapter II: “Study of the Effect of the EU Financial Transaction Tax on the Corporate Cost of Capital and the Corporate Bond Market”.</w:t>
      </w:r>
    </w:p>
    <w:p w:rsidR="00EE13F6" w:rsidRDefault="002E5BC4" w:rsidP="002E5BC4">
      <w:pPr>
        <w:numPr>
          <w:ilvl w:val="0"/>
          <w:numId w:val="1"/>
        </w:numPr>
        <w:spacing w:after="263" w:line="322" w:lineRule="auto"/>
        <w:ind w:right="339" w:hanging="360"/>
        <w:jc w:val="both"/>
      </w:pPr>
      <w:r>
        <w:rPr>
          <w:rFonts w:ascii="Times New Roman" w:eastAsia="Times New Roman" w:hAnsi="Times New Roman" w:cs="Times New Roman"/>
          <w:sz w:val="24"/>
        </w:rPr>
        <w:t xml:space="preserve">Chapter III: “Study of the Effect of </w:t>
      </w:r>
      <w:r>
        <w:rPr>
          <w:rFonts w:ascii="Times New Roman" w:eastAsia="Times New Roman" w:hAnsi="Times New Roman" w:cs="Times New Roman"/>
          <w:sz w:val="24"/>
        </w:rPr>
        <w:t>the EU Financial Transaction Tax on Stock Markets, Corporate Value and Volumes of Securities on the Primary Market”. 5. Article published in “Applied Economics” on Aug 21, 2017: “Study of the Effect of a Financial Transaction Tax on the Corporate Cost of C</w:t>
      </w:r>
      <w:r>
        <w:rPr>
          <w:rFonts w:ascii="Times New Roman" w:eastAsia="Times New Roman" w:hAnsi="Times New Roman" w:cs="Times New Roman"/>
          <w:sz w:val="24"/>
        </w:rPr>
        <w:t>apital”.</w:t>
      </w:r>
      <w:r>
        <w:br w:type="page"/>
      </w:r>
    </w:p>
    <w:p w:rsidR="00EE13F6" w:rsidRDefault="002E5BC4">
      <w:pPr>
        <w:spacing w:after="4" w:line="262" w:lineRule="auto"/>
        <w:ind w:left="165" w:right="155" w:hanging="10"/>
        <w:jc w:val="center"/>
      </w:pPr>
      <w:r>
        <w:rPr>
          <w:rFonts w:ascii="Times New Roman" w:eastAsia="Times New Roman" w:hAnsi="Times New Roman" w:cs="Times New Roman"/>
          <w:sz w:val="34"/>
        </w:rPr>
        <w:lastRenderedPageBreak/>
        <w:t xml:space="preserve">Summary of the Dissertation of Jean-Pierre FRAICHOT </w:t>
      </w:r>
    </w:p>
    <w:p w:rsidR="00EE13F6" w:rsidRDefault="002E5BC4">
      <w:pPr>
        <w:spacing w:after="4" w:line="262" w:lineRule="auto"/>
        <w:ind w:left="165" w:right="77" w:hanging="10"/>
        <w:jc w:val="center"/>
      </w:pPr>
      <w:bookmarkStart w:id="0" w:name="_GoBack"/>
      <w:r>
        <w:rPr>
          <w:rFonts w:ascii="Times New Roman" w:eastAsia="Times New Roman" w:hAnsi="Times New Roman" w:cs="Times New Roman"/>
          <w:sz w:val="34"/>
        </w:rPr>
        <w:t xml:space="preserve">Impact of </w:t>
      </w:r>
      <w:r w:rsidR="003742A7">
        <w:rPr>
          <w:rFonts w:ascii="Times New Roman" w:eastAsia="Times New Roman" w:hAnsi="Times New Roman" w:cs="Times New Roman"/>
          <w:sz w:val="34"/>
        </w:rPr>
        <w:t>the</w:t>
      </w:r>
      <w:r>
        <w:rPr>
          <w:rFonts w:ascii="Times New Roman" w:eastAsia="Times New Roman" w:hAnsi="Times New Roman" w:cs="Times New Roman"/>
          <w:sz w:val="34"/>
        </w:rPr>
        <w:t xml:space="preserve"> Financial Transactions Tax </w:t>
      </w:r>
      <w:r w:rsidR="003742A7">
        <w:rPr>
          <w:rFonts w:ascii="Times New Roman" w:eastAsia="Times New Roman" w:hAnsi="Times New Roman" w:cs="Times New Roman"/>
          <w:sz w:val="34"/>
        </w:rPr>
        <w:t>upon</w:t>
      </w:r>
      <w:r>
        <w:rPr>
          <w:rFonts w:ascii="Times New Roman" w:eastAsia="Times New Roman" w:hAnsi="Times New Roman" w:cs="Times New Roman"/>
          <w:sz w:val="34"/>
        </w:rPr>
        <w:t xml:space="preserve"> Capital Markets</w:t>
      </w:r>
      <w:bookmarkEnd w:id="0"/>
      <w:r>
        <w:rPr>
          <w:rFonts w:ascii="Times New Roman" w:eastAsia="Times New Roman" w:hAnsi="Times New Roman" w:cs="Times New Roman"/>
          <w:sz w:val="34"/>
        </w:rPr>
        <w:t xml:space="preserve"> </w:t>
      </w:r>
    </w:p>
    <w:p w:rsidR="003742A7" w:rsidRDefault="003742A7">
      <w:pPr>
        <w:spacing w:after="853" w:line="367" w:lineRule="auto"/>
        <w:ind w:left="512" w:hanging="10"/>
        <w:jc w:val="both"/>
        <w:rPr>
          <w:rFonts w:ascii="Times New Roman" w:eastAsia="Times New Roman" w:hAnsi="Times New Roman" w:cs="Times New Roman"/>
          <w:sz w:val="24"/>
        </w:rPr>
      </w:pPr>
    </w:p>
    <w:p w:rsidR="00EE13F6" w:rsidRDefault="002E5BC4">
      <w:pPr>
        <w:spacing w:after="853" w:line="367" w:lineRule="auto"/>
        <w:ind w:left="512" w:hanging="10"/>
        <w:jc w:val="both"/>
      </w:pPr>
      <w:r>
        <w:rPr>
          <w:rFonts w:ascii="Times New Roman" w:eastAsia="Times New Roman" w:hAnsi="Times New Roman" w:cs="Times New Roman"/>
          <w:sz w:val="24"/>
        </w:rPr>
        <w:t>The purpose of the dissertation is the study of the consequences of the proposed taxation of financial transactions by the European Union, in its current form. This plan would create a tax that would</w:t>
      </w:r>
      <w:r>
        <w:rPr>
          <w:rFonts w:ascii="Times New Roman" w:eastAsia="Times New Roman" w:hAnsi="Times New Roman" w:cs="Times New Roman"/>
          <w:sz w:val="24"/>
        </w:rPr>
        <w:t xml:space="preserve"> be a hybrid between the classic TOBIN tax on foreign exchange markets and the concept of “</w:t>
      </w:r>
      <w:r>
        <w:rPr>
          <w:rFonts w:ascii="Times New Roman" w:eastAsia="Times New Roman" w:hAnsi="Times New Roman" w:cs="Times New Roman"/>
          <w:i/>
          <w:sz w:val="24"/>
        </w:rPr>
        <w:t>Standard Transaction Excise Tax</w:t>
      </w:r>
      <w:r>
        <w:rPr>
          <w:rFonts w:ascii="Times New Roman" w:eastAsia="Times New Roman" w:hAnsi="Times New Roman" w:cs="Times New Roman"/>
          <w:sz w:val="24"/>
        </w:rPr>
        <w:t>” (STET) introduced by STIGLITZ and SUMMERS, based upon an original idea by KEYNES, and concerning the securities market. This new Eur</w:t>
      </w:r>
      <w:r>
        <w:rPr>
          <w:rFonts w:ascii="Times New Roman" w:eastAsia="Times New Roman" w:hAnsi="Times New Roman" w:cs="Times New Roman"/>
          <w:sz w:val="24"/>
        </w:rPr>
        <w:t>opean STET consists in taxing financial transactions concluded within the European Union, or by financial institutions domiciled within the Union. The respective rates of this tax would range from .1% and .01% for cash and derivative instruments, and the b</w:t>
      </w:r>
      <w:r>
        <w:rPr>
          <w:rFonts w:ascii="Times New Roman" w:eastAsia="Times New Roman" w:hAnsi="Times New Roman" w:cs="Times New Roman"/>
          <w:sz w:val="24"/>
        </w:rPr>
        <w:t>asis would be the nominal value of the contracts. As the subject is extremely vast, we limit ourselves to the study of stock and bonds markets. After a presentation of the literature, and the approach chosen for this dissertation, we will set forth in a th</w:t>
      </w:r>
      <w:r>
        <w:rPr>
          <w:rFonts w:ascii="Times New Roman" w:eastAsia="Times New Roman" w:hAnsi="Times New Roman" w:cs="Times New Roman"/>
          <w:sz w:val="24"/>
        </w:rPr>
        <w:t xml:space="preserve">ird section the main results of the dissertation. The final section is dedicated to the general conclusion of the dissertation. </w:t>
      </w:r>
    </w:p>
    <w:p w:rsidR="00EE13F6" w:rsidRDefault="002E5BC4">
      <w:pPr>
        <w:pStyle w:val="Heading1"/>
        <w:spacing w:after="516"/>
        <w:ind w:left="502" w:firstLine="0"/>
      </w:pPr>
      <w:r>
        <w:rPr>
          <w:rFonts w:ascii="Times New Roman" w:eastAsia="Times New Roman" w:hAnsi="Times New Roman" w:cs="Times New Roman"/>
          <w:sz w:val="28"/>
        </w:rPr>
        <w:t xml:space="preserve">Section 1: Literature </w:t>
      </w:r>
    </w:p>
    <w:p w:rsidR="00EE13F6" w:rsidRDefault="002E5BC4">
      <w:pPr>
        <w:spacing w:after="3" w:line="367" w:lineRule="auto"/>
        <w:ind w:left="512" w:hanging="10"/>
        <w:jc w:val="both"/>
      </w:pPr>
      <w:r>
        <w:rPr>
          <w:rFonts w:ascii="Times New Roman" w:eastAsia="Times New Roman" w:hAnsi="Times New Roman" w:cs="Times New Roman"/>
          <w:sz w:val="24"/>
        </w:rPr>
        <w:t>There exists an extensive literature (see enclosed References) concerning the effects of a STET upon financial markets, in particular with regard to the potential impact upon (i) the cost of capital for businesses, (ii) volatility, and (iii) liquidity. The</w:t>
      </w:r>
      <w:r>
        <w:rPr>
          <w:rFonts w:ascii="Times New Roman" w:eastAsia="Times New Roman" w:hAnsi="Times New Roman" w:cs="Times New Roman"/>
          <w:sz w:val="24"/>
        </w:rPr>
        <w:t xml:space="preserve"> various studies are either theoretical works, in limited number, dealing with general equilibrium models (e.g. [21]), or empirical surveys of the impact of past experiments with the implementation of STET-type taxes in various countries (United Kingdom, S</w:t>
      </w:r>
      <w:r>
        <w:rPr>
          <w:rFonts w:ascii="Times New Roman" w:eastAsia="Times New Roman" w:hAnsi="Times New Roman" w:cs="Times New Roman"/>
          <w:sz w:val="24"/>
        </w:rPr>
        <w:t xml:space="preserve">weden, Japan) ([4], [5], [14], [19], [25], [27], [30], [33], [36], [39]). We will conclude this brief review of the literature by a critical analysis that will allow us to define our own approach. </w:t>
      </w:r>
      <w:r>
        <w:rPr>
          <w:rFonts w:ascii="Times New Roman" w:eastAsia="Times New Roman" w:hAnsi="Times New Roman" w:cs="Times New Roman"/>
          <w:b/>
          <w:sz w:val="24"/>
        </w:rPr>
        <w:t xml:space="preserve"> </w:t>
      </w:r>
    </w:p>
    <w:p w:rsidR="00EE13F6" w:rsidRDefault="002E5BC4">
      <w:pPr>
        <w:pStyle w:val="Heading2"/>
        <w:spacing w:after="524" w:line="265" w:lineRule="auto"/>
        <w:ind w:left="-5"/>
      </w:pPr>
      <w:r>
        <w:rPr>
          <w:rFonts w:ascii="Times New Roman" w:eastAsia="Times New Roman" w:hAnsi="Times New Roman" w:cs="Times New Roman"/>
        </w:rPr>
        <w:lastRenderedPageBreak/>
        <w:t>1.1</w:t>
      </w:r>
      <w:r>
        <w:rPr>
          <w:rFonts w:ascii="Arial" w:eastAsia="Arial" w:hAnsi="Arial" w:cs="Arial"/>
        </w:rPr>
        <w:t xml:space="preserve"> </w:t>
      </w:r>
      <w:r>
        <w:rPr>
          <w:rFonts w:ascii="Times New Roman" w:eastAsia="Times New Roman" w:hAnsi="Times New Roman" w:cs="Times New Roman"/>
        </w:rPr>
        <w:t xml:space="preserve">Effect On Cost of Capital </w:t>
      </w:r>
    </w:p>
    <w:p w:rsidR="00EE13F6" w:rsidRDefault="002E5BC4">
      <w:pPr>
        <w:spacing w:after="422" w:line="367" w:lineRule="auto"/>
        <w:ind w:left="-5" w:hanging="10"/>
        <w:jc w:val="both"/>
      </w:pPr>
      <w:r>
        <w:rPr>
          <w:rFonts w:ascii="Times New Roman" w:eastAsia="Times New Roman" w:hAnsi="Times New Roman" w:cs="Times New Roman"/>
          <w:sz w:val="24"/>
        </w:rPr>
        <w:t>Concerning this first point, there exists a consensus on the effect of the increase in the cost of capital for businesses. The (mostly empirical) available studies generally find a negative impact in the middle term (with a horizon of a few years) upon the</w:t>
      </w:r>
      <w:r>
        <w:rPr>
          <w:rFonts w:ascii="Times New Roman" w:eastAsia="Times New Roman" w:hAnsi="Times New Roman" w:cs="Times New Roman"/>
          <w:sz w:val="24"/>
        </w:rPr>
        <w:t xml:space="preserve"> prices of financial instruments (mostly stocks).  </w:t>
      </w:r>
    </w:p>
    <w:p w:rsidR="00EE13F6" w:rsidRDefault="002E5BC4" w:rsidP="002E5BC4">
      <w:pPr>
        <w:numPr>
          <w:ilvl w:val="0"/>
          <w:numId w:val="2"/>
        </w:numPr>
        <w:spacing w:after="229" w:line="367" w:lineRule="auto"/>
        <w:ind w:hanging="360"/>
        <w:jc w:val="both"/>
      </w:pPr>
      <w:r>
        <w:rPr>
          <w:rFonts w:ascii="Times New Roman" w:eastAsia="Times New Roman" w:hAnsi="Times New Roman" w:cs="Times New Roman"/>
          <w:b/>
          <w:sz w:val="24"/>
        </w:rPr>
        <w:t xml:space="preserve">Empirical Studies: </w:t>
      </w:r>
      <w:r>
        <w:rPr>
          <w:rFonts w:ascii="Times New Roman" w:eastAsia="Times New Roman" w:hAnsi="Times New Roman" w:cs="Times New Roman"/>
          <w:sz w:val="24"/>
        </w:rPr>
        <w:t xml:space="preserve">In the context of the introduction of a STET in Sweden, WESTERHOLM [39], then UMLAUF [36] find a significantly negative impact for the introduction of a STET upon the prices of stocks. </w:t>
      </w:r>
      <w:r>
        <w:rPr>
          <w:rFonts w:ascii="Times New Roman" w:eastAsia="Times New Roman" w:hAnsi="Times New Roman" w:cs="Times New Roman"/>
          <w:sz w:val="24"/>
        </w:rPr>
        <w:t>UMLAUF shows that the Swedish stock index fell by 2.2% on the day the 1% tax was implemented and .8% on the day that tax was raised to 2%.</w:t>
      </w:r>
    </w:p>
    <w:p w:rsidR="00EE13F6" w:rsidRDefault="002E5BC4">
      <w:pPr>
        <w:spacing w:after="230" w:line="367" w:lineRule="auto"/>
        <w:ind w:left="370" w:hanging="10"/>
        <w:jc w:val="both"/>
      </w:pPr>
      <w:r>
        <w:rPr>
          <w:rFonts w:ascii="Times New Roman" w:eastAsia="Times New Roman" w:hAnsi="Times New Roman" w:cs="Times New Roman"/>
          <w:sz w:val="24"/>
        </w:rPr>
        <w:t xml:space="preserve">WESTERHOLM concludes that cutting the tax by 1% would lead to a 7.5% increase in that index, while a complete repeal </w:t>
      </w:r>
      <w:r>
        <w:rPr>
          <w:rFonts w:ascii="Times New Roman" w:eastAsia="Times New Roman" w:hAnsi="Times New Roman" w:cs="Times New Roman"/>
          <w:sz w:val="24"/>
        </w:rPr>
        <w:t xml:space="preserve">of the tax would lead to 9.7% increase. </w:t>
      </w:r>
    </w:p>
    <w:p w:rsidR="00EE13F6" w:rsidRDefault="002E5BC4">
      <w:pPr>
        <w:spacing w:after="902" w:line="367" w:lineRule="auto"/>
        <w:ind w:left="370" w:hanging="10"/>
        <w:jc w:val="both"/>
      </w:pPr>
      <w:r>
        <w:rPr>
          <w:rFonts w:ascii="Times New Roman" w:eastAsia="Times New Roman" w:hAnsi="Times New Roman" w:cs="Times New Roman"/>
          <w:sz w:val="24"/>
        </w:rPr>
        <w:t>Transposing these results to the case of the United Kingdom, SAPORTA and KAHN [33], through their analysis of the historical stock prices from 1969 to 1996, find similar results and conclude that a 1% drop in the “S</w:t>
      </w:r>
      <w:r>
        <w:rPr>
          <w:rFonts w:ascii="Times New Roman" w:eastAsia="Times New Roman" w:hAnsi="Times New Roman" w:cs="Times New Roman"/>
          <w:sz w:val="24"/>
        </w:rPr>
        <w:t>TAMP DUTY TAX” would lead to a 6.24% increase in the general stock index. HAWKINS and MACCRAE [15] analyze the potential repeal of that tax and find an increase ranging from 6.75 and 12.25%, depending on the assumptions made on the impact of the tax repeal</w:t>
      </w:r>
      <w:r>
        <w:rPr>
          <w:rFonts w:ascii="Times New Roman" w:eastAsia="Times New Roman" w:hAnsi="Times New Roman" w:cs="Times New Roman"/>
          <w:sz w:val="24"/>
        </w:rPr>
        <w:t xml:space="preserve"> on the transaction volumes.  </w:t>
      </w:r>
    </w:p>
    <w:p w:rsidR="00EE13F6" w:rsidRDefault="002E5BC4" w:rsidP="002E5BC4">
      <w:pPr>
        <w:numPr>
          <w:ilvl w:val="0"/>
          <w:numId w:val="2"/>
        </w:numPr>
        <w:spacing w:after="3" w:line="367" w:lineRule="auto"/>
        <w:ind w:hanging="360"/>
        <w:jc w:val="both"/>
      </w:pPr>
      <w:r>
        <w:rPr>
          <w:rFonts w:ascii="Times New Roman" w:eastAsia="Times New Roman" w:hAnsi="Times New Roman" w:cs="Times New Roman"/>
          <w:b/>
          <w:sz w:val="24"/>
        </w:rPr>
        <w:t>Theoretical Studies</w:t>
      </w:r>
      <w:r>
        <w:rPr>
          <w:rFonts w:ascii="Times New Roman" w:eastAsia="Times New Roman" w:hAnsi="Times New Roman" w:cs="Times New Roman"/>
          <w:sz w:val="24"/>
        </w:rPr>
        <w:t>: A study by LENDVAI, RACIBORSKI, VOGEL for the Economic Studies Department of the European Commission [21], based on a general equilibrium model, concluded to a .09% impact on the cost of capital.</w:t>
      </w:r>
    </w:p>
    <w:p w:rsidR="00EE13F6" w:rsidRDefault="002E5BC4">
      <w:pPr>
        <w:pStyle w:val="Heading2"/>
        <w:spacing w:after="109" w:line="265" w:lineRule="auto"/>
        <w:ind w:left="-5"/>
      </w:pPr>
      <w:r>
        <w:rPr>
          <w:rFonts w:ascii="Times New Roman" w:eastAsia="Times New Roman" w:hAnsi="Times New Roman" w:cs="Times New Roman"/>
        </w:rPr>
        <w:t>1.2</w:t>
      </w:r>
      <w:r>
        <w:rPr>
          <w:rFonts w:ascii="Arial" w:eastAsia="Arial" w:hAnsi="Arial" w:cs="Arial"/>
        </w:rPr>
        <w:t xml:space="preserve"> </w:t>
      </w:r>
      <w:r>
        <w:rPr>
          <w:rFonts w:ascii="Times New Roman" w:eastAsia="Times New Roman" w:hAnsi="Times New Roman" w:cs="Times New Roman"/>
        </w:rPr>
        <w:t>Effe</w:t>
      </w:r>
      <w:r>
        <w:rPr>
          <w:rFonts w:ascii="Times New Roman" w:eastAsia="Times New Roman" w:hAnsi="Times New Roman" w:cs="Times New Roman"/>
        </w:rPr>
        <w:t>ct On Volatility</w:t>
      </w:r>
      <w:r>
        <w:rPr>
          <w:rFonts w:ascii="Times New Roman" w:eastAsia="Times New Roman" w:hAnsi="Times New Roman" w:cs="Times New Roman"/>
          <w:b w:val="0"/>
        </w:rPr>
        <w:t xml:space="preserve">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 xml:space="preserve">There exists in fact no consensus on the impact of the introduction of a STET on financial market volatility. A detailed survey of the very abundant literature on the topic by WANG and YAU [38], </w:t>
      </w:r>
      <w:r>
        <w:rPr>
          <w:rFonts w:ascii="Times New Roman" w:eastAsia="Times New Roman" w:hAnsi="Times New Roman" w:cs="Times New Roman"/>
          <w:sz w:val="24"/>
        </w:rPr>
        <w:lastRenderedPageBreak/>
        <w:t xml:space="preserve">evidences two groups of studies, each arriving at different conclusions. A first group of studies finds no significant effect, while a second group finds an increase in volatility. </w:t>
      </w:r>
    </w:p>
    <w:p w:rsidR="00EE13F6" w:rsidRDefault="002E5BC4">
      <w:pPr>
        <w:spacing w:after="121"/>
      </w:pPr>
      <w:r>
        <w:rPr>
          <w:rFonts w:ascii="Times New Roman" w:eastAsia="Times New Roman" w:hAnsi="Times New Roman" w:cs="Times New Roman"/>
          <w:sz w:val="24"/>
        </w:rPr>
        <w:t xml:space="preserve"> </w:t>
      </w:r>
    </w:p>
    <w:p w:rsidR="00EE13F6" w:rsidRDefault="002E5BC4">
      <w:pPr>
        <w:pStyle w:val="Heading2"/>
        <w:spacing w:after="109" w:line="265" w:lineRule="auto"/>
        <w:ind w:left="-5"/>
      </w:pPr>
      <w:r>
        <w:rPr>
          <w:rFonts w:ascii="Times New Roman" w:eastAsia="Times New Roman" w:hAnsi="Times New Roman" w:cs="Times New Roman"/>
        </w:rPr>
        <w:t>1.3</w:t>
      </w:r>
      <w:r>
        <w:rPr>
          <w:rFonts w:ascii="Arial" w:eastAsia="Arial" w:hAnsi="Arial" w:cs="Arial"/>
        </w:rPr>
        <w:t xml:space="preserve"> </w:t>
      </w:r>
      <w:r>
        <w:rPr>
          <w:rFonts w:ascii="Times New Roman" w:eastAsia="Times New Roman" w:hAnsi="Times New Roman" w:cs="Times New Roman"/>
        </w:rPr>
        <w:t>Effect On Liquidity</w:t>
      </w:r>
      <w:r>
        <w:rPr>
          <w:rFonts w:ascii="Times New Roman" w:eastAsia="Times New Roman" w:hAnsi="Times New Roman" w:cs="Times New Roman"/>
          <w:b w:val="0"/>
        </w:rPr>
        <w:t xml:space="preserve">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There again we have two kinds of studies, li</w:t>
      </w:r>
      <w:r>
        <w:rPr>
          <w:rFonts w:ascii="Times New Roman" w:eastAsia="Times New Roman" w:hAnsi="Times New Roman" w:cs="Times New Roman"/>
          <w:sz w:val="24"/>
        </w:rPr>
        <w:t xml:space="preserve">kewise listed at [38]. The first group of studies finds that the liquidity of securities markets would be negatively affected by the introduction of the tax, particularly as to the volumes exchanged on the markets, and more particularly where there exists </w:t>
      </w:r>
      <w:r>
        <w:rPr>
          <w:rFonts w:ascii="Times New Roman" w:eastAsia="Times New Roman" w:hAnsi="Times New Roman" w:cs="Times New Roman"/>
          <w:sz w:val="24"/>
        </w:rPr>
        <w:t xml:space="preserve">the option to transfer transactions toward another market that would not be subject to the STET, as was the case for the Swedish market. The second group of studies finds such impact to be negligible, or impossible to prove. </w:t>
      </w:r>
    </w:p>
    <w:p w:rsidR="00EE13F6" w:rsidRDefault="002E5BC4">
      <w:pPr>
        <w:spacing w:after="112"/>
      </w:pPr>
      <w:r>
        <w:rPr>
          <w:rFonts w:ascii="Times New Roman" w:eastAsia="Times New Roman" w:hAnsi="Times New Roman" w:cs="Times New Roman"/>
          <w:sz w:val="24"/>
        </w:rPr>
        <w:t xml:space="preserve"> </w:t>
      </w:r>
    </w:p>
    <w:p w:rsidR="00EE13F6" w:rsidRDefault="002E5BC4">
      <w:pPr>
        <w:pStyle w:val="Heading2"/>
        <w:spacing w:after="109" w:line="265" w:lineRule="auto"/>
        <w:ind w:left="-5"/>
      </w:pPr>
      <w:r>
        <w:rPr>
          <w:rFonts w:ascii="Times New Roman" w:eastAsia="Times New Roman" w:hAnsi="Times New Roman" w:cs="Times New Roman"/>
        </w:rPr>
        <w:t>1.4 Critical Analysis of Ext</w:t>
      </w:r>
      <w:r>
        <w:rPr>
          <w:rFonts w:ascii="Times New Roman" w:eastAsia="Times New Roman" w:hAnsi="Times New Roman" w:cs="Times New Roman"/>
        </w:rPr>
        <w:t xml:space="preserve">ant Literature </w:t>
      </w:r>
    </w:p>
    <w:p w:rsidR="00EE13F6" w:rsidRDefault="002E5BC4">
      <w:pPr>
        <w:spacing w:after="112"/>
      </w:pPr>
      <w:r>
        <w:rPr>
          <w:rFonts w:ascii="Times New Roman" w:eastAsia="Times New Roman" w:hAnsi="Times New Roman" w:cs="Times New Roman"/>
          <w:b/>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 xml:space="preserve">The approach generally followed by the relevant literature is that of an empirical ex-post facto analysis of the volatility actually recorded on the markets following historical experiments of implementation of STET-type taxes in various </w:t>
      </w:r>
      <w:r>
        <w:rPr>
          <w:rFonts w:ascii="Times New Roman" w:eastAsia="Times New Roman" w:hAnsi="Times New Roman" w:cs="Times New Roman"/>
          <w:sz w:val="24"/>
        </w:rPr>
        <w:t xml:space="preserve">countries.  </w:t>
      </w:r>
    </w:p>
    <w:p w:rsidR="00EE13F6" w:rsidRDefault="002E5BC4">
      <w:pPr>
        <w:spacing w:after="116"/>
      </w:pPr>
      <w:r>
        <w:rPr>
          <w:rFonts w:ascii="Times New Roman" w:eastAsia="Times New Roman" w:hAnsi="Times New Roman" w:cs="Times New Roman"/>
          <w:sz w:val="24"/>
        </w:rPr>
        <w:t xml:space="preserve"> </w:t>
      </w:r>
    </w:p>
    <w:p w:rsidR="00EE13F6" w:rsidRDefault="002E5BC4" w:rsidP="002E5BC4">
      <w:pPr>
        <w:numPr>
          <w:ilvl w:val="0"/>
          <w:numId w:val="3"/>
        </w:numPr>
        <w:spacing w:after="3" w:line="367" w:lineRule="auto"/>
        <w:ind w:hanging="360"/>
        <w:jc w:val="both"/>
      </w:pPr>
      <w:r>
        <w:rPr>
          <w:rFonts w:ascii="Times New Roman" w:eastAsia="Times New Roman" w:hAnsi="Times New Roman" w:cs="Times New Roman"/>
          <w:sz w:val="24"/>
        </w:rPr>
        <w:t>Surprisingly, les effects of a STET-type tax have never been considered via the standpoint of the markets of options on financial securities, while these markets by definition are markets where one trades the anticipated volatility of financ</w:t>
      </w:r>
      <w:r>
        <w:rPr>
          <w:rFonts w:ascii="Times New Roman" w:eastAsia="Times New Roman" w:hAnsi="Times New Roman" w:cs="Times New Roman"/>
          <w:sz w:val="24"/>
        </w:rPr>
        <w:t>ial securities, which are the underlying assets of the relevant option contracts. The anticipation of the impact on these financial markets of the introduction of a Financial Transaction Tax (FTT) would answer the question of the impact of the tax on volat</w:t>
      </w:r>
      <w:r>
        <w:rPr>
          <w:rFonts w:ascii="Times New Roman" w:eastAsia="Times New Roman" w:hAnsi="Times New Roman" w:cs="Times New Roman"/>
          <w:sz w:val="24"/>
        </w:rPr>
        <w:t>ility. Likewise, the analysis of the impact on the costs of capital does not take into account to this day the credit derivatives markets. This shortcoming is explained, in our opinion, by the fact that most implementations of STET-type taxes have been imp</w:t>
      </w:r>
      <w:r>
        <w:rPr>
          <w:rFonts w:ascii="Times New Roman" w:eastAsia="Times New Roman" w:hAnsi="Times New Roman" w:cs="Times New Roman"/>
          <w:sz w:val="24"/>
        </w:rPr>
        <w:t xml:space="preserve">lemented at a time (until roughly the 1990s) when the stock and credit derivatives markets did not yet exist. </w:t>
      </w:r>
    </w:p>
    <w:p w:rsidR="00EE13F6" w:rsidRDefault="002E5BC4">
      <w:pPr>
        <w:spacing w:after="121"/>
      </w:pPr>
      <w:r>
        <w:rPr>
          <w:rFonts w:ascii="Times New Roman" w:eastAsia="Times New Roman" w:hAnsi="Times New Roman" w:cs="Times New Roman"/>
          <w:sz w:val="24"/>
        </w:rPr>
        <w:t xml:space="preserve"> </w:t>
      </w:r>
    </w:p>
    <w:p w:rsidR="00EE13F6" w:rsidRDefault="002E5BC4" w:rsidP="002E5BC4">
      <w:pPr>
        <w:numPr>
          <w:ilvl w:val="0"/>
          <w:numId w:val="3"/>
        </w:numPr>
        <w:spacing w:after="3" w:line="367" w:lineRule="auto"/>
        <w:ind w:hanging="360"/>
        <w:jc w:val="both"/>
      </w:pPr>
      <w:r>
        <w:rPr>
          <w:rFonts w:ascii="Times New Roman" w:eastAsia="Times New Roman" w:hAnsi="Times New Roman" w:cs="Times New Roman"/>
          <w:sz w:val="24"/>
        </w:rPr>
        <w:t xml:space="preserve">Finally, the link between the potential impact of the FTT on volatility and the cost capital has been discussed, to our knowledge, only in the </w:t>
      </w:r>
      <w:r>
        <w:rPr>
          <w:rFonts w:ascii="Times New Roman" w:eastAsia="Times New Roman" w:hAnsi="Times New Roman" w:cs="Times New Roman"/>
          <w:sz w:val="24"/>
        </w:rPr>
        <w:t xml:space="preserve">empirical studies cited above, and never from </w:t>
      </w:r>
      <w:r>
        <w:rPr>
          <w:rFonts w:ascii="Times New Roman" w:eastAsia="Times New Roman" w:hAnsi="Times New Roman" w:cs="Times New Roman"/>
          <w:sz w:val="24"/>
        </w:rPr>
        <w:lastRenderedPageBreak/>
        <w:t>the standpoint of theoretical modeling. This second shortcoming can be explained largely by the fact that markets arbitrage (“Capital Structure Arbitrage”) between credit derivatives and stock derivatives, such</w:t>
      </w:r>
      <w:r>
        <w:rPr>
          <w:rFonts w:ascii="Times New Roman" w:eastAsia="Times New Roman" w:hAnsi="Times New Roman" w:cs="Times New Roman"/>
          <w:sz w:val="24"/>
        </w:rPr>
        <w:t xml:space="preserve"> as “Credit Defaults Swaps</w:t>
      </w:r>
      <w:r>
        <w:rPr>
          <w:rFonts w:ascii="Times New Roman" w:eastAsia="Times New Roman" w:hAnsi="Times New Roman" w:cs="Times New Roman"/>
          <w:i/>
          <w:sz w:val="24"/>
        </w:rPr>
        <w:t>”</w:t>
      </w:r>
      <w:r>
        <w:rPr>
          <w:rFonts w:ascii="Times New Roman" w:eastAsia="Times New Roman" w:hAnsi="Times New Roman" w:cs="Times New Roman"/>
          <w:sz w:val="24"/>
        </w:rPr>
        <w:t xml:space="preserve"> (CDS) or “Collateralized Debt Obligations” (CDO) have only been developed very recently, since the early 2000s. Further, these markets have almost disappeared, or at least have stagnated, between 2008 and 2015following the finan</w:t>
      </w:r>
      <w:r>
        <w:rPr>
          <w:rFonts w:ascii="Times New Roman" w:eastAsia="Times New Roman" w:hAnsi="Times New Roman" w:cs="Times New Roman"/>
          <w:sz w:val="24"/>
        </w:rPr>
        <w:t xml:space="preserve">cial crisis triggered by LEHMAN BROTHERS bankruptcy. </w:t>
      </w:r>
    </w:p>
    <w:p w:rsidR="00EE13F6" w:rsidRDefault="002E5BC4">
      <w:pPr>
        <w:spacing w:after="0"/>
        <w:ind w:left="720"/>
      </w:pPr>
      <w:r>
        <w:rPr>
          <w:rFonts w:ascii="Times New Roman" w:eastAsia="Times New Roman" w:hAnsi="Times New Roman" w:cs="Times New Roman"/>
          <w:sz w:val="24"/>
        </w:rPr>
        <w:t xml:space="preserve"> </w:t>
      </w:r>
    </w:p>
    <w:p w:rsidR="00EE13F6" w:rsidRDefault="002E5BC4">
      <w:pPr>
        <w:spacing w:after="112"/>
        <w:ind w:left="360"/>
      </w:pPr>
      <w:r>
        <w:rPr>
          <w:rFonts w:ascii="Times New Roman" w:eastAsia="Times New Roman" w:hAnsi="Times New Roman" w:cs="Times New Roman"/>
          <w:sz w:val="24"/>
        </w:rPr>
        <w:t xml:space="preserve"> </w:t>
      </w:r>
    </w:p>
    <w:p w:rsidR="00EE13F6" w:rsidRDefault="002E5BC4">
      <w:pPr>
        <w:pStyle w:val="Heading2"/>
        <w:spacing w:after="109" w:line="265" w:lineRule="auto"/>
        <w:ind w:left="-5"/>
      </w:pPr>
      <w:r>
        <w:rPr>
          <w:rFonts w:ascii="Times New Roman" w:eastAsia="Times New Roman" w:hAnsi="Times New Roman" w:cs="Times New Roman"/>
        </w:rPr>
        <w:t xml:space="preserve">Section 2. Our Approach </w:t>
      </w:r>
    </w:p>
    <w:p w:rsidR="00EE13F6" w:rsidRDefault="002E5BC4">
      <w:pPr>
        <w:spacing w:after="116"/>
      </w:pPr>
      <w:r>
        <w:rPr>
          <w:rFonts w:ascii="Times New Roman" w:eastAsia="Times New Roman" w:hAnsi="Times New Roman" w:cs="Times New Roman"/>
          <w:b/>
          <w:sz w:val="24"/>
        </w:rPr>
        <w:t xml:space="preserve"> </w:t>
      </w:r>
    </w:p>
    <w:p w:rsidR="00EE13F6" w:rsidRDefault="002E5BC4">
      <w:pPr>
        <w:spacing w:after="112"/>
        <w:ind w:left="730" w:hanging="10"/>
        <w:jc w:val="both"/>
      </w:pPr>
      <w:r>
        <w:rPr>
          <w:rFonts w:ascii="Times New Roman" w:eastAsia="Times New Roman" w:hAnsi="Times New Roman" w:cs="Times New Roman"/>
          <w:b/>
          <w:sz w:val="24"/>
        </w:rPr>
        <w:t>2.1</w:t>
      </w:r>
      <w:r>
        <w:rPr>
          <w:rFonts w:ascii="Arial" w:eastAsia="Arial" w:hAnsi="Arial" w:cs="Arial"/>
          <w:b/>
          <w:sz w:val="24"/>
        </w:rPr>
        <w:t xml:space="preserve"> </w:t>
      </w:r>
      <w:r>
        <w:rPr>
          <w:rFonts w:ascii="Times New Roman" w:eastAsia="Times New Roman" w:hAnsi="Times New Roman" w:cs="Times New Roman"/>
          <w:sz w:val="24"/>
        </w:rPr>
        <w:t xml:space="preserve">Impact of The FTT On Option Markets </w:t>
      </w:r>
    </w:p>
    <w:p w:rsidR="00EE13F6" w:rsidRDefault="002E5BC4">
      <w:pPr>
        <w:spacing w:after="112"/>
        <w:ind w:left="36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 xml:space="preserve">Given the points raised above, the approach chosen in Chapter I shall consist in a study first of the impact of the FTT </w:t>
      </w:r>
      <w:r>
        <w:rPr>
          <w:rFonts w:ascii="Times New Roman" w:eastAsia="Times New Roman" w:hAnsi="Times New Roman" w:cs="Times New Roman"/>
          <w:sz w:val="24"/>
        </w:rPr>
        <w:t>on option markets, from the angle of the potential change in behavior of the market makers following the</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introduction of an FTT.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 xml:space="preserve">Very quickly the concept of the liquidity of the relevant option market appears critical, </w:t>
      </w:r>
      <w:r>
        <w:rPr>
          <w:rFonts w:ascii="Times New Roman" w:eastAsia="Times New Roman" w:hAnsi="Times New Roman" w:cs="Times New Roman"/>
          <w:sz w:val="24"/>
        </w:rPr>
        <w:t xml:space="preserve">because it will determine the magnitude of the repercussion of a raise in the transaction costs on the prices posted by the market makers.  </w:t>
      </w:r>
    </w:p>
    <w:p w:rsidR="00EE13F6" w:rsidRDefault="002E5BC4">
      <w:pPr>
        <w:spacing w:after="112"/>
        <w:ind w:left="36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Within this context, it is fundamental to analyze the formation of option prices from the angle of insurance mark</w:t>
      </w:r>
      <w:r>
        <w:rPr>
          <w:rFonts w:ascii="Times New Roman" w:eastAsia="Times New Roman" w:hAnsi="Times New Roman" w:cs="Times New Roman"/>
          <w:sz w:val="24"/>
        </w:rPr>
        <w:t xml:space="preserve">ets, to determine whether the offer and demand of options will be sensitive to the modification of the “buy-sell” spreads on the volatility. Nowadays, the analysis of the “buy-sell” spreads is indeed fundamental in the determination of option prices.  For </w:t>
      </w:r>
      <w:r>
        <w:rPr>
          <w:rFonts w:ascii="Times New Roman" w:eastAsia="Times New Roman" w:hAnsi="Times New Roman" w:cs="Times New Roman"/>
          <w:sz w:val="24"/>
        </w:rPr>
        <w:t>a “market practitioner”, there is an immediate reaction to the proposed FTT. It is an additional transaction cost that will necessarily affect the “implicit” volatility determined by market makers. Research concerning the options and credit derivative mark</w:t>
      </w:r>
      <w:r>
        <w:rPr>
          <w:rFonts w:ascii="Times New Roman" w:eastAsia="Times New Roman" w:hAnsi="Times New Roman" w:cs="Times New Roman"/>
          <w:sz w:val="24"/>
        </w:rPr>
        <w:t>ets, and the transaction cost analysis techniques, have developed since the early1980s. These techniques have aimed at improve the profitability of operators similar to market makers by considering the stochastic optimization of their profit or utility fun</w:t>
      </w:r>
      <w:r>
        <w:rPr>
          <w:rFonts w:ascii="Times New Roman" w:eastAsia="Times New Roman" w:hAnsi="Times New Roman" w:cs="Times New Roman"/>
          <w:sz w:val="24"/>
        </w:rPr>
        <w:t xml:space="preserve">ction, through the resolution of Hamilton Jacobi Bellman (HJB) equations. The generalization of algorithmic trading linked to the increased power of computers and flash trading, as well as fairly </w:t>
      </w:r>
      <w:r>
        <w:rPr>
          <w:rFonts w:ascii="Times New Roman" w:eastAsia="Times New Roman" w:hAnsi="Times New Roman" w:cs="Times New Roman"/>
          <w:sz w:val="24"/>
        </w:rPr>
        <w:lastRenderedPageBreak/>
        <w:t>recent theoretical advances (2007-2008), have allowed simple</w:t>
      </w:r>
      <w:r>
        <w:rPr>
          <w:rFonts w:ascii="Times New Roman" w:eastAsia="Times New Roman" w:hAnsi="Times New Roman" w:cs="Times New Roman"/>
          <w:sz w:val="24"/>
        </w:rPr>
        <w:t xml:space="preserve"> asymptotic solutions to this optimization issue based on the volatility and liquidity of financial markets. </w:t>
      </w:r>
    </w:p>
    <w:p w:rsidR="00EE13F6" w:rsidRDefault="002E5BC4">
      <w:pPr>
        <w:spacing w:after="112"/>
        <w:ind w:left="360"/>
      </w:pPr>
      <w:r>
        <w:rPr>
          <w:rFonts w:ascii="Times New Roman" w:eastAsia="Times New Roman" w:hAnsi="Times New Roman" w:cs="Times New Roman"/>
          <w:sz w:val="24"/>
        </w:rPr>
        <w:t xml:space="preserve"> </w:t>
      </w:r>
    </w:p>
    <w:p w:rsidR="00EE13F6" w:rsidRDefault="002E5BC4">
      <w:pPr>
        <w:spacing w:after="116"/>
        <w:ind w:left="360"/>
      </w:pPr>
      <w:r>
        <w:rPr>
          <w:rFonts w:ascii="Times New Roman" w:eastAsia="Times New Roman" w:hAnsi="Times New Roman" w:cs="Times New Roman"/>
          <w:sz w:val="24"/>
        </w:rPr>
        <w:t xml:space="preserve"> </w:t>
      </w:r>
    </w:p>
    <w:p w:rsidR="00EE13F6" w:rsidRDefault="002E5BC4">
      <w:pPr>
        <w:pStyle w:val="Heading3"/>
        <w:spacing w:after="5" w:line="356" w:lineRule="auto"/>
        <w:ind w:left="1155" w:hanging="435"/>
      </w:pPr>
      <w:r>
        <w:t>2.2</w:t>
      </w:r>
      <w:r>
        <w:rPr>
          <w:rFonts w:ascii="Arial" w:eastAsia="Arial" w:hAnsi="Arial" w:cs="Arial"/>
        </w:rPr>
        <w:t xml:space="preserve"> </w:t>
      </w:r>
      <w:r>
        <w:t xml:space="preserve">Taking into Account the Interaction Between the Effects of The FFT On Volatility and Those On Capital Costs  </w:t>
      </w:r>
    </w:p>
    <w:p w:rsidR="00EE13F6" w:rsidRDefault="002E5BC4">
      <w:pPr>
        <w:spacing w:after="112"/>
        <w:ind w:left="1155"/>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Following the critical ana</w:t>
      </w:r>
      <w:r>
        <w:rPr>
          <w:rFonts w:ascii="Times New Roman" w:eastAsia="Times New Roman" w:hAnsi="Times New Roman" w:cs="Times New Roman"/>
          <w:sz w:val="24"/>
        </w:rPr>
        <w:t xml:space="preserve">lysis of the literature, the last two chapters are dedicated to the study of the interaction between the modifications of the volatility and capital costs, as a consequence of the introduction of the FTT.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We discuss from the onset a structural approac</w:t>
      </w:r>
      <w:r>
        <w:rPr>
          <w:rFonts w:ascii="Times New Roman" w:eastAsia="Times New Roman" w:hAnsi="Times New Roman" w:cs="Times New Roman"/>
          <w:sz w:val="24"/>
        </w:rPr>
        <w:t>h linking by Capital Structure Arbitrage</w:t>
      </w:r>
      <w:r>
        <w:rPr>
          <w:rFonts w:ascii="Times New Roman" w:eastAsia="Times New Roman" w:hAnsi="Times New Roman" w:cs="Times New Roman"/>
          <w:i/>
          <w:sz w:val="24"/>
        </w:rPr>
        <w:t xml:space="preserve"> </w:t>
      </w:r>
      <w:r>
        <w:rPr>
          <w:rFonts w:ascii="Times New Roman" w:eastAsia="Times New Roman" w:hAnsi="Times New Roman" w:cs="Times New Roman"/>
          <w:sz w:val="24"/>
        </w:rPr>
        <w:t>(CSE) the respective markets of (i) des stock derivatives, (ii) credit derivatives and (iii) stock and bond markets. Contrary to the conclusions of the extant literature, the effects of homogenous taxation are going</w:t>
      </w:r>
      <w:r>
        <w:rPr>
          <w:rFonts w:ascii="Times New Roman" w:eastAsia="Times New Roman" w:hAnsi="Times New Roman" w:cs="Times New Roman"/>
          <w:sz w:val="24"/>
        </w:rPr>
        <w:t xml:space="preserve"> to depend on the micro-economic characteristics (balance sheet, initial volatility, credit rating) specific to the business. Thus the impact of a general measure such as the introduction of the FTT may depend on specific structural characteristics at the </w:t>
      </w:r>
      <w:r>
        <w:rPr>
          <w:rFonts w:ascii="Times New Roman" w:eastAsia="Times New Roman" w:hAnsi="Times New Roman" w:cs="Times New Roman"/>
          <w:sz w:val="24"/>
        </w:rPr>
        <w:t xml:space="preserve">micro-economic level. </w:t>
      </w:r>
    </w:p>
    <w:p w:rsidR="00EE13F6" w:rsidRDefault="002E5BC4">
      <w:pPr>
        <w:spacing w:after="117"/>
        <w:ind w:left="36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We will in particular discuss the effects triggered by the taxation level of the business. The tax deductibility of interest paid to bondholders introduces a dissymmetry between the behavior of stocks and that of bonds. Bond prices</w:t>
      </w:r>
      <w:r>
        <w:rPr>
          <w:rFonts w:ascii="Times New Roman" w:eastAsia="Times New Roman" w:hAnsi="Times New Roman" w:cs="Times New Roman"/>
          <w:sz w:val="24"/>
        </w:rPr>
        <w:t xml:space="preserve"> are not sensitive to differences of corporate tax rates on profits. On the contrary, corporate value, as well as shareholder equity, will depend on that tax rate. Likewise, the greater liquidity of the stock market compared to the market for corporate bon</w:t>
      </w:r>
      <w:r>
        <w:rPr>
          <w:rFonts w:ascii="Times New Roman" w:eastAsia="Times New Roman" w:hAnsi="Times New Roman" w:cs="Times New Roman"/>
          <w:sz w:val="24"/>
        </w:rPr>
        <w:t xml:space="preserve">ds suggests a different treatment of the effects on bonds and stocks. </w:t>
      </w:r>
    </w:p>
    <w:p w:rsidR="00EE13F6" w:rsidRDefault="002E5BC4">
      <w:pPr>
        <w:spacing w:after="112"/>
        <w:ind w:left="720"/>
      </w:pPr>
      <w:r>
        <w:rPr>
          <w:rFonts w:ascii="Times New Roman" w:eastAsia="Times New Roman" w:hAnsi="Times New Roman" w:cs="Times New Roman"/>
          <w:sz w:val="24"/>
        </w:rPr>
        <w:t xml:space="preserve"> </w:t>
      </w:r>
    </w:p>
    <w:p w:rsidR="00EE13F6" w:rsidRDefault="002E5BC4">
      <w:pPr>
        <w:spacing w:after="3"/>
        <w:ind w:left="-5" w:hanging="10"/>
        <w:jc w:val="both"/>
      </w:pPr>
      <w:r>
        <w:rPr>
          <w:rFonts w:ascii="Times New Roman" w:eastAsia="Times New Roman" w:hAnsi="Times New Roman" w:cs="Times New Roman"/>
          <w:sz w:val="24"/>
        </w:rPr>
        <w:t xml:space="preserve">We therefore divide the issue into two distinct chapters dealing with capital costs:  </w:t>
      </w:r>
    </w:p>
    <w:p w:rsidR="00EE13F6" w:rsidRDefault="002E5BC4">
      <w:pPr>
        <w:spacing w:after="116"/>
      </w:pPr>
      <w:r>
        <w:rPr>
          <w:rFonts w:ascii="Times New Roman" w:eastAsia="Times New Roman" w:hAnsi="Times New Roman" w:cs="Times New Roman"/>
          <w:sz w:val="24"/>
        </w:rPr>
        <w:t xml:space="preserve"> </w:t>
      </w:r>
    </w:p>
    <w:p w:rsidR="00EE13F6" w:rsidRDefault="002E5BC4" w:rsidP="002E5BC4">
      <w:pPr>
        <w:numPr>
          <w:ilvl w:val="0"/>
          <w:numId w:val="4"/>
        </w:numPr>
        <w:spacing w:after="3" w:line="367" w:lineRule="auto"/>
        <w:ind w:hanging="720"/>
        <w:jc w:val="both"/>
      </w:pPr>
      <w:r>
        <w:rPr>
          <w:rFonts w:ascii="Times New Roman" w:eastAsia="Times New Roman" w:hAnsi="Times New Roman" w:cs="Times New Roman"/>
          <w:sz w:val="24"/>
        </w:rPr>
        <w:t xml:space="preserve">Chapter II focuses on the analysis of bond indebtedness, and the consequences </w:t>
      </w:r>
      <w:r>
        <w:rPr>
          <w:rFonts w:ascii="Times New Roman" w:eastAsia="Times New Roman" w:hAnsi="Times New Roman" w:cs="Times New Roman"/>
          <w:sz w:val="24"/>
        </w:rPr>
        <w:t xml:space="preserve">on the primary bond market of the introduction of the FTT. These consequences are directly translated into marginal corporate cost of capital.  </w:t>
      </w:r>
    </w:p>
    <w:p w:rsidR="00EE13F6" w:rsidRDefault="002E5BC4">
      <w:pPr>
        <w:spacing w:after="3" w:line="367" w:lineRule="auto"/>
        <w:ind w:left="730" w:hanging="10"/>
        <w:jc w:val="both"/>
      </w:pPr>
      <w:r>
        <w:rPr>
          <w:rFonts w:ascii="Times New Roman" w:eastAsia="Times New Roman" w:hAnsi="Times New Roman" w:cs="Times New Roman"/>
          <w:sz w:val="24"/>
        </w:rPr>
        <w:lastRenderedPageBreak/>
        <w:t>Chapter II is the keystone of our approach</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because it is where we discuss the potential propagation by CSE of </w:t>
      </w:r>
      <w:r>
        <w:rPr>
          <w:rFonts w:ascii="Times New Roman" w:eastAsia="Times New Roman" w:hAnsi="Times New Roman" w:cs="Times New Roman"/>
          <w:sz w:val="24"/>
        </w:rPr>
        <w:t xml:space="preserve">the effects of the FTT to credit and bond markets. </w:t>
      </w:r>
      <w:r>
        <w:rPr>
          <w:rFonts w:ascii="Times New Roman" w:eastAsia="Times New Roman" w:hAnsi="Times New Roman" w:cs="Times New Roman"/>
          <w:b/>
          <w:sz w:val="24"/>
        </w:rPr>
        <w:t xml:space="preserve"> </w:t>
      </w:r>
    </w:p>
    <w:p w:rsidR="00EE13F6" w:rsidRDefault="002E5BC4">
      <w:pPr>
        <w:spacing w:after="121"/>
      </w:pPr>
      <w:r>
        <w:rPr>
          <w:rFonts w:ascii="Times New Roman" w:eastAsia="Times New Roman" w:hAnsi="Times New Roman" w:cs="Times New Roman"/>
          <w:b/>
          <w:sz w:val="24"/>
        </w:rPr>
        <w:t xml:space="preserve"> </w:t>
      </w:r>
    </w:p>
    <w:p w:rsidR="00EE13F6" w:rsidRDefault="002E5BC4" w:rsidP="002E5BC4">
      <w:pPr>
        <w:numPr>
          <w:ilvl w:val="0"/>
          <w:numId w:val="4"/>
        </w:numPr>
        <w:spacing w:after="3" w:line="367" w:lineRule="auto"/>
        <w:ind w:hanging="720"/>
        <w:jc w:val="both"/>
      </w:pPr>
      <w:r>
        <w:rPr>
          <w:rFonts w:ascii="Times New Roman" w:eastAsia="Times New Roman" w:hAnsi="Times New Roman" w:cs="Times New Roman"/>
          <w:sz w:val="24"/>
        </w:rPr>
        <w:t>In Chapter III we discuss the general structure of the capital of the business, and the possible reaction of the business in terms of optimal adjustment of its financial structure to the introduction o</w:t>
      </w:r>
      <w:r>
        <w:rPr>
          <w:rFonts w:ascii="Times New Roman" w:eastAsia="Times New Roman" w:hAnsi="Times New Roman" w:cs="Times New Roman"/>
          <w:sz w:val="24"/>
        </w:rPr>
        <w:t>f the FTT. We study in particular the maximization of the corporate value and the allocation of financing between the issuance of stocks and bonds. We then review the final impact on the theoretical stock price and actual volatility, before reaching our co</w:t>
      </w:r>
      <w:r>
        <w:rPr>
          <w:rFonts w:ascii="Times New Roman" w:eastAsia="Times New Roman" w:hAnsi="Times New Roman" w:cs="Times New Roman"/>
          <w:sz w:val="24"/>
        </w:rPr>
        <w:t xml:space="preserve">nclusion. </w:t>
      </w:r>
      <w:r>
        <w:rPr>
          <w:rFonts w:ascii="Times New Roman" w:eastAsia="Times New Roman" w:hAnsi="Times New Roman" w:cs="Times New Roman"/>
          <w:b/>
          <w:sz w:val="24"/>
        </w:rPr>
        <w:t xml:space="preserve"> </w:t>
      </w:r>
    </w:p>
    <w:p w:rsidR="00EE13F6" w:rsidRDefault="002E5BC4">
      <w:pPr>
        <w:spacing w:after="112"/>
        <w:ind w:left="720"/>
      </w:pPr>
      <w:r>
        <w:rPr>
          <w:rFonts w:ascii="Times New Roman" w:eastAsia="Times New Roman" w:hAnsi="Times New Roman" w:cs="Times New Roman"/>
          <w:sz w:val="24"/>
        </w:rPr>
        <w:t xml:space="preserve"> </w:t>
      </w:r>
    </w:p>
    <w:p w:rsidR="00EE13F6" w:rsidRDefault="002E5BC4">
      <w:pPr>
        <w:pStyle w:val="Heading2"/>
        <w:spacing w:after="109" w:line="265" w:lineRule="auto"/>
        <w:ind w:left="-5"/>
      </w:pPr>
      <w:r>
        <w:rPr>
          <w:rFonts w:ascii="Times New Roman" w:eastAsia="Times New Roman" w:hAnsi="Times New Roman" w:cs="Times New Roman"/>
        </w:rPr>
        <w:t xml:space="preserve">Section 3 : Main Results </w:t>
      </w:r>
      <w:r>
        <w:rPr>
          <w:rFonts w:ascii="Times New Roman" w:eastAsia="Times New Roman" w:hAnsi="Times New Roman" w:cs="Times New Roman"/>
          <w:b w:val="0"/>
        </w:rPr>
        <w:t xml:space="preserve"> </w:t>
      </w:r>
    </w:p>
    <w:p w:rsidR="00EE13F6" w:rsidRDefault="002E5BC4">
      <w:pPr>
        <w:spacing w:after="112"/>
        <w:ind w:left="360"/>
      </w:pPr>
      <w:r>
        <w:rPr>
          <w:rFonts w:ascii="Times New Roman" w:eastAsia="Times New Roman" w:hAnsi="Times New Roman" w:cs="Times New Roman"/>
          <w:b/>
          <w:sz w:val="24"/>
        </w:rPr>
        <w:t xml:space="preserve"> </w:t>
      </w:r>
    </w:p>
    <w:p w:rsidR="00EE13F6" w:rsidRDefault="002E5BC4">
      <w:pPr>
        <w:pStyle w:val="Heading3"/>
        <w:ind w:left="-5"/>
      </w:pPr>
      <w:r>
        <w:t xml:space="preserve">3.1. Volatility   </w:t>
      </w:r>
    </w:p>
    <w:p w:rsidR="00EE13F6" w:rsidRDefault="002E5BC4">
      <w:pPr>
        <w:spacing w:after="112"/>
        <w:ind w:left="36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 xml:space="preserve">We review in Chapter I the concept of implicit volatility of a stock. This volatility is derived from the observation of the European-type option market on that stock. At an instant </w:t>
      </w:r>
      <w:r>
        <w:rPr>
          <w:rFonts w:ascii="Times New Roman" w:eastAsia="Times New Roman" w:hAnsi="Times New Roman" w:cs="Times New Roman"/>
          <w:i/>
          <w:sz w:val="24"/>
        </w:rPr>
        <w:t>t</w:t>
      </w:r>
      <w:r>
        <w:rPr>
          <w:rFonts w:ascii="Times New Roman" w:eastAsia="Times New Roman" w:hAnsi="Times New Roman" w:cs="Times New Roman"/>
          <w:sz w:val="24"/>
        </w:rPr>
        <w:t>, by cons</w:t>
      </w:r>
      <w:r>
        <w:rPr>
          <w:rFonts w:ascii="Times New Roman" w:eastAsia="Times New Roman" w:hAnsi="Times New Roman" w:cs="Times New Roman"/>
          <w:sz w:val="24"/>
        </w:rPr>
        <w:t>idering the given price of the underlying stock, and setting the value of parameters such as the risk-free interest rate or the dividends, we determine, by reversing the BLACK-SCHOLES formula, a volatility value that corresponds to the option value observe</w:t>
      </w:r>
      <w:r>
        <w:rPr>
          <w:rFonts w:ascii="Times New Roman" w:eastAsia="Times New Roman" w:hAnsi="Times New Roman" w:cs="Times New Roman"/>
          <w:sz w:val="24"/>
        </w:rPr>
        <w:t xml:space="preserve">d on the market for a given exercise price. </w:t>
      </w:r>
    </w:p>
    <w:p w:rsidR="00EE13F6" w:rsidRDefault="002E5BC4">
      <w:pPr>
        <w:spacing w:after="112"/>
        <w:ind w:left="36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The use of this concept allows us to consider the fact that volatility is in itself measurable and determined via a rational equilibrium on the market. The recent development of new products on the stock deriv</w:t>
      </w:r>
      <w:r>
        <w:rPr>
          <w:rFonts w:ascii="Times New Roman" w:eastAsia="Times New Roman" w:hAnsi="Times New Roman" w:cs="Times New Roman"/>
          <w:sz w:val="24"/>
        </w:rPr>
        <w:t xml:space="preserve">atives markets have incidentally allowed the introduction for the most liquid underlying assets (indices and certain very liquid stocks) of volatility indices (VIX or VSTOXX) based on the value of implicit volatility. </w:t>
      </w:r>
    </w:p>
    <w:p w:rsidR="00EE13F6" w:rsidRDefault="002E5BC4">
      <w:pPr>
        <w:spacing w:after="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 xml:space="preserve">By application of well-known rules </w:t>
      </w:r>
      <w:r>
        <w:rPr>
          <w:rFonts w:ascii="Times New Roman" w:eastAsia="Times New Roman" w:hAnsi="Times New Roman" w:cs="Times New Roman"/>
          <w:sz w:val="24"/>
        </w:rPr>
        <w:t>on the hedge of stock portfolios, taking into account the additional transaction cost involved by the FTT will lead to a widening of the buy-sell spread of stock options, and therefore to a widening of the buy-sell spread on the volatility. From a quantita</w:t>
      </w:r>
      <w:r>
        <w:rPr>
          <w:rFonts w:ascii="Times New Roman" w:eastAsia="Times New Roman" w:hAnsi="Times New Roman" w:cs="Times New Roman"/>
          <w:sz w:val="24"/>
        </w:rPr>
        <w:t xml:space="preserve">tive standpoint, this effect will be an increasing function of the rate of the transaction tax, </w:t>
      </w:r>
      <w:r>
        <w:rPr>
          <w:rFonts w:ascii="Times New Roman" w:eastAsia="Times New Roman" w:hAnsi="Times New Roman" w:cs="Times New Roman"/>
          <w:sz w:val="24"/>
        </w:rPr>
        <w:lastRenderedPageBreak/>
        <w:t>of the frequency of the adjustment of the hedge of the option portfolio, and the effective liquidity of option markets. We determine an adjustment frequency tha</w:t>
      </w:r>
      <w:r>
        <w:rPr>
          <w:rFonts w:ascii="Times New Roman" w:eastAsia="Times New Roman" w:hAnsi="Times New Roman" w:cs="Times New Roman"/>
          <w:sz w:val="24"/>
        </w:rPr>
        <w:t>t depends in fact on the relative variation relative of the underlying asset, and we use the work BOYLE and VORST [8] to formalize this impact when volatility is constant. Our approach allows us to complete the literature by taking into account, on the one</w:t>
      </w:r>
      <w:r>
        <w:rPr>
          <w:rFonts w:ascii="Times New Roman" w:eastAsia="Times New Roman" w:hAnsi="Times New Roman" w:cs="Times New Roman"/>
          <w:sz w:val="24"/>
        </w:rPr>
        <w:t xml:space="preserve"> hand, the initial costs of constitution of the hedge portfolio and on the other hand, the potential costs of delivery at term by considering a stochastic volatility. In this case, we conclude that there exists no “closed” formula to calculate this impact,</w:t>
      </w:r>
      <w:r>
        <w:rPr>
          <w:rFonts w:ascii="Times New Roman" w:eastAsia="Times New Roman" w:hAnsi="Times New Roman" w:cs="Times New Roman"/>
          <w:sz w:val="24"/>
        </w:rPr>
        <w:t xml:space="preserve"> and that it is appropriate to perform Monte Carlo simulations to obtain a quantitative estimate.  </w:t>
      </w:r>
    </w:p>
    <w:p w:rsidR="00EE13F6" w:rsidRDefault="002E5BC4">
      <w:pPr>
        <w:spacing w:after="112"/>
        <w:ind w:left="40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By using insurance theory, on show that this widening of the buy-sell spread has no incidence on the demand for options. Economic agents on the markets wi</w:t>
      </w:r>
      <w:r>
        <w:rPr>
          <w:rFonts w:ascii="Times New Roman" w:eastAsia="Times New Roman" w:hAnsi="Times New Roman" w:cs="Times New Roman"/>
          <w:sz w:val="24"/>
        </w:rPr>
        <w:t>ll deem that the introduction of the tax is equivalent to an increase in volatility risk. By considering the asymmetry between sellers and buyers of options, we conclude that the FTT will entail an increase in the “middle” price of options held to term. Th</w:t>
      </w:r>
      <w:r>
        <w:rPr>
          <w:rFonts w:ascii="Times New Roman" w:eastAsia="Times New Roman" w:hAnsi="Times New Roman" w:cs="Times New Roman"/>
          <w:sz w:val="24"/>
        </w:rPr>
        <w:t xml:space="preserve">erefore, an increase in the “middle” value of volatility will follow.  </w:t>
      </w:r>
    </w:p>
    <w:p w:rsidR="00EE13F6" w:rsidRDefault="002E5BC4">
      <w:pPr>
        <w:spacing w:after="117"/>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 xml:space="preserve">Where option markets are not very liquid, and in particular in the case of a market of “pure insurance”, </w:t>
      </w:r>
      <w:r>
        <w:rPr>
          <w:rFonts w:ascii="Times New Roman" w:eastAsia="Times New Roman" w:hAnsi="Times New Roman" w:cs="Times New Roman"/>
          <w:sz w:val="24"/>
        </w:rPr>
        <w:t xml:space="preserve">where market makers are faced with agents who seek to hold options to term, we show that such increase is permanent. </w:t>
      </w:r>
    </w:p>
    <w:p w:rsidR="00EE13F6" w:rsidRDefault="002E5BC4">
      <w:pPr>
        <w:spacing w:after="117"/>
        <w:ind w:left="36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In the case of stocks with a very liquid associated option market, we use the asymptotic approximation of the Hamilton Jacobi Bellman (H</w:t>
      </w:r>
      <w:r>
        <w:rPr>
          <w:rFonts w:ascii="Times New Roman" w:eastAsia="Times New Roman" w:hAnsi="Times New Roman" w:cs="Times New Roman"/>
          <w:sz w:val="24"/>
        </w:rPr>
        <w:t>JB) equations [2] to prove that there is, in this type of situation, a very weak, even negligible, impact, on the implicit volatility of the relevant stocks. We consider both market makers with a risk-neutral utility function and those that incorporate ris</w:t>
      </w:r>
      <w:r>
        <w:rPr>
          <w:rFonts w:ascii="Times New Roman" w:eastAsia="Times New Roman" w:hAnsi="Times New Roman" w:cs="Times New Roman"/>
          <w:sz w:val="24"/>
        </w:rPr>
        <w:t>k aversion. We show that the competition constraint between both types of agents, leads risk-adverse agents to consider an un aversion coefficient that is exactly the gamma of the option(s) used to construct the synthetic stock.  We then deduce, after taki</w:t>
      </w:r>
      <w:r>
        <w:rPr>
          <w:rFonts w:ascii="Times New Roman" w:eastAsia="Times New Roman" w:hAnsi="Times New Roman" w:cs="Times New Roman"/>
          <w:sz w:val="24"/>
        </w:rPr>
        <w:t xml:space="preserve">ng into account the depth of the market, the impact volatility, which is less than the “tick” in sufficiently liquid markets. </w:t>
      </w:r>
    </w:p>
    <w:p w:rsidR="00EE13F6" w:rsidRDefault="002E5BC4">
      <w:pPr>
        <w:pStyle w:val="Heading3"/>
        <w:ind w:left="-5"/>
      </w:pPr>
      <w:r>
        <w:t>3.2</w:t>
      </w:r>
      <w:r>
        <w:rPr>
          <w:rFonts w:ascii="Arial" w:eastAsia="Arial" w:hAnsi="Arial" w:cs="Arial"/>
        </w:rPr>
        <w:t xml:space="preserve"> </w:t>
      </w:r>
      <w:r>
        <w:t xml:space="preserve">Liquidity </w:t>
      </w:r>
    </w:p>
    <w:p w:rsidR="00EE13F6" w:rsidRDefault="002E5BC4">
      <w:pPr>
        <w:spacing w:after="112"/>
        <w:ind w:left="36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lastRenderedPageBreak/>
        <w:t>We show that, if the liquidity of option markets is sufficient, the implementation of the FTT will further incre</w:t>
      </w:r>
      <w:r>
        <w:rPr>
          <w:rFonts w:ascii="Times New Roman" w:eastAsia="Times New Roman" w:hAnsi="Times New Roman" w:cs="Times New Roman"/>
          <w:sz w:val="24"/>
        </w:rPr>
        <w:t xml:space="preserve">ase such liquidity. This phenomenon is due to the massive substitution of transactions on synthetic or derivative products in place of transactions on stocks on the spot market. </w:t>
      </w:r>
    </w:p>
    <w:p w:rsidR="00EE13F6" w:rsidRDefault="002E5BC4">
      <w:pPr>
        <w:spacing w:after="116"/>
        <w:ind w:left="1120"/>
      </w:pPr>
      <w:r>
        <w:rPr>
          <w:rFonts w:ascii="Times New Roman" w:eastAsia="Times New Roman" w:hAnsi="Times New Roman" w:cs="Times New Roman"/>
          <w:sz w:val="24"/>
        </w:rPr>
        <w:t xml:space="preserve"> </w:t>
      </w:r>
    </w:p>
    <w:p w:rsidR="00EE13F6" w:rsidRDefault="002E5BC4" w:rsidP="002E5BC4">
      <w:pPr>
        <w:numPr>
          <w:ilvl w:val="0"/>
          <w:numId w:val="5"/>
        </w:numPr>
        <w:spacing w:after="3" w:line="367" w:lineRule="auto"/>
        <w:ind w:hanging="360"/>
        <w:jc w:val="both"/>
      </w:pPr>
      <w:r>
        <w:rPr>
          <w:rFonts w:ascii="Times New Roman" w:eastAsia="Times New Roman" w:hAnsi="Times New Roman" w:cs="Times New Roman"/>
          <w:sz w:val="24"/>
        </w:rPr>
        <w:t>By applying Merton’s model, we note that the agents who hold stock on the l</w:t>
      </w:r>
      <w:r>
        <w:rPr>
          <w:rFonts w:ascii="Times New Roman" w:eastAsia="Times New Roman" w:hAnsi="Times New Roman" w:cs="Times New Roman"/>
          <w:sz w:val="24"/>
        </w:rPr>
        <w:t>ong term will not decrease their stock demand, even in case of a widening in the buy-sell spread on stocks. This widening of the spread is analyzed as per insurance contract theory, as previously stated, and the tax increase is equivalent to a risk increas</w:t>
      </w:r>
      <w:r>
        <w:rPr>
          <w:rFonts w:ascii="Times New Roman" w:eastAsia="Times New Roman" w:hAnsi="Times New Roman" w:cs="Times New Roman"/>
          <w:sz w:val="24"/>
        </w:rPr>
        <w:t xml:space="preserve">e, which has no impact on demand. Therefore, to estimate the liquidity, one must estimate the intensity of arrival orders? (ordres d’arrivée?), which are issues by other economic agents, such as the market makers.  </w:t>
      </w:r>
    </w:p>
    <w:p w:rsidR="00EE13F6" w:rsidRDefault="002E5BC4">
      <w:pPr>
        <w:spacing w:after="112"/>
        <w:ind w:left="1120"/>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The market to be considered is the com</w:t>
      </w:r>
      <w:r>
        <w:rPr>
          <w:rFonts w:ascii="Times New Roman" w:eastAsia="Times New Roman" w:hAnsi="Times New Roman" w:cs="Times New Roman"/>
          <w:sz w:val="24"/>
        </w:rPr>
        <w:t>plete market, made of cash transactions on the stock and transactions on derivative products of “delta-one” type, in particular the synthetic stock, (constructed from a buy “call” position and a sell “put” position, and which is also a future?).  We show t</w:t>
      </w:r>
      <w:r>
        <w:rPr>
          <w:rFonts w:ascii="Times New Roman" w:eastAsia="Times New Roman" w:hAnsi="Times New Roman" w:cs="Times New Roman"/>
          <w:sz w:val="24"/>
        </w:rPr>
        <w:t xml:space="preserve">hat, if the position on a synthetic stock is held for a short period and is to carried to term, the impact of the FTT will be .02% on the spread.  </w:t>
      </w:r>
    </w:p>
    <w:p w:rsidR="00EE13F6" w:rsidRDefault="002E5BC4">
      <w:pPr>
        <w:spacing w:after="121"/>
      </w:pPr>
      <w:r>
        <w:rPr>
          <w:rFonts w:ascii="Times New Roman" w:eastAsia="Times New Roman" w:hAnsi="Times New Roman" w:cs="Times New Roman"/>
          <w:sz w:val="24"/>
        </w:rPr>
        <w:t xml:space="preserve"> </w:t>
      </w:r>
    </w:p>
    <w:p w:rsidR="00EE13F6" w:rsidRDefault="002E5BC4" w:rsidP="002E5BC4">
      <w:pPr>
        <w:numPr>
          <w:ilvl w:val="0"/>
          <w:numId w:val="5"/>
        </w:numPr>
        <w:spacing w:after="3" w:line="367" w:lineRule="auto"/>
        <w:ind w:hanging="360"/>
        <w:jc w:val="both"/>
      </w:pPr>
      <w:r>
        <w:rPr>
          <w:rFonts w:ascii="Times New Roman" w:eastAsia="Times New Roman" w:hAnsi="Times New Roman" w:cs="Times New Roman"/>
          <w:sz w:val="24"/>
        </w:rPr>
        <w:t>We further show that, in the hypothesis of a symmetry of the curves volatility around the money?, by exerc</w:t>
      </w:r>
      <w:r>
        <w:rPr>
          <w:rFonts w:ascii="Times New Roman" w:eastAsia="Times New Roman" w:hAnsi="Times New Roman" w:cs="Times New Roman"/>
          <w:sz w:val="24"/>
        </w:rPr>
        <w:t>ise price, the agents who take directional positions on the increase and decrease of the price of the underlying stock will be able to enter into contracts that minimize the impact of the tax. These “pseudo-synthetic” contracts are made of call type option</w:t>
      </w:r>
      <w:r>
        <w:rPr>
          <w:rFonts w:ascii="Times New Roman" w:eastAsia="Times New Roman" w:hAnsi="Times New Roman" w:cs="Times New Roman"/>
          <w:sz w:val="24"/>
        </w:rPr>
        <w:t xml:space="preserve"> purchases and put type option sales at modified exercise prices. Their payment at term reproduces a tax-free payment provided the relative variation relative of the price of the stock is over .4% of the nominal amount of the transaction, and a zero paymen</w:t>
      </w:r>
      <w:r>
        <w:rPr>
          <w:rFonts w:ascii="Times New Roman" w:eastAsia="Times New Roman" w:hAnsi="Times New Roman" w:cs="Times New Roman"/>
          <w:sz w:val="24"/>
        </w:rPr>
        <w:t xml:space="preserve">t if the variation is less than .4%.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 xml:space="preserve">Therefore, the increase in the FTT will induce a massive substitution between cash and synthetic stocks, and more generally “delta-one” type derivative products. The liquidity of the market with regard to the latter </w:t>
      </w:r>
      <w:r>
        <w:rPr>
          <w:rFonts w:ascii="Times New Roman" w:eastAsia="Times New Roman" w:hAnsi="Times New Roman" w:cs="Times New Roman"/>
          <w:sz w:val="24"/>
        </w:rPr>
        <w:t xml:space="preserve">will improve considerably. In sum, if the ex-ante incidence of </w:t>
      </w:r>
      <w:r>
        <w:rPr>
          <w:rFonts w:ascii="Times New Roman" w:eastAsia="Times New Roman" w:hAnsi="Times New Roman" w:cs="Times New Roman"/>
          <w:sz w:val="24"/>
        </w:rPr>
        <w:lastRenderedPageBreak/>
        <w:t>the tax is indeed .02% of the nominal value of the stock over the quotation interval of the synthetic stock, the ex-post impact will be less give the increase in liquidity</w:t>
      </w:r>
      <w:r>
        <w:rPr>
          <w:rFonts w:ascii="Times New Roman" w:eastAsia="Times New Roman" w:hAnsi="Times New Roman" w:cs="Times New Roman"/>
          <w:sz w:val="24"/>
          <w:vertAlign w:val="superscript"/>
        </w:rPr>
        <w:footnoteReference w:id="1"/>
      </w:r>
      <w:r>
        <w:rPr>
          <w:rFonts w:ascii="Times New Roman" w:eastAsia="Times New Roman" w:hAnsi="Times New Roman" w:cs="Times New Roman"/>
          <w:sz w:val="24"/>
        </w:rPr>
        <w:t xml:space="preserve">.  </w:t>
      </w:r>
    </w:p>
    <w:p w:rsidR="00EE13F6" w:rsidRDefault="002E5BC4">
      <w:pPr>
        <w:spacing w:after="121"/>
      </w:pPr>
      <w:r>
        <w:rPr>
          <w:rFonts w:ascii="Times New Roman" w:eastAsia="Times New Roman" w:hAnsi="Times New Roman" w:cs="Times New Roman"/>
          <w:sz w:val="24"/>
        </w:rPr>
        <w:t xml:space="preserve"> </w:t>
      </w:r>
    </w:p>
    <w:p w:rsidR="00EE13F6" w:rsidRDefault="002E5BC4" w:rsidP="002E5BC4">
      <w:pPr>
        <w:numPr>
          <w:ilvl w:val="0"/>
          <w:numId w:val="5"/>
        </w:numPr>
        <w:spacing w:after="3" w:line="367" w:lineRule="auto"/>
        <w:ind w:hanging="360"/>
        <w:jc w:val="both"/>
      </w:pPr>
      <w:r>
        <w:rPr>
          <w:rFonts w:ascii="Times New Roman" w:eastAsia="Times New Roman" w:hAnsi="Times New Roman" w:cs="Times New Roman"/>
          <w:sz w:val="24"/>
        </w:rPr>
        <w:t>The market make</w:t>
      </w:r>
      <w:r>
        <w:rPr>
          <w:rFonts w:ascii="Times New Roman" w:eastAsia="Times New Roman" w:hAnsi="Times New Roman" w:cs="Times New Roman"/>
          <w:sz w:val="24"/>
        </w:rPr>
        <w:t>rs will always maintain, if not increase, the volume of their purchase and sale on the option markets. They use algorithmic trading techniques (flash-trading) that allow them to gain an advantage, in terms of price, compared to the other actors. Indeed, th</w:t>
      </w:r>
      <w:r>
        <w:rPr>
          <w:rFonts w:ascii="Times New Roman" w:eastAsia="Times New Roman" w:hAnsi="Times New Roman" w:cs="Times New Roman"/>
          <w:sz w:val="24"/>
        </w:rPr>
        <w:t>eir order execution speed leads to a faster process of price discovery that allows them to have access to information that is not yet available to the other participants. They then benefit by priority of real jumps in middle prices, which range in fact fro</w:t>
      </w:r>
      <w:r>
        <w:rPr>
          <w:rFonts w:ascii="Times New Roman" w:eastAsia="Times New Roman" w:hAnsi="Times New Roman" w:cs="Times New Roman"/>
          <w:sz w:val="24"/>
        </w:rPr>
        <w:t xml:space="preserve">m .03% to .05% on the cash and synthetic stock.  </w:t>
      </w:r>
    </w:p>
    <w:p w:rsidR="00EE13F6" w:rsidRDefault="002E5BC4">
      <w:pPr>
        <w:spacing w:after="117"/>
        <w:ind w:left="720"/>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 xml:space="preserve">Furthermore, the MIFID II regulation, implemented in 2018, introduces a minimum tick for cash stocks. </w:t>
      </w:r>
      <w:r>
        <w:rPr>
          <w:rFonts w:ascii="Times New Roman" w:eastAsia="Times New Roman" w:hAnsi="Times New Roman" w:cs="Times New Roman"/>
          <w:sz w:val="24"/>
        </w:rPr>
        <w:t>This measure was designed by the regulator to manage the competition between the various exchanges to offer the best liquidity and attract transactions. The implementation of that regulation will in fact increase the attraction of delta-one type derivative</w:t>
      </w:r>
      <w:r>
        <w:rPr>
          <w:rFonts w:ascii="Times New Roman" w:eastAsia="Times New Roman" w:hAnsi="Times New Roman" w:cs="Times New Roman"/>
          <w:sz w:val="24"/>
        </w:rPr>
        <w:t xml:space="preserve"> products.  </w:t>
      </w:r>
    </w:p>
    <w:p w:rsidR="00EE13F6" w:rsidRDefault="002E5BC4">
      <w:pPr>
        <w:spacing w:after="112"/>
        <w:ind w:left="720"/>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In sum, in stock markets, where algorithmic flash-trading is dominant, and which have a very liquid associated option market (the best example being the Apple stock in the United States), the impact of the FTT will be negligible on the liqui</w:t>
      </w:r>
      <w:r>
        <w:rPr>
          <w:rFonts w:ascii="Times New Roman" w:eastAsia="Times New Roman" w:hAnsi="Times New Roman" w:cs="Times New Roman"/>
          <w:sz w:val="24"/>
        </w:rPr>
        <w:t xml:space="preserve">dity of the total market comprised of the stock and synthetic stock.  </w:t>
      </w:r>
    </w:p>
    <w:p w:rsidR="00EE13F6" w:rsidRDefault="002E5BC4">
      <w:pPr>
        <w:spacing w:after="116"/>
      </w:pPr>
      <w:r>
        <w:rPr>
          <w:rFonts w:ascii="Times New Roman" w:eastAsia="Times New Roman" w:hAnsi="Times New Roman" w:cs="Times New Roman"/>
          <w:sz w:val="24"/>
        </w:rPr>
        <w:t xml:space="preserve"> </w:t>
      </w:r>
    </w:p>
    <w:p w:rsidR="00EE13F6" w:rsidRDefault="002E5BC4" w:rsidP="002E5BC4">
      <w:pPr>
        <w:numPr>
          <w:ilvl w:val="0"/>
          <w:numId w:val="5"/>
        </w:numPr>
        <w:spacing w:after="3" w:line="367" w:lineRule="auto"/>
        <w:ind w:hanging="360"/>
        <w:jc w:val="both"/>
      </w:pPr>
      <w:r>
        <w:rPr>
          <w:rFonts w:ascii="Times New Roman" w:eastAsia="Times New Roman" w:hAnsi="Times New Roman" w:cs="Times New Roman"/>
          <w:sz w:val="24"/>
        </w:rPr>
        <w:t>For other markets, the conclusion is less certain and must be determined on a caser-by-case basis. In the extreme case of a market where there are no speculators on stocks and where t</w:t>
      </w:r>
      <w:r>
        <w:rPr>
          <w:rFonts w:ascii="Times New Roman" w:eastAsia="Times New Roman" w:hAnsi="Times New Roman" w:cs="Times New Roman"/>
          <w:sz w:val="24"/>
        </w:rPr>
        <w:t>he positions taken are long term investments, the demand for stocks will not be sensitive to the introduction of the tax, because the stock market is one of pure insurance. Further, volumes will increase in the long term because of the adjustment of the st</w:t>
      </w:r>
      <w:r>
        <w:rPr>
          <w:rFonts w:ascii="Times New Roman" w:eastAsia="Times New Roman" w:hAnsi="Times New Roman" w:cs="Times New Roman"/>
          <w:sz w:val="24"/>
        </w:rPr>
        <w:t xml:space="preserve">ructure of businesses, and altogether liquidity will increase.  </w:t>
      </w:r>
    </w:p>
    <w:p w:rsidR="00EE13F6" w:rsidRDefault="002E5BC4">
      <w:pPr>
        <w:spacing w:after="112"/>
        <w:ind w:left="1080"/>
      </w:pPr>
      <w:r>
        <w:rPr>
          <w:rFonts w:ascii="Times New Roman" w:eastAsia="Times New Roman" w:hAnsi="Times New Roman" w:cs="Times New Roman"/>
          <w:sz w:val="24"/>
        </w:rPr>
        <w:t xml:space="preserve"> </w:t>
      </w:r>
    </w:p>
    <w:p w:rsidR="00EE13F6" w:rsidRDefault="002E5BC4">
      <w:pPr>
        <w:spacing w:after="0"/>
        <w:ind w:left="1080"/>
      </w:pPr>
      <w:r>
        <w:rPr>
          <w:rFonts w:ascii="Times New Roman" w:eastAsia="Times New Roman" w:hAnsi="Times New Roman" w:cs="Times New Roman"/>
          <w:sz w:val="24"/>
        </w:rPr>
        <w:t xml:space="preserve"> </w:t>
      </w:r>
    </w:p>
    <w:p w:rsidR="00EE13F6" w:rsidRDefault="002E5BC4">
      <w:pPr>
        <w:pStyle w:val="Heading3"/>
        <w:ind w:left="-5"/>
      </w:pPr>
      <w:r>
        <w:lastRenderedPageBreak/>
        <w:t>3.3</w:t>
      </w:r>
      <w:r>
        <w:rPr>
          <w:rFonts w:ascii="Arial" w:eastAsia="Arial" w:hAnsi="Arial" w:cs="Arial"/>
        </w:rPr>
        <w:t xml:space="preserve"> </w:t>
      </w:r>
      <w:r>
        <w:t xml:space="preserve"> Cost of Capital  </w:t>
      </w:r>
    </w:p>
    <w:p w:rsidR="00EE13F6" w:rsidRDefault="002E5BC4">
      <w:pPr>
        <w:spacing w:after="116"/>
        <w:ind w:left="786"/>
      </w:pPr>
      <w:r>
        <w:rPr>
          <w:rFonts w:ascii="Times New Roman" w:eastAsia="Times New Roman" w:hAnsi="Times New Roman" w:cs="Times New Roman"/>
          <w:b/>
          <w:sz w:val="24"/>
        </w:rPr>
        <w:t xml:space="preserve"> </w:t>
      </w:r>
    </w:p>
    <w:p w:rsidR="00EE13F6" w:rsidRDefault="002E5BC4">
      <w:pPr>
        <w:pStyle w:val="Heading4"/>
        <w:ind w:left="-5"/>
      </w:pPr>
      <w:r>
        <w:t>3.3.1</w:t>
      </w:r>
      <w:r>
        <w:rPr>
          <w:rFonts w:ascii="Arial" w:eastAsia="Arial" w:hAnsi="Arial" w:cs="Arial"/>
        </w:rPr>
        <w:t xml:space="preserve"> </w:t>
      </w:r>
      <w:r>
        <w:t xml:space="preserve">Chapter II </w:t>
      </w:r>
    </w:p>
    <w:p w:rsidR="00EE13F6" w:rsidRDefault="002E5BC4">
      <w:pPr>
        <w:spacing w:after="112"/>
        <w:ind w:left="720"/>
      </w:pPr>
      <w:r>
        <w:rPr>
          <w:rFonts w:ascii="Times New Roman" w:eastAsia="Times New Roman" w:hAnsi="Times New Roman" w:cs="Times New Roman"/>
          <w:b/>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Chapter II considers the arbitrage between stock derivatives and credit derivatives, and finds a significant effect of the FTT on the latter m</w:t>
      </w:r>
      <w:r>
        <w:rPr>
          <w:rFonts w:ascii="Times New Roman" w:eastAsia="Times New Roman" w:hAnsi="Times New Roman" w:cs="Times New Roman"/>
          <w:sz w:val="24"/>
        </w:rPr>
        <w:t xml:space="preserve">arket, which leads to a substantial increase in the cost of financing for businesses. We study first the theoretical impact of the FFT, before then performing a simulation on the values of 6 businesses. </w:t>
      </w:r>
    </w:p>
    <w:p w:rsidR="00EE13F6" w:rsidRDefault="002E5BC4">
      <w:pPr>
        <w:spacing w:after="112"/>
      </w:pPr>
      <w:r>
        <w:rPr>
          <w:rFonts w:ascii="Times New Roman" w:eastAsia="Times New Roman" w:hAnsi="Times New Roman" w:cs="Times New Roman"/>
          <w:sz w:val="24"/>
        </w:rPr>
        <w:t xml:space="preserve"> </w:t>
      </w:r>
    </w:p>
    <w:p w:rsidR="00EE13F6" w:rsidRDefault="002E5BC4">
      <w:pPr>
        <w:pStyle w:val="Heading2"/>
        <w:spacing w:after="109" w:line="265" w:lineRule="auto"/>
        <w:ind w:left="730"/>
      </w:pPr>
      <w:r>
        <w:rPr>
          <w:rFonts w:ascii="Times New Roman" w:eastAsia="Times New Roman" w:hAnsi="Times New Roman" w:cs="Times New Roman"/>
        </w:rPr>
        <w:t xml:space="preserve">A. Theoretical Impact On The Cost of Capital </w:t>
      </w:r>
    </w:p>
    <w:p w:rsidR="00EE13F6" w:rsidRDefault="002E5BC4">
      <w:pPr>
        <w:spacing w:after="117"/>
        <w:ind w:left="72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 xml:space="preserve">The explanation for the significant increase in the cost of financing for businesses resides in the fact that business that issue bonds on the primary market must offer to subscribers some insurance against the credit risk born by the latter. By way of an </w:t>
      </w:r>
      <w:r>
        <w:rPr>
          <w:rFonts w:ascii="Times New Roman" w:eastAsia="Times New Roman" w:hAnsi="Times New Roman" w:cs="Times New Roman"/>
          <w:sz w:val="24"/>
        </w:rPr>
        <w:t xml:space="preserve">arbitrage between credit derivatives and stock derivatives, we show that such coverage is equivalent to the purchase of an American-type put option on the stock.  In case of bankruptcy, the bondholder covers its loss by selling the stock, which then has a </w:t>
      </w:r>
      <w:r>
        <w:rPr>
          <w:rFonts w:ascii="Times New Roman" w:eastAsia="Times New Roman" w:hAnsi="Times New Roman" w:cs="Times New Roman"/>
          <w:sz w:val="24"/>
        </w:rPr>
        <w:t xml:space="preserve">value close to zero. We take into account the hypothesis where the bankruptcy happens when the value of the assets falls beneath an amount stated as a fraction of the principal of the debt. The trajectory of the value of the assets is supposed to follow a </w:t>
      </w:r>
      <w:r>
        <w:rPr>
          <w:rFonts w:ascii="Times New Roman" w:eastAsia="Times New Roman" w:hAnsi="Times New Roman" w:cs="Times New Roman"/>
          <w:sz w:val="24"/>
        </w:rPr>
        <w:t xml:space="preserve">process of geometrical stochastic diffusion, whose volatility is derived from the volatility of the price of the stock.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The market for put-type options is generally rather illiquid, in particular for long maturities and options out of the money (with a</w:t>
      </w:r>
      <w:r>
        <w:rPr>
          <w:rFonts w:ascii="Times New Roman" w:eastAsia="Times New Roman" w:hAnsi="Times New Roman" w:cs="Times New Roman"/>
          <w:sz w:val="24"/>
        </w:rPr>
        <w:t xml:space="preserve"> very low exercise price.) These options are preferred in this type of arbitrage for cost reasons. Further, since businesses borrow, we will take into account the purchase value of the put with a market maker. The latter will increase, as we saw above, the</w:t>
      </w:r>
      <w:r>
        <w:rPr>
          <w:rFonts w:ascii="Times New Roman" w:eastAsia="Times New Roman" w:hAnsi="Times New Roman" w:cs="Times New Roman"/>
          <w:sz w:val="24"/>
        </w:rPr>
        <w:t xml:space="preserve"> sale price of the option to recoup the coverage costs of its option portfolio until its term.  </w:t>
      </w:r>
    </w:p>
    <w:p w:rsidR="00EE13F6" w:rsidRDefault="002E5BC4">
      <w:pPr>
        <w:spacing w:after="117"/>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 xml:space="preserve">In this model, we then see that the credit risk, or credit spread, is a growing function of the volatility of assets, which itself depends </w:t>
      </w:r>
      <w:r>
        <w:rPr>
          <w:rFonts w:ascii="Times New Roman" w:eastAsia="Times New Roman" w:hAnsi="Times New Roman" w:cs="Times New Roman"/>
          <w:sz w:val="24"/>
        </w:rPr>
        <w:t xml:space="preserve">on the volatility of the stock price. While the price of the issued bond includes the cost of credit insurance, this is equivalent to considering an arbitrage model between stocks and bonds from the same business. </w:t>
      </w:r>
    </w:p>
    <w:p w:rsidR="00EE13F6" w:rsidRDefault="002E5BC4">
      <w:pPr>
        <w:spacing w:after="112"/>
        <w:ind w:left="1146"/>
      </w:pPr>
      <w:r>
        <w:rPr>
          <w:rFonts w:ascii="Times New Roman" w:eastAsia="Times New Roman" w:hAnsi="Times New Roman" w:cs="Times New Roman"/>
          <w:sz w:val="24"/>
        </w:rPr>
        <w:lastRenderedPageBreak/>
        <w:t xml:space="preserve"> </w:t>
      </w:r>
    </w:p>
    <w:p w:rsidR="00EE13F6" w:rsidRDefault="002E5BC4">
      <w:pPr>
        <w:spacing w:after="3" w:line="367" w:lineRule="auto"/>
        <w:ind w:left="-5" w:hanging="10"/>
        <w:jc w:val="both"/>
      </w:pPr>
      <w:r>
        <w:rPr>
          <w:rFonts w:ascii="Times New Roman" w:eastAsia="Times New Roman" w:hAnsi="Times New Roman" w:cs="Times New Roman"/>
          <w:sz w:val="24"/>
        </w:rPr>
        <w:t>For the sake of simplicity, we will con</w:t>
      </w:r>
      <w:r>
        <w:rPr>
          <w:rFonts w:ascii="Times New Roman" w:eastAsia="Times New Roman" w:hAnsi="Times New Roman" w:cs="Times New Roman"/>
          <w:sz w:val="24"/>
        </w:rPr>
        <w:t xml:space="preserve">sider an arbitrage model between credit derivatives and stock derivatives, which is broadly used in trading floors, and was introduced by JP MORGAN in the early 2000s, the CreditGrades® model.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This model yields directly, for any business with a given b</w:t>
      </w:r>
      <w:r>
        <w:rPr>
          <w:rFonts w:ascii="Times New Roman" w:eastAsia="Times New Roman" w:hAnsi="Times New Roman" w:cs="Times New Roman"/>
          <w:sz w:val="24"/>
        </w:rPr>
        <w:t>alance sheet structure, the link between the probability of default by this entity and the volatility of the stock price. This model is widely used by market operators to calculate the theoretical spread of credit derivatives with a certain level of volati</w:t>
      </w:r>
      <w:r>
        <w:rPr>
          <w:rFonts w:ascii="Times New Roman" w:eastAsia="Times New Roman" w:hAnsi="Times New Roman" w:cs="Times New Roman"/>
          <w:sz w:val="24"/>
        </w:rPr>
        <w:t>lity of the stock price. When so used, it allows an arbitrage between credit derivatives and stock derivatives, in particular the arbitrage previously described, which uses put-style. We apply this model to a sample of 6 European businesses, which comprise</w:t>
      </w:r>
      <w:r>
        <w:rPr>
          <w:rFonts w:ascii="Times New Roman" w:eastAsia="Times New Roman" w:hAnsi="Times New Roman" w:cs="Times New Roman"/>
          <w:sz w:val="24"/>
        </w:rPr>
        <w:t>s three manufacturing concerns and three financial institutions. We consider the structure of their balance sheets as it is known as of 09/30/2016. First we calibrate the CreditGrades® model on the credit spreads and the volatilities of the stocks of these</w:t>
      </w:r>
      <w:r>
        <w:rPr>
          <w:rFonts w:ascii="Times New Roman" w:eastAsia="Times New Roman" w:hAnsi="Times New Roman" w:cs="Times New Roman"/>
          <w:sz w:val="24"/>
        </w:rPr>
        <w:t xml:space="preserve"> businesses. We then perform a simulation of the impact of the introduction of the FTT on the issuance price of bonds by these businesses on the primary market. </w:t>
      </w:r>
    </w:p>
    <w:p w:rsidR="00EE13F6" w:rsidRDefault="002E5BC4">
      <w:pPr>
        <w:spacing w:after="112"/>
        <w:ind w:left="-5" w:hanging="10"/>
        <w:jc w:val="both"/>
      </w:pPr>
      <w:r>
        <w:rPr>
          <w:rFonts w:ascii="Times New Roman" w:eastAsia="Times New Roman" w:hAnsi="Times New Roman" w:cs="Times New Roman"/>
          <w:sz w:val="24"/>
        </w:rPr>
        <w:t xml:space="preserve">We consider successively maturities of 5, 10, 15 and 20 years for these bonds. </w:t>
      </w:r>
    </w:p>
    <w:p w:rsidR="00EE13F6" w:rsidRDefault="002E5BC4">
      <w:pPr>
        <w:spacing w:after="112"/>
        <w:ind w:left="1146"/>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The amplitud</w:t>
      </w:r>
      <w:r>
        <w:rPr>
          <w:rFonts w:ascii="Times New Roman" w:eastAsia="Times New Roman" w:hAnsi="Times New Roman" w:cs="Times New Roman"/>
          <w:sz w:val="24"/>
        </w:rPr>
        <w:t>e of the increase of the credit spreads on the CDS markets appears much greater (several percentage points per year) than that generally stated by the European Commission (.09%) [21]. This increase then propagates by arbitrage to the markets for business b</w:t>
      </w:r>
      <w:r>
        <w:rPr>
          <w:rFonts w:ascii="Times New Roman" w:eastAsia="Times New Roman" w:hAnsi="Times New Roman" w:cs="Times New Roman"/>
          <w:sz w:val="24"/>
        </w:rPr>
        <w:t>onds, and leads to significant price drops on the secondary bond markets. The amplitude is such that, for example for ARCELOR MITTAL (-80% for 20 year bonds), that the FTT would induce insurmountable competition distortions with competing businesses locate</w:t>
      </w:r>
      <w:r>
        <w:rPr>
          <w:rFonts w:ascii="Times New Roman" w:eastAsia="Times New Roman" w:hAnsi="Times New Roman" w:cs="Times New Roman"/>
          <w:sz w:val="24"/>
        </w:rPr>
        <w:t xml:space="preserve">d in emerging countries. This simulation reminds us that the effects of the FTT will be felt well beyond the world of finance, and affect businesses whose principal competitors are outside the European Union and thus not subject to this tax. </w:t>
      </w:r>
    </w:p>
    <w:p w:rsidR="00EE13F6" w:rsidRDefault="002E5BC4">
      <w:pPr>
        <w:spacing w:after="117"/>
      </w:pPr>
      <w:r>
        <w:rPr>
          <w:rFonts w:ascii="Times New Roman" w:eastAsia="Times New Roman" w:hAnsi="Times New Roman" w:cs="Times New Roman"/>
          <w:sz w:val="24"/>
        </w:rPr>
        <w:t xml:space="preserve">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0"/>
      </w:pPr>
      <w:r>
        <w:rPr>
          <w:rFonts w:ascii="Times New Roman" w:eastAsia="Times New Roman" w:hAnsi="Times New Roman" w:cs="Times New Roman"/>
          <w:b/>
          <w:sz w:val="24"/>
        </w:rPr>
        <w:t xml:space="preserve"> </w:t>
      </w:r>
    </w:p>
    <w:p w:rsidR="00EE13F6" w:rsidRDefault="002E5BC4">
      <w:pPr>
        <w:spacing w:after="112"/>
        <w:ind w:right="1"/>
        <w:jc w:val="right"/>
      </w:pPr>
      <w:r>
        <w:rPr>
          <w:rFonts w:ascii="Times New Roman" w:eastAsia="Times New Roman" w:hAnsi="Times New Roman" w:cs="Times New Roman"/>
          <w:b/>
          <w:sz w:val="24"/>
        </w:rPr>
        <w:t>B.</w:t>
      </w:r>
      <w:r>
        <w:rPr>
          <w:rFonts w:ascii="Arial" w:eastAsia="Arial" w:hAnsi="Arial" w:cs="Arial"/>
          <w:b/>
          <w:sz w:val="24"/>
        </w:rPr>
        <w:t xml:space="preserve"> </w:t>
      </w:r>
      <w:r>
        <w:rPr>
          <w:rFonts w:ascii="Times New Roman" w:eastAsia="Times New Roman" w:hAnsi="Times New Roman" w:cs="Times New Roman"/>
          <w:b/>
          <w:sz w:val="24"/>
        </w:rPr>
        <w:t>Ca</w:t>
      </w:r>
      <w:r>
        <w:rPr>
          <w:rFonts w:ascii="Times New Roman" w:eastAsia="Times New Roman" w:hAnsi="Times New Roman" w:cs="Times New Roman"/>
          <w:b/>
          <w:sz w:val="24"/>
        </w:rPr>
        <w:t xml:space="preserve">libration of Our Models And Analysis Of The Concrete Cases of 6 </w:t>
      </w:r>
    </w:p>
    <w:p w:rsidR="00EE13F6" w:rsidRDefault="002E5BC4">
      <w:pPr>
        <w:pStyle w:val="Heading2"/>
        <w:spacing w:after="109" w:line="265" w:lineRule="auto"/>
        <w:ind w:left="1505"/>
      </w:pPr>
      <w:r>
        <w:rPr>
          <w:rFonts w:ascii="Times New Roman" w:eastAsia="Times New Roman" w:hAnsi="Times New Roman" w:cs="Times New Roman"/>
        </w:rPr>
        <w:lastRenderedPageBreak/>
        <w:t xml:space="preserve">European Companies </w:t>
      </w:r>
    </w:p>
    <w:p w:rsidR="00EE13F6" w:rsidRDefault="002E5BC4">
      <w:pPr>
        <w:spacing w:after="117"/>
        <w:ind w:left="1495"/>
      </w:pPr>
      <w:r>
        <w:rPr>
          <w:rFonts w:ascii="Times New Roman" w:eastAsia="Times New Roman" w:hAnsi="Times New Roman" w:cs="Times New Roman"/>
          <w:b/>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 xml:space="preserve">We use two models, dealing respectively with perpetual debt and fixed maturity debt, to estimate the impact on the price of the debt and the theoretical price of the stock, for a sample of 6 European businesses selected for the purposes of Chapter II. </w:t>
      </w:r>
    </w:p>
    <w:p w:rsidR="00EE13F6" w:rsidRDefault="002E5BC4">
      <w:pPr>
        <w:spacing w:after="117"/>
      </w:pPr>
      <w:r>
        <w:rPr>
          <w:rFonts w:ascii="Times New Roman" w:eastAsia="Times New Roman" w:hAnsi="Times New Roman" w:cs="Times New Roman"/>
          <w:b/>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W</w:t>
      </w:r>
      <w:r>
        <w:rPr>
          <w:rFonts w:ascii="Times New Roman" w:eastAsia="Times New Roman" w:hAnsi="Times New Roman" w:cs="Times New Roman"/>
          <w:sz w:val="24"/>
        </w:rPr>
        <w:t>e note that the behavior of these businesses tends towards having a fixed capital structure rather than an optimal capital structure. The drops in the theoretical bond and stock prices are significant. One can measure them both on the short term, as soon a</w:t>
      </w:r>
      <w:r>
        <w:rPr>
          <w:rFonts w:ascii="Times New Roman" w:eastAsia="Times New Roman" w:hAnsi="Times New Roman" w:cs="Times New Roman"/>
          <w:sz w:val="24"/>
        </w:rPr>
        <w:t xml:space="preserve">s the FTT is introduced, and on the long term, once the businesses have renewed their debt inventory. The short term effect is comprised between -3% and -10% of the stock value. The long term effect is comprised between -1% and -8% of the stock value. The </w:t>
      </w:r>
      <w:r>
        <w:rPr>
          <w:rFonts w:ascii="Times New Roman" w:eastAsia="Times New Roman" w:hAnsi="Times New Roman" w:cs="Times New Roman"/>
          <w:sz w:val="24"/>
        </w:rPr>
        <w:t xml:space="preserve">average credit spread increase, for the average duration of the debt, is comprised between .5% and 2.5%.       </w:t>
      </w:r>
    </w:p>
    <w:p w:rsidR="00EE13F6" w:rsidRDefault="002E5BC4">
      <w:pPr>
        <w:spacing w:after="0" w:line="360" w:lineRule="auto"/>
        <w:ind w:right="8221"/>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rsidR="00EE13F6" w:rsidRDefault="002E5BC4">
      <w:pPr>
        <w:pStyle w:val="Heading3"/>
        <w:ind w:left="-5"/>
      </w:pPr>
      <w:r>
        <w:t xml:space="preserve">3.3.2   Chapter III </w:t>
      </w:r>
    </w:p>
    <w:p w:rsidR="00EE13F6" w:rsidRDefault="002E5BC4">
      <w:pPr>
        <w:spacing w:after="112"/>
      </w:pPr>
      <w:r>
        <w:rPr>
          <w:rFonts w:ascii="Times New Roman" w:eastAsia="Times New Roman" w:hAnsi="Times New Roman" w:cs="Times New Roman"/>
          <w:color w:val="FF0000"/>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Chapter III deals with the structure of the capital of these businesses and the impact of the FTT on that structure. W</w:t>
      </w:r>
      <w:r>
        <w:rPr>
          <w:rFonts w:ascii="Times New Roman" w:eastAsia="Times New Roman" w:hAnsi="Times New Roman" w:cs="Times New Roman"/>
          <w:sz w:val="24"/>
        </w:rPr>
        <w:t xml:space="preserve">e review in particular the impact of the FTT on the theoretical value of the stock of the business, as well as the intrinsic value of the latter. </w:t>
      </w:r>
      <w:r>
        <w:rPr>
          <w:rFonts w:ascii="Times New Roman" w:eastAsia="Times New Roman" w:hAnsi="Times New Roman" w:cs="Times New Roman"/>
          <w:color w:val="FF0000"/>
          <w:sz w:val="24"/>
        </w:rPr>
        <w:t xml:space="preserve"> </w:t>
      </w:r>
    </w:p>
    <w:p w:rsidR="00EE13F6" w:rsidRDefault="002E5BC4">
      <w:pPr>
        <w:spacing w:after="112"/>
      </w:pPr>
      <w:r>
        <w:rPr>
          <w:rFonts w:ascii="Times New Roman" w:eastAsia="Times New Roman" w:hAnsi="Times New Roman" w:cs="Times New Roman"/>
          <w:color w:val="FF0000"/>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We model the structure of the business and that of its capital based on the models introduced during the m</w:t>
      </w:r>
      <w:r>
        <w:rPr>
          <w:rFonts w:ascii="Times New Roman" w:eastAsia="Times New Roman" w:hAnsi="Times New Roman" w:cs="Times New Roman"/>
          <w:sz w:val="24"/>
        </w:rPr>
        <w:t xml:space="preserve">id-1990s by LELAND and TOFT following the work of MODIGLIANI and MILLER. </w:t>
      </w:r>
    </w:p>
    <w:p w:rsidR="00EE13F6" w:rsidRDefault="002E5BC4">
      <w:pPr>
        <w:spacing w:after="3" w:line="367" w:lineRule="auto"/>
        <w:ind w:left="-5" w:hanging="10"/>
        <w:jc w:val="both"/>
      </w:pPr>
      <w:r>
        <w:rPr>
          <w:rFonts w:ascii="Times New Roman" w:eastAsia="Times New Roman" w:hAnsi="Times New Roman" w:cs="Times New Roman"/>
          <w:sz w:val="24"/>
        </w:rPr>
        <w:t xml:space="preserve">Unlike these authors, however, we consider, in the line of the CreditGrades® model, an exogenous determination of the bankruptcy of the business, which happens whenever the value of </w:t>
      </w:r>
      <w:r>
        <w:rPr>
          <w:rFonts w:ascii="Times New Roman" w:eastAsia="Times New Roman" w:hAnsi="Times New Roman" w:cs="Times New Roman"/>
          <w:sz w:val="24"/>
        </w:rPr>
        <w:t xml:space="preserve">the assets falls beneath predetermined level. This trigger threshold is set as a fraction of the principal amount of the debt incurred by the business.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0"/>
      </w:pPr>
      <w:r>
        <w:rPr>
          <w:rFonts w:ascii="Times New Roman" w:eastAsia="Times New Roman" w:hAnsi="Times New Roman" w:cs="Times New Roman"/>
          <w:sz w:val="24"/>
        </w:rPr>
        <w:t xml:space="preserve"> </w:t>
      </w:r>
    </w:p>
    <w:p w:rsidR="00EE13F6" w:rsidRDefault="002E5BC4">
      <w:pPr>
        <w:spacing w:after="112"/>
        <w:ind w:left="-5" w:hanging="10"/>
        <w:jc w:val="both"/>
      </w:pPr>
      <w:r>
        <w:rPr>
          <w:rFonts w:ascii="Times New Roman" w:eastAsia="Times New Roman" w:hAnsi="Times New Roman" w:cs="Times New Roman"/>
          <w:sz w:val="24"/>
        </w:rPr>
        <w:t>We consider that there may exist two main types of capital structures:</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EE13F6" w:rsidRDefault="002E5BC4">
      <w:pPr>
        <w:spacing w:after="116"/>
        <w:ind w:left="1080"/>
      </w:pPr>
      <w:r>
        <w:rPr>
          <w:rFonts w:ascii="Times New Roman" w:eastAsia="Times New Roman" w:hAnsi="Times New Roman" w:cs="Times New Roman"/>
          <w:sz w:val="24"/>
        </w:rPr>
        <w:t xml:space="preserve"> </w:t>
      </w:r>
    </w:p>
    <w:p w:rsidR="00EE13F6" w:rsidRDefault="002E5BC4" w:rsidP="002E5BC4">
      <w:pPr>
        <w:numPr>
          <w:ilvl w:val="0"/>
          <w:numId w:val="6"/>
        </w:numPr>
        <w:spacing w:after="3" w:line="367" w:lineRule="auto"/>
        <w:ind w:hanging="720"/>
        <w:jc w:val="both"/>
      </w:pPr>
      <w:r>
        <w:rPr>
          <w:rFonts w:ascii="Times New Roman" w:eastAsia="Times New Roman" w:hAnsi="Times New Roman" w:cs="Times New Roman"/>
          <w:sz w:val="24"/>
        </w:rPr>
        <w:lastRenderedPageBreak/>
        <w:t>The first follows a f</w:t>
      </w:r>
      <w:r>
        <w:rPr>
          <w:rFonts w:ascii="Times New Roman" w:eastAsia="Times New Roman" w:hAnsi="Times New Roman" w:cs="Times New Roman"/>
          <w:sz w:val="24"/>
        </w:rPr>
        <w:t xml:space="preserve">ixed capital structure, i.e. a debt level whose principal is a fixed fraction of the value of the assets. </w:t>
      </w:r>
    </w:p>
    <w:p w:rsidR="00EE13F6" w:rsidRDefault="002E5BC4">
      <w:pPr>
        <w:spacing w:after="116"/>
        <w:ind w:left="1440"/>
      </w:pPr>
      <w:r>
        <w:rPr>
          <w:rFonts w:ascii="Times New Roman" w:eastAsia="Times New Roman" w:hAnsi="Times New Roman" w:cs="Times New Roman"/>
          <w:sz w:val="24"/>
        </w:rPr>
        <w:t xml:space="preserve"> </w:t>
      </w:r>
    </w:p>
    <w:p w:rsidR="00EE13F6" w:rsidRDefault="002E5BC4" w:rsidP="002E5BC4">
      <w:pPr>
        <w:numPr>
          <w:ilvl w:val="0"/>
          <w:numId w:val="6"/>
        </w:numPr>
        <w:spacing w:after="3" w:line="367" w:lineRule="auto"/>
        <w:ind w:hanging="720"/>
        <w:jc w:val="both"/>
      </w:pPr>
      <w:r>
        <w:rPr>
          <w:rFonts w:ascii="Times New Roman" w:eastAsia="Times New Roman" w:hAnsi="Times New Roman" w:cs="Times New Roman"/>
          <w:sz w:val="24"/>
        </w:rPr>
        <w:t xml:space="preserve">The second considers an optimal capital structure. Due to the tax deductibility of paid interest, </w:t>
      </w:r>
      <w:r>
        <w:rPr>
          <w:rFonts w:ascii="Times New Roman" w:eastAsia="Times New Roman" w:hAnsi="Times New Roman" w:cs="Times New Roman"/>
          <w:sz w:val="24"/>
        </w:rPr>
        <w:t xml:space="preserve">we show in this manner that there exists an optimal debt threshold that maximizes the value of the company for the shareholder. </w:t>
      </w:r>
    </w:p>
    <w:p w:rsidR="00EE13F6" w:rsidRDefault="002E5BC4">
      <w:pPr>
        <w:spacing w:after="0"/>
        <w:ind w:left="720"/>
      </w:pPr>
      <w:r>
        <w:rPr>
          <w:rFonts w:ascii="Times New Roman" w:eastAsia="Times New Roman" w:hAnsi="Times New Roman" w:cs="Times New Roman"/>
          <w:sz w:val="24"/>
        </w:rPr>
        <w:t xml:space="preserve"> </w:t>
      </w:r>
    </w:p>
    <w:p w:rsidR="00EE13F6" w:rsidRDefault="002E5BC4">
      <w:pPr>
        <w:spacing w:after="117"/>
        <w:ind w:left="108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We will first study the differential theoretical impact on the theoretical value of stock depending on the capital structur</w:t>
      </w:r>
      <w:r>
        <w:rPr>
          <w:rFonts w:ascii="Times New Roman" w:eastAsia="Times New Roman" w:hAnsi="Times New Roman" w:cs="Times New Roman"/>
          <w:sz w:val="24"/>
        </w:rPr>
        <w:t xml:space="preserve">e and the corporate tax rate, before reviewing the induced consequences of the drop in the value of the stock, in particular in the context of regulations such as CRD IV. </w:t>
      </w:r>
    </w:p>
    <w:p w:rsidR="00EE13F6" w:rsidRDefault="002E5BC4">
      <w:pPr>
        <w:spacing w:after="117"/>
        <w:ind w:left="720"/>
      </w:pPr>
      <w:r>
        <w:rPr>
          <w:rFonts w:ascii="Times New Roman" w:eastAsia="Times New Roman" w:hAnsi="Times New Roman" w:cs="Times New Roman"/>
          <w:sz w:val="24"/>
        </w:rPr>
        <w:t xml:space="preserve"> </w:t>
      </w:r>
    </w:p>
    <w:p w:rsidR="00EE13F6" w:rsidRDefault="002E5BC4">
      <w:pPr>
        <w:spacing w:after="0"/>
        <w:ind w:left="720"/>
      </w:pPr>
      <w:r>
        <w:rPr>
          <w:rFonts w:ascii="Times New Roman" w:eastAsia="Times New Roman" w:hAnsi="Times New Roman" w:cs="Times New Roman"/>
          <w:sz w:val="24"/>
        </w:rPr>
        <w:t xml:space="preserve"> </w:t>
      </w:r>
    </w:p>
    <w:p w:rsidR="00EE13F6" w:rsidRDefault="002E5BC4">
      <w:pPr>
        <w:spacing w:after="0"/>
        <w:ind w:left="720"/>
      </w:pPr>
      <w:r>
        <w:rPr>
          <w:rFonts w:ascii="Times New Roman" w:eastAsia="Times New Roman" w:hAnsi="Times New Roman" w:cs="Times New Roman"/>
          <w:sz w:val="24"/>
        </w:rPr>
        <w:t xml:space="preserve"> </w:t>
      </w:r>
    </w:p>
    <w:p w:rsidR="00EE13F6" w:rsidRDefault="002E5BC4">
      <w:pPr>
        <w:spacing w:after="112"/>
        <w:ind w:left="109"/>
        <w:jc w:val="center"/>
      </w:pPr>
      <w:r>
        <w:rPr>
          <w:rFonts w:ascii="Times New Roman" w:eastAsia="Times New Roman" w:hAnsi="Times New Roman" w:cs="Times New Roman"/>
          <w:b/>
          <w:sz w:val="24"/>
        </w:rPr>
        <w:t>A.</w:t>
      </w:r>
      <w:r>
        <w:rPr>
          <w:rFonts w:ascii="Arial" w:eastAsia="Arial" w:hAnsi="Arial" w:cs="Arial"/>
          <w:b/>
          <w:sz w:val="24"/>
        </w:rPr>
        <w:t xml:space="preserve"> </w:t>
      </w:r>
      <w:r>
        <w:rPr>
          <w:rFonts w:ascii="Times New Roman" w:eastAsia="Times New Roman" w:hAnsi="Times New Roman" w:cs="Times New Roman"/>
          <w:b/>
          <w:sz w:val="24"/>
        </w:rPr>
        <w:t xml:space="preserve">Differential Theoretical Impact On Theoretical Value of The Stock </w:t>
      </w:r>
    </w:p>
    <w:p w:rsidR="00EE13F6" w:rsidRDefault="002E5BC4">
      <w:pPr>
        <w:spacing w:after="116"/>
        <w:ind w:left="1495"/>
      </w:pPr>
      <w:r>
        <w:rPr>
          <w:rFonts w:ascii="Times New Roman" w:eastAsia="Times New Roman" w:hAnsi="Times New Roman" w:cs="Times New Roman"/>
          <w:b/>
          <w:sz w:val="24"/>
        </w:rPr>
        <w:t xml:space="preserve"> </w:t>
      </w:r>
    </w:p>
    <w:p w:rsidR="00EE13F6" w:rsidRDefault="002E5BC4">
      <w:pPr>
        <w:pStyle w:val="Heading2"/>
        <w:spacing w:after="109" w:line="265" w:lineRule="auto"/>
        <w:ind w:left="370"/>
      </w:pPr>
      <w:r>
        <w:rPr>
          <w:rFonts w:ascii="Times New Roman" w:eastAsia="Times New Roman" w:hAnsi="Times New Roman" w:cs="Times New Roman"/>
        </w:rPr>
        <w:t>1.</w:t>
      </w:r>
      <w:r>
        <w:rPr>
          <w:rFonts w:ascii="Arial" w:eastAsia="Arial" w:hAnsi="Arial" w:cs="Arial"/>
        </w:rPr>
        <w:t xml:space="preserve"> </w:t>
      </w:r>
      <w:r>
        <w:rPr>
          <w:rFonts w:ascii="Times New Roman" w:eastAsia="Times New Roman" w:hAnsi="Times New Roman" w:cs="Times New Roman"/>
        </w:rPr>
        <w:t xml:space="preserve">Impact Depending On Capital Structure </w:t>
      </w:r>
    </w:p>
    <w:p w:rsidR="00EE13F6" w:rsidRDefault="002E5BC4">
      <w:pPr>
        <w:spacing w:after="121"/>
      </w:pPr>
      <w:r>
        <w:rPr>
          <w:rFonts w:ascii="Times New Roman" w:eastAsia="Times New Roman" w:hAnsi="Times New Roman" w:cs="Times New Roman"/>
          <w:sz w:val="24"/>
        </w:rPr>
        <w:t xml:space="preserve"> </w:t>
      </w:r>
    </w:p>
    <w:p w:rsidR="00EE13F6" w:rsidRDefault="002E5BC4">
      <w:pPr>
        <w:spacing w:after="3" w:line="367" w:lineRule="auto"/>
        <w:ind w:left="1080" w:hanging="360"/>
        <w:jc w:val="both"/>
      </w:pPr>
      <w:r>
        <w:rPr>
          <w:rFonts w:ascii="Times New Roman" w:eastAsia="Times New Roman" w:hAnsi="Times New Roman" w:cs="Times New Roman"/>
          <w:sz w:val="24"/>
        </w:rPr>
        <w:t>a.</w:t>
      </w:r>
      <w:r>
        <w:rPr>
          <w:rFonts w:ascii="Arial" w:eastAsia="Arial" w:hAnsi="Arial" w:cs="Arial"/>
          <w:sz w:val="24"/>
        </w:rPr>
        <w:t xml:space="preserve"> </w:t>
      </w:r>
      <w:r>
        <w:rPr>
          <w:rFonts w:ascii="Times New Roman" w:eastAsia="Times New Roman" w:hAnsi="Times New Roman" w:cs="Times New Roman"/>
          <w:sz w:val="24"/>
        </w:rPr>
        <w:t xml:space="preserve">We first consider businesses that wish to keep a fixed capital structure, i.e. that choose to set their debt level at a constant fraction of asset value.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We show that businesses that finance themselves exclusi</w:t>
      </w:r>
      <w:r>
        <w:rPr>
          <w:rFonts w:ascii="Times New Roman" w:eastAsia="Times New Roman" w:hAnsi="Times New Roman" w:cs="Times New Roman"/>
          <w:sz w:val="24"/>
        </w:rPr>
        <w:t>vely through issuance perpetual debt, in particular junior debt, preferred stock or participation securities?, will experience during the introduction of the FTT a drop in the value of their debt inventory, as well as a drop in the value of their preferred</w:t>
      </w:r>
      <w:r>
        <w:rPr>
          <w:rFonts w:ascii="Times New Roman" w:eastAsia="Times New Roman" w:hAnsi="Times New Roman" w:cs="Times New Roman"/>
          <w:sz w:val="24"/>
        </w:rPr>
        <w:t xml:space="preserve"> stock. They will also experience a drop in corporate value. These businesses will however witness at first an increase in the theoretical value of their stock. But later bond issuances will lead to a drop in the price of the stock.  </w:t>
      </w:r>
    </w:p>
    <w:p w:rsidR="00EE13F6" w:rsidRDefault="002E5BC4">
      <w:pPr>
        <w:spacing w:after="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 xml:space="preserve">The amplitude of this effect increases with the leverage of the business, credit spread and volatility. This effect is always negative whatever the other parameters, such as dividend level, interest rate or tax rate on profits. </w:t>
      </w:r>
    </w:p>
    <w:p w:rsidR="00EE13F6" w:rsidRDefault="002E5BC4">
      <w:pPr>
        <w:spacing w:after="112"/>
        <w:ind w:left="108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lastRenderedPageBreak/>
        <w:t>With regard to businesses</w:t>
      </w:r>
      <w:r>
        <w:rPr>
          <w:rFonts w:ascii="Times New Roman" w:eastAsia="Times New Roman" w:hAnsi="Times New Roman" w:cs="Times New Roman"/>
          <w:sz w:val="24"/>
        </w:rPr>
        <w:t xml:space="preserve"> that finance themselves exclusively through the issuance of fixed and intermediate (5 to 15 years) maturity debt, we show that the impact of the increase of the FTT will generally be negative on the theoretical value of the stock, as well the theoretical </w:t>
      </w:r>
      <w:r>
        <w:rPr>
          <w:rFonts w:ascii="Times New Roman" w:eastAsia="Times New Roman" w:hAnsi="Times New Roman" w:cs="Times New Roman"/>
          <w:sz w:val="24"/>
        </w:rPr>
        <w:t>value of the debt and the value of the business. This impact on the debt will affect not only the existing debt inventory, but also the new bond issuances of intermediate maturity (up to 15 years). The amplitude of this impact is again an increasing functi</w:t>
      </w:r>
      <w:r>
        <w:rPr>
          <w:rFonts w:ascii="Times New Roman" w:eastAsia="Times New Roman" w:hAnsi="Times New Roman" w:cs="Times New Roman"/>
          <w:sz w:val="24"/>
        </w:rPr>
        <w:t xml:space="preserve">on, respectively?, of the leverage of the business, the credit spread and of the volatility.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The notable exceptions will concern, in particular, the businesses that issue “junk bonds” and are close to bankruptcy, so that the introduction of the FTT wou</w:t>
      </w:r>
      <w:r>
        <w:rPr>
          <w:rFonts w:ascii="Times New Roman" w:eastAsia="Times New Roman" w:hAnsi="Times New Roman" w:cs="Times New Roman"/>
          <w:sz w:val="24"/>
        </w:rPr>
        <w:t xml:space="preserve">ld create, in such cases, a selection bias in favor of businesses in poor health to the detriment of those that are more “virtuous”.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Generally, one can find an envelope? of parameters? on the dividends paid by the business and the interest rate such as</w:t>
      </w:r>
      <w:r>
        <w:rPr>
          <w:rFonts w:ascii="Times New Roman" w:eastAsia="Times New Roman" w:hAnsi="Times New Roman" w:cs="Times New Roman"/>
          <w:sz w:val="24"/>
        </w:rPr>
        <w:t xml:space="preserve"> the impact of the FTT is negative for the businesses that issue intermediate maturity debt (up to 15 or 20 years). We observe that such is the case, in particular, for all of the companies that comprise the French index CAC40. </w:t>
      </w:r>
    </w:p>
    <w:p w:rsidR="00EE13F6" w:rsidRDefault="002E5BC4">
      <w:pPr>
        <w:spacing w:after="116"/>
      </w:pPr>
      <w:r>
        <w:rPr>
          <w:rFonts w:ascii="Times New Roman" w:eastAsia="Times New Roman" w:hAnsi="Times New Roman" w:cs="Times New Roman"/>
          <w:color w:val="FF0000"/>
          <w:sz w:val="24"/>
        </w:rPr>
        <w:t xml:space="preserve"> </w:t>
      </w:r>
    </w:p>
    <w:p w:rsidR="00EE13F6" w:rsidRDefault="002E5BC4">
      <w:pPr>
        <w:spacing w:after="3" w:line="367" w:lineRule="auto"/>
        <w:ind w:left="1080" w:hanging="360"/>
        <w:jc w:val="both"/>
      </w:pPr>
      <w:r>
        <w:rPr>
          <w:rFonts w:ascii="Times New Roman" w:eastAsia="Times New Roman" w:hAnsi="Times New Roman" w:cs="Times New Roman"/>
          <w:color w:val="FF0000"/>
          <w:sz w:val="24"/>
        </w:rPr>
        <w:t>b.</w:t>
      </w:r>
      <w:r>
        <w:rPr>
          <w:rFonts w:ascii="Arial" w:eastAsia="Arial" w:hAnsi="Arial" w:cs="Arial"/>
          <w:color w:val="FF0000"/>
          <w:sz w:val="24"/>
        </w:rPr>
        <w:t xml:space="preserve"> </w:t>
      </w:r>
      <w:r>
        <w:rPr>
          <w:rFonts w:ascii="Times New Roman" w:eastAsia="Times New Roman" w:hAnsi="Times New Roman" w:cs="Times New Roman"/>
          <w:sz w:val="24"/>
        </w:rPr>
        <w:t>We then consider busin</w:t>
      </w:r>
      <w:r>
        <w:rPr>
          <w:rFonts w:ascii="Times New Roman" w:eastAsia="Times New Roman" w:hAnsi="Times New Roman" w:cs="Times New Roman"/>
          <w:sz w:val="24"/>
        </w:rPr>
        <w:t>esses that seek to determine an optimal level of indebtedness (and thus leverage) tending to maximize the corporate value.</w:t>
      </w:r>
      <w:r>
        <w:rPr>
          <w:rFonts w:ascii="Times New Roman" w:eastAsia="Times New Roman" w:hAnsi="Times New Roman" w:cs="Times New Roman"/>
          <w:color w:val="FF0000"/>
          <w:sz w:val="24"/>
        </w:rPr>
        <w:t xml:space="preserve"> </w:t>
      </w:r>
    </w:p>
    <w:p w:rsidR="00EE13F6" w:rsidRDefault="002E5BC4">
      <w:pPr>
        <w:spacing w:after="112"/>
        <w:ind w:left="360"/>
      </w:pPr>
      <w:r>
        <w:rPr>
          <w:rFonts w:ascii="Times New Roman" w:eastAsia="Times New Roman" w:hAnsi="Times New Roman" w:cs="Times New Roman"/>
          <w:b/>
          <w:color w:val="FF0000"/>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We show that the introduction of the FTT will tend to decrease the optimal level of indebtedness for businesses. Following the int</w:t>
      </w:r>
      <w:r>
        <w:rPr>
          <w:rFonts w:ascii="Times New Roman" w:eastAsia="Times New Roman" w:hAnsi="Times New Roman" w:cs="Times New Roman"/>
          <w:sz w:val="24"/>
        </w:rPr>
        <w:t>roduction of the FTT, the latter will tend, in order to adapt, to repay the existing debt inventory through stock issuances on the market. For businesses that finance themselves exclusively through issuances de debt with fixed and intermediate (5 to 15 yea</w:t>
      </w:r>
      <w:r>
        <w:rPr>
          <w:rFonts w:ascii="Times New Roman" w:eastAsia="Times New Roman" w:hAnsi="Times New Roman" w:cs="Times New Roman"/>
          <w:sz w:val="24"/>
        </w:rPr>
        <w:t xml:space="preserve">rs) maturity, we show that the impact of the increase of the FTT will be generally negative on the theoretical value of the stock, as well as the theoretical value of the debt and the corporate value. </w:t>
      </w:r>
    </w:p>
    <w:p w:rsidR="00EE13F6" w:rsidRDefault="002E5BC4">
      <w:pPr>
        <w:spacing w:after="3" w:line="367" w:lineRule="auto"/>
        <w:ind w:left="370" w:hanging="10"/>
        <w:jc w:val="both"/>
      </w:pPr>
      <w:r>
        <w:rPr>
          <w:rFonts w:ascii="Times New Roman" w:eastAsia="Times New Roman" w:hAnsi="Times New Roman" w:cs="Times New Roman"/>
          <w:sz w:val="24"/>
        </w:rPr>
        <w:t>We calculate that these stock issuances will happen wi</w:t>
      </w:r>
      <w:r>
        <w:rPr>
          <w:rFonts w:ascii="Times New Roman" w:eastAsia="Times New Roman" w:hAnsi="Times New Roman" w:cs="Times New Roman"/>
          <w:sz w:val="24"/>
        </w:rPr>
        <w:t xml:space="preserve">th an issuance price inferior to that prevailing before the introduction of the tax, thus leading to a drop of the theoretical price of the stock by way of the classic dilution effect. </w:t>
      </w:r>
    </w:p>
    <w:p w:rsidR="00EE13F6" w:rsidRDefault="002E5BC4">
      <w:pPr>
        <w:spacing w:after="112"/>
        <w:ind w:left="1080"/>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lastRenderedPageBreak/>
        <w:t>We also show that, like those businesses striving for a fixed capita</w:t>
      </w:r>
      <w:r>
        <w:rPr>
          <w:rFonts w:ascii="Times New Roman" w:eastAsia="Times New Roman" w:hAnsi="Times New Roman" w:cs="Times New Roman"/>
          <w:sz w:val="24"/>
        </w:rPr>
        <w:t>l structure, businesses that exclusively finance themselves through the issuance of debt with fixed and intermediate (5 to 15 years) maturity, will generally notice a negative impact on the theoretical value of their stock, as well as the theoretical value</w:t>
      </w:r>
      <w:r>
        <w:rPr>
          <w:rFonts w:ascii="Times New Roman" w:eastAsia="Times New Roman" w:hAnsi="Times New Roman" w:cs="Times New Roman"/>
          <w:sz w:val="24"/>
        </w:rPr>
        <w:t xml:space="preserve"> of the debt and the corporate value. </w:t>
      </w:r>
    </w:p>
    <w:p w:rsidR="00EE13F6" w:rsidRDefault="002E5BC4">
      <w:pPr>
        <w:spacing w:after="112"/>
        <w:ind w:left="360"/>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 xml:space="preserve">The amplitude of this impact is also a growing? function respectively? of the leverage of the business, the credit spread, and the volatility and maturity of the debt. </w:t>
      </w:r>
    </w:p>
    <w:p w:rsidR="00EE13F6" w:rsidRDefault="002E5BC4">
      <w:pPr>
        <w:spacing w:after="112"/>
        <w:ind w:left="360"/>
      </w:pPr>
      <w:r>
        <w:rPr>
          <w:rFonts w:ascii="Times New Roman" w:eastAsia="Times New Roman" w:hAnsi="Times New Roman" w:cs="Times New Roman"/>
          <w:sz w:val="24"/>
        </w:rPr>
        <w:t xml:space="preserve"> </w:t>
      </w:r>
    </w:p>
    <w:p w:rsidR="00EE13F6" w:rsidRDefault="002E5BC4">
      <w:pPr>
        <w:spacing w:after="112"/>
        <w:ind w:left="360"/>
      </w:pPr>
      <w:r>
        <w:rPr>
          <w:rFonts w:ascii="Times New Roman" w:eastAsia="Times New Roman" w:hAnsi="Times New Roman" w:cs="Times New Roman"/>
          <w:sz w:val="24"/>
        </w:rPr>
        <w:t xml:space="preserve"> </w:t>
      </w:r>
    </w:p>
    <w:p w:rsidR="00EE13F6" w:rsidRDefault="002E5BC4">
      <w:pPr>
        <w:pStyle w:val="Heading2"/>
        <w:spacing w:after="5" w:line="356" w:lineRule="auto"/>
        <w:ind w:left="-5"/>
      </w:pPr>
      <w:r>
        <w:rPr>
          <w:rFonts w:ascii="Times New Roman" w:eastAsia="Times New Roman" w:hAnsi="Times New Roman" w:cs="Times New Roman"/>
          <w:b w:val="0"/>
        </w:rPr>
        <w:t xml:space="preserve">2. </w:t>
      </w:r>
      <w:r>
        <w:rPr>
          <w:rFonts w:ascii="Times New Roman" w:eastAsia="Times New Roman" w:hAnsi="Times New Roman" w:cs="Times New Roman"/>
        </w:rPr>
        <w:t xml:space="preserve">Theoretical </w:t>
      </w:r>
      <w:r>
        <w:rPr>
          <w:rFonts w:ascii="Times New Roman" w:eastAsia="Times New Roman" w:hAnsi="Times New Roman" w:cs="Times New Roman"/>
        </w:rPr>
        <w:t xml:space="preserve">Impact Depending On Corporate Tax Rate – Consequences In Terms of Economic Policy </w:t>
      </w:r>
    </w:p>
    <w:p w:rsidR="00EE13F6" w:rsidRDefault="002E5BC4">
      <w:pPr>
        <w:spacing w:after="112"/>
        <w:ind w:left="360"/>
      </w:pPr>
      <w:r>
        <w:rPr>
          <w:rFonts w:ascii="Times New Roman" w:eastAsia="Times New Roman" w:hAnsi="Times New Roman" w:cs="Times New Roman"/>
          <w:color w:val="FF0000"/>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 xml:space="preserve">We simulate the impact of the FTT according to various values of the corporate tax rates applicable in the European Union, from 15% (Ireland) to 35% (France). </w:t>
      </w:r>
    </w:p>
    <w:p w:rsidR="00EE13F6" w:rsidRDefault="002E5BC4">
      <w:pPr>
        <w:spacing w:after="117"/>
        <w:ind w:left="360"/>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We show t</w:t>
      </w:r>
      <w:r>
        <w:rPr>
          <w:rFonts w:ascii="Times New Roman" w:eastAsia="Times New Roman" w:hAnsi="Times New Roman" w:cs="Times New Roman"/>
          <w:sz w:val="24"/>
        </w:rPr>
        <w:t xml:space="preserve">hat businesses that finance themselves with perpetual debt, preferred stock or participation securities? will see a drop in the theoretical value of the stock, which will be all the greater if the tax rate is low. </w:t>
      </w:r>
    </w:p>
    <w:p w:rsidR="00EE13F6" w:rsidRDefault="002E5BC4">
      <w:pPr>
        <w:spacing w:after="117"/>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Conversely, we show that, in the case w</w:t>
      </w:r>
      <w:r>
        <w:rPr>
          <w:rFonts w:ascii="Times New Roman" w:eastAsia="Times New Roman" w:hAnsi="Times New Roman" w:cs="Times New Roman"/>
          <w:sz w:val="24"/>
        </w:rPr>
        <w:t xml:space="preserve">here businesses finance themselves by issuing fixed intermediate maturity debt, the negative impact on the stock price decreases with the tax rate.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5" w:hanging="10"/>
        <w:jc w:val="both"/>
      </w:pPr>
      <w:r>
        <w:rPr>
          <w:rFonts w:ascii="Times New Roman" w:eastAsia="Times New Roman" w:hAnsi="Times New Roman" w:cs="Times New Roman"/>
          <w:sz w:val="24"/>
        </w:rPr>
        <w:t>These conclusions suggest that the introduction of the tax at the same time in all of the countries of t</w:t>
      </w:r>
      <w:r>
        <w:rPr>
          <w:rFonts w:ascii="Times New Roman" w:eastAsia="Times New Roman" w:hAnsi="Times New Roman" w:cs="Times New Roman"/>
          <w:sz w:val="24"/>
        </w:rPr>
        <w:t>he European Union will create competitive distortions as to the financing of businesses due to the divergence of the tax rates and the diversity of the means of financing. The harmonization of corporate tax rates within the European Union therefore seems t</w:t>
      </w:r>
      <w:r>
        <w:rPr>
          <w:rFonts w:ascii="Times New Roman" w:eastAsia="Times New Roman" w:hAnsi="Times New Roman" w:cs="Times New Roman"/>
          <w:sz w:val="24"/>
        </w:rPr>
        <w:t xml:space="preserve">o be an indispensable precondition to any implementation of a financial transaction tax.  </w:t>
      </w:r>
    </w:p>
    <w:p w:rsidR="00EE13F6" w:rsidRDefault="002E5BC4">
      <w:pPr>
        <w:spacing w:after="116"/>
        <w:ind w:left="1080"/>
      </w:pPr>
      <w:r>
        <w:rPr>
          <w:rFonts w:ascii="Times New Roman" w:eastAsia="Times New Roman" w:hAnsi="Times New Roman" w:cs="Times New Roman"/>
          <w:sz w:val="24"/>
        </w:rPr>
        <w:t xml:space="preserve"> </w:t>
      </w:r>
    </w:p>
    <w:p w:rsidR="00EE13F6" w:rsidRDefault="002E5BC4">
      <w:pPr>
        <w:pStyle w:val="Heading2"/>
        <w:spacing w:after="109" w:line="265" w:lineRule="auto"/>
        <w:ind w:left="1145"/>
      </w:pPr>
      <w:r>
        <w:rPr>
          <w:rFonts w:ascii="Times New Roman" w:eastAsia="Times New Roman" w:hAnsi="Times New Roman" w:cs="Times New Roman"/>
        </w:rPr>
        <w:t>B.</w:t>
      </w:r>
      <w:r>
        <w:rPr>
          <w:rFonts w:ascii="Arial" w:eastAsia="Arial" w:hAnsi="Arial" w:cs="Arial"/>
        </w:rPr>
        <w:t xml:space="preserve"> </w:t>
      </w:r>
      <w:r>
        <w:rPr>
          <w:rFonts w:ascii="Times New Roman" w:eastAsia="Times New Roman" w:hAnsi="Times New Roman" w:cs="Times New Roman"/>
        </w:rPr>
        <w:t xml:space="preserve">Impact Of The Induced Drop In The Theoretical Value Of The Stock </w:t>
      </w:r>
    </w:p>
    <w:p w:rsidR="00EE13F6" w:rsidRDefault="002E5BC4">
      <w:pPr>
        <w:spacing w:after="121"/>
        <w:ind w:left="1080"/>
      </w:pPr>
      <w:r>
        <w:rPr>
          <w:rFonts w:ascii="Times New Roman" w:eastAsia="Times New Roman" w:hAnsi="Times New Roman" w:cs="Times New Roman"/>
          <w:sz w:val="24"/>
        </w:rPr>
        <w:t xml:space="preserve"> </w:t>
      </w:r>
    </w:p>
    <w:p w:rsidR="00EE13F6" w:rsidRDefault="002E5BC4" w:rsidP="002E5BC4">
      <w:pPr>
        <w:numPr>
          <w:ilvl w:val="0"/>
          <w:numId w:val="7"/>
        </w:numPr>
        <w:spacing w:after="3" w:line="367" w:lineRule="auto"/>
        <w:ind w:hanging="360"/>
      </w:pPr>
      <w:r>
        <w:rPr>
          <w:rFonts w:ascii="Times New Roman" w:eastAsia="Times New Roman" w:hAnsi="Times New Roman" w:cs="Times New Roman"/>
          <w:b/>
          <w:sz w:val="24"/>
          <w:u w:val="single" w:color="000000"/>
        </w:rPr>
        <w:lastRenderedPageBreak/>
        <w:t>Long Term Increase in Stock Volumes</w:t>
      </w:r>
      <w:r>
        <w:rPr>
          <w:rFonts w:ascii="Times New Roman" w:eastAsia="Times New Roman" w:hAnsi="Times New Roman" w:cs="Times New Roman"/>
          <w:sz w:val="24"/>
        </w:rPr>
        <w:t>: In fixed capital structures, we observe that, by combin</w:t>
      </w:r>
      <w:r>
        <w:rPr>
          <w:rFonts w:ascii="Times New Roman" w:eastAsia="Times New Roman" w:hAnsi="Times New Roman" w:cs="Times New Roman"/>
          <w:sz w:val="24"/>
        </w:rPr>
        <w:t xml:space="preserve">ing drops in primary stock and bond markets, businesses have to issue more securities for the same financing needs.  </w:t>
      </w:r>
    </w:p>
    <w:p w:rsidR="00EE13F6" w:rsidRDefault="002E5BC4">
      <w:pPr>
        <w:spacing w:after="117"/>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In optimal capital structures, we saw that the introduction of the FTT tends to decrease the resort to leverage by businesses, which the</w:t>
      </w:r>
      <w:r>
        <w:rPr>
          <w:rFonts w:ascii="Times New Roman" w:eastAsia="Times New Roman" w:hAnsi="Times New Roman" w:cs="Times New Roman"/>
          <w:sz w:val="24"/>
        </w:rPr>
        <w:t xml:space="preserve">n issue more stock.   </w:t>
      </w:r>
    </w:p>
    <w:p w:rsidR="00EE13F6" w:rsidRDefault="002E5BC4">
      <w:pPr>
        <w:spacing w:after="112"/>
        <w:ind w:left="360"/>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 xml:space="preserve">In sum, the FTT will tend, in the long term, to increase the issuance of stock on the primary market, which, all things being equal, should lead to an increase in the volume of circulating securities? and a greater liquidity. </w:t>
      </w:r>
    </w:p>
    <w:p w:rsidR="00EE13F6" w:rsidRDefault="002E5BC4">
      <w:pPr>
        <w:spacing w:after="116"/>
      </w:pPr>
      <w:r>
        <w:rPr>
          <w:rFonts w:ascii="Times New Roman" w:eastAsia="Times New Roman" w:hAnsi="Times New Roman" w:cs="Times New Roman"/>
          <w:sz w:val="24"/>
        </w:rPr>
        <w:t xml:space="preserve"> </w:t>
      </w:r>
    </w:p>
    <w:p w:rsidR="00EE13F6" w:rsidRDefault="002E5BC4" w:rsidP="002E5BC4">
      <w:pPr>
        <w:numPr>
          <w:ilvl w:val="0"/>
          <w:numId w:val="7"/>
        </w:numPr>
        <w:spacing w:after="0" w:line="360" w:lineRule="auto"/>
        <w:ind w:hanging="360"/>
      </w:pPr>
      <w:r>
        <w:rPr>
          <w:rFonts w:ascii="Times New Roman" w:eastAsia="Times New Roman" w:hAnsi="Times New Roman" w:cs="Times New Roman"/>
          <w:b/>
          <w:sz w:val="24"/>
          <w:u w:val="single" w:color="000000"/>
        </w:rPr>
        <w:t>Conflict with CRD IV (Basel III) Regulations On Capital Increase for Financial</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Institutions</w:t>
      </w:r>
      <w:r>
        <w:rPr>
          <w:rFonts w:ascii="Times New Roman" w:eastAsia="Times New Roman" w:hAnsi="Times New Roman" w:cs="Times New Roman"/>
          <w:b/>
          <w:sz w:val="24"/>
        </w:rPr>
        <w:t xml:space="preserve"> </w:t>
      </w:r>
    </w:p>
    <w:p w:rsidR="00EE13F6" w:rsidRDefault="002E5BC4">
      <w:pPr>
        <w:spacing w:after="112"/>
      </w:pPr>
      <w:r>
        <w:rPr>
          <w:rFonts w:ascii="Times New Roman" w:eastAsia="Times New Roman" w:hAnsi="Times New Roman" w:cs="Times New Roman"/>
          <w:b/>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The implementation of the FTT will have a contrary effect to the rules introduced by Regulation CRD IV, which is the transposition at the European level of the B</w:t>
      </w:r>
      <w:r>
        <w:rPr>
          <w:rFonts w:ascii="Times New Roman" w:eastAsia="Times New Roman" w:hAnsi="Times New Roman" w:cs="Times New Roman"/>
          <w:sz w:val="24"/>
        </w:rPr>
        <w:t xml:space="preserve">asel III Directive of the Bank for International Settlements. Indeed, these rules mandate that European banks and financial institutions have sufficient available capital in view of their assets.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As a practical matter, in order to comply with these rat</w:t>
      </w:r>
      <w:r>
        <w:rPr>
          <w:rFonts w:ascii="Times New Roman" w:eastAsia="Times New Roman" w:hAnsi="Times New Roman" w:cs="Times New Roman"/>
          <w:sz w:val="24"/>
        </w:rPr>
        <w:t>ios, European banks are currently engaged in a process of issuance of securities that are equivalent to quasi-reserves, and which consist either in perpetual debt, or in fixed maturity debt of intermediate duration. These securities, designated by the acro</w:t>
      </w:r>
      <w:r>
        <w:rPr>
          <w:rFonts w:ascii="Times New Roman" w:eastAsia="Times New Roman" w:hAnsi="Times New Roman" w:cs="Times New Roman"/>
          <w:sz w:val="24"/>
        </w:rPr>
        <w:t>nym COCO (Contingent Convertible Obligations), are convertible into reserves whenever the value of reserves falls beneath a critical threshold, expressed as a function of the value des assets of the financial institution. One recognizes a process that is v</w:t>
      </w:r>
      <w:r>
        <w:rPr>
          <w:rFonts w:ascii="Times New Roman" w:eastAsia="Times New Roman" w:hAnsi="Times New Roman" w:cs="Times New Roman"/>
          <w:sz w:val="24"/>
        </w:rPr>
        <w:t xml:space="preserve">ery close to our own analytic framework, which for its part adopts a threshold based on the value of the assets.  </w:t>
      </w:r>
    </w:p>
    <w:p w:rsidR="00EE13F6" w:rsidRDefault="002E5BC4">
      <w:pPr>
        <w:spacing w:after="0"/>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 xml:space="preserve">Our analytic framework is applicable by considering the value of the stock instead of the asset value, and an adequate recovery rate.  </w:t>
      </w:r>
    </w:p>
    <w:p w:rsidR="00EE13F6" w:rsidRDefault="002E5BC4">
      <w:pPr>
        <w:spacing w:after="117"/>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lastRenderedPageBreak/>
        <w:t>T</w:t>
      </w:r>
      <w:r>
        <w:rPr>
          <w:rFonts w:ascii="Times New Roman" w:eastAsia="Times New Roman" w:hAnsi="Times New Roman" w:cs="Times New Roman"/>
          <w:sz w:val="24"/>
        </w:rPr>
        <w:t xml:space="preserve">he CRD IV regulations can then in fact be construed as a fixed capital structure, which falls within our analysis.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We then find that the increase in volatility due to the introduction of an FTT will have an opposite effect to that sought by the regulat</w:t>
      </w:r>
      <w:r>
        <w:rPr>
          <w:rFonts w:ascii="Times New Roman" w:eastAsia="Times New Roman" w:hAnsi="Times New Roman" w:cs="Times New Roman"/>
          <w:sz w:val="24"/>
        </w:rPr>
        <w:t xml:space="preserve">ions: the introduction of the FTT will entail a decrease in the value of the issued debt, which will lead the banks to issue more COCOs, and thus induce a drop in the value of the reserves.  </w:t>
      </w:r>
    </w:p>
    <w:p w:rsidR="00EE13F6" w:rsidRDefault="002E5BC4">
      <w:pPr>
        <w:spacing w:after="117"/>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 xml:space="preserve">This is therefore contrary to the stated regulatory goal of an increase in the value of the reserves.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117"/>
      </w:pPr>
      <w:r>
        <w:rPr>
          <w:rFonts w:ascii="Times New Roman" w:eastAsia="Times New Roman" w:hAnsi="Times New Roman" w:cs="Times New Roman"/>
          <w:sz w:val="24"/>
        </w:rPr>
        <w:t xml:space="preserve"> </w:t>
      </w:r>
    </w:p>
    <w:p w:rsidR="00EE13F6" w:rsidRDefault="002E5BC4">
      <w:pPr>
        <w:pStyle w:val="Heading2"/>
        <w:spacing w:after="109" w:line="265" w:lineRule="auto"/>
        <w:ind w:left="-5"/>
      </w:pPr>
      <w:r>
        <w:rPr>
          <w:rFonts w:ascii="Times New Roman" w:eastAsia="Times New Roman" w:hAnsi="Times New Roman" w:cs="Times New Roman"/>
        </w:rPr>
        <w:t xml:space="preserve">Section 4: General Conclusion </w:t>
      </w:r>
    </w:p>
    <w:p w:rsidR="00EE13F6" w:rsidRDefault="002E5BC4">
      <w:pPr>
        <w:spacing w:after="112"/>
      </w:pPr>
      <w:r>
        <w:rPr>
          <w:rFonts w:ascii="Times New Roman" w:eastAsia="Times New Roman" w:hAnsi="Times New Roman" w:cs="Times New Roman"/>
          <w:b/>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We have striven to evaluate the impact of the proposed Financial Transaction Tax in the European Union (FTT) throu</w:t>
      </w:r>
      <w:r>
        <w:rPr>
          <w:rFonts w:ascii="Times New Roman" w:eastAsia="Times New Roman" w:hAnsi="Times New Roman" w:cs="Times New Roman"/>
          <w:sz w:val="24"/>
        </w:rPr>
        <w:t xml:space="preserve">gh an approach focused on the option markets on stocks, where volatility is the subject of implied quotations.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We have shown that, in the hypothesis where option markets on stocks are liquid enough, the transaction cost entailed by the FTT will not inc</w:t>
      </w:r>
      <w:r>
        <w:rPr>
          <w:rFonts w:ascii="Times New Roman" w:eastAsia="Times New Roman" w:hAnsi="Times New Roman" w:cs="Times New Roman"/>
          <w:sz w:val="24"/>
        </w:rPr>
        <w:t>rease the volatility. Conversely, option markets that are rather illiquid will witness a significant increase in their volatility, which can moreover be calculated through standard and recognized models linked the transaction costs to the implied volatilit</w:t>
      </w:r>
      <w:r>
        <w:rPr>
          <w:rFonts w:ascii="Times New Roman" w:eastAsia="Times New Roman" w:hAnsi="Times New Roman" w:cs="Times New Roman"/>
          <w:sz w:val="24"/>
        </w:rPr>
        <w:t xml:space="preserve">y. </w:t>
      </w:r>
    </w:p>
    <w:p w:rsidR="00EE13F6" w:rsidRDefault="002E5BC4">
      <w:pPr>
        <w:spacing w:after="117"/>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 xml:space="preserve">With regard to the liquidity, we have shown that the liquidity of the market comprised of stocks and their derivatives, such synthetic stocks </w:t>
      </w:r>
      <w:r>
        <w:rPr>
          <w:rFonts w:ascii="Times New Roman" w:eastAsia="Times New Roman" w:hAnsi="Times New Roman" w:cs="Times New Roman"/>
          <w:sz w:val="24"/>
        </w:rPr>
        <w:t>or futures, would not be affected for stocks whose associated option markets are sufficiently liquid, due to the tax differential between “cash”? products and derivatives, and of the availability of an arbitrage between those two types of assets. Moreover,</w:t>
      </w:r>
      <w:r>
        <w:rPr>
          <w:rFonts w:ascii="Times New Roman" w:eastAsia="Times New Roman" w:hAnsi="Times New Roman" w:cs="Times New Roman"/>
          <w:sz w:val="24"/>
        </w:rPr>
        <w:t xml:space="preserve"> we have proven that the conjunction of the implementation of the FTT and the MIFID II regulation, which mandates minimum values for quotation units (“ticks”), should considerably soften the potential impact of the FTT on the less liquid markets. Further, </w:t>
      </w:r>
      <w:r>
        <w:rPr>
          <w:rFonts w:ascii="Times New Roman" w:eastAsia="Times New Roman" w:hAnsi="Times New Roman" w:cs="Times New Roman"/>
          <w:sz w:val="24"/>
        </w:rPr>
        <w:t xml:space="preserve">we </w:t>
      </w:r>
      <w:r>
        <w:rPr>
          <w:rFonts w:ascii="Times New Roman" w:eastAsia="Times New Roman" w:hAnsi="Times New Roman" w:cs="Times New Roman"/>
          <w:sz w:val="24"/>
        </w:rPr>
        <w:lastRenderedPageBreak/>
        <w:t xml:space="preserve">have found a long term increase in the volumes of stocks issued by businesses that would adjust their optimal balance sheet structure by issuing more stock and less debt. Such increase would favor the liquidity of stock markets. </w:t>
      </w:r>
    </w:p>
    <w:p w:rsidR="00EE13F6" w:rsidRDefault="002E5BC4">
      <w:pPr>
        <w:spacing w:after="117"/>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Following these resul</w:t>
      </w:r>
      <w:r>
        <w:rPr>
          <w:rFonts w:ascii="Times New Roman" w:eastAsia="Times New Roman" w:hAnsi="Times New Roman" w:cs="Times New Roman"/>
          <w:sz w:val="24"/>
        </w:rPr>
        <w:t xml:space="preserve">ts, we have found an increase in the implied volatility of options on stock used in arbitrage operations between options on stock and credit derivatives (Credit Default Swap-CDS). This increase is explained by the fact that, for the considered maturities, </w:t>
      </w:r>
      <w:r>
        <w:rPr>
          <w:rFonts w:ascii="Times New Roman" w:eastAsia="Times New Roman" w:hAnsi="Times New Roman" w:cs="Times New Roman"/>
          <w:sz w:val="24"/>
        </w:rPr>
        <w:t>the option markets are very illiquid. As a consequence, the greater volatility increasing the probability de default by businesses, we have concluded that the introduction of the FTT would lead to an increase in credit spreads for bond issuances by Europea</w:t>
      </w:r>
      <w:r>
        <w:rPr>
          <w:rFonts w:ascii="Times New Roman" w:eastAsia="Times New Roman" w:hAnsi="Times New Roman" w:cs="Times New Roman"/>
          <w:sz w:val="24"/>
        </w:rPr>
        <w:t xml:space="preserve">n Union companies. The amplitude of this increase was estimated at levels that are multiple times those found by other authors using general equilibrium theoretical models, in particular the work conducted for the European Commission.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3" w:line="367" w:lineRule="auto"/>
        <w:ind w:left="370" w:hanging="10"/>
        <w:jc w:val="both"/>
      </w:pPr>
      <w:r>
        <w:rPr>
          <w:rFonts w:ascii="Times New Roman" w:eastAsia="Times New Roman" w:hAnsi="Times New Roman" w:cs="Times New Roman"/>
          <w:sz w:val="24"/>
        </w:rPr>
        <w:t>We have studied th</w:t>
      </w:r>
      <w:r>
        <w:rPr>
          <w:rFonts w:ascii="Times New Roman" w:eastAsia="Times New Roman" w:hAnsi="Times New Roman" w:cs="Times New Roman"/>
          <w:sz w:val="24"/>
        </w:rPr>
        <w:t>e impact of the FTT both on stocks and bonds, as well as on corporate values. We have generally found a destruction of value, a decrease in debt and a drop in the theoretical prices of stocks, leading to significant increases in the cost of capital. In the</w:t>
      </w:r>
      <w:r>
        <w:rPr>
          <w:rFonts w:ascii="Times New Roman" w:eastAsia="Times New Roman" w:hAnsi="Times New Roman" w:cs="Times New Roman"/>
          <w:sz w:val="24"/>
        </w:rPr>
        <w:t xml:space="preserve"> specific case of the implantation of Regulation CRD IV in Europe, we have proven that the introduction of the FTT had an effect that was contrary to that sought by CRD IV, by making it in particular more difficult to comply with the minimal capital rules </w:t>
      </w:r>
      <w:r>
        <w:rPr>
          <w:rFonts w:ascii="Times New Roman" w:eastAsia="Times New Roman" w:hAnsi="Times New Roman" w:cs="Times New Roman"/>
          <w:sz w:val="24"/>
        </w:rPr>
        <w:t xml:space="preserve">mandated by this new regulation.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117"/>
      </w:pPr>
      <w:r>
        <w:rPr>
          <w:rFonts w:ascii="Times New Roman" w:eastAsia="Times New Roman" w:hAnsi="Times New Roman" w:cs="Times New Roman"/>
          <w:sz w:val="24"/>
        </w:rPr>
        <w:t xml:space="preserve">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0"/>
      </w:pPr>
      <w:r>
        <w:rPr>
          <w:rFonts w:ascii="Times New Roman" w:eastAsia="Times New Roman" w:hAnsi="Times New Roman" w:cs="Times New Roman"/>
          <w:sz w:val="24"/>
        </w:rPr>
        <w:t xml:space="preserve"> </w:t>
      </w:r>
    </w:p>
    <w:p w:rsidR="00EE13F6" w:rsidRDefault="002E5BC4">
      <w:pPr>
        <w:spacing w:after="109" w:line="265" w:lineRule="auto"/>
        <w:ind w:left="-5" w:hanging="10"/>
      </w:pPr>
      <w:r>
        <w:rPr>
          <w:rFonts w:ascii="Times New Roman" w:eastAsia="Times New Roman" w:hAnsi="Times New Roman" w:cs="Times New Roman"/>
          <w:b/>
          <w:sz w:val="24"/>
        </w:rPr>
        <w:t xml:space="preserve">Miscellaneous: </w:t>
      </w:r>
    </w:p>
    <w:p w:rsidR="00EE13F6" w:rsidRDefault="002E5BC4">
      <w:pPr>
        <w:spacing w:after="116"/>
      </w:pPr>
      <w:r>
        <w:rPr>
          <w:rFonts w:ascii="Times New Roman" w:eastAsia="Times New Roman" w:hAnsi="Times New Roman" w:cs="Times New Roman"/>
          <w:sz w:val="24"/>
        </w:rPr>
        <w:t xml:space="preserve"> </w:t>
      </w:r>
    </w:p>
    <w:p w:rsidR="00EE13F6" w:rsidRDefault="002E5BC4" w:rsidP="002E5BC4">
      <w:pPr>
        <w:numPr>
          <w:ilvl w:val="0"/>
          <w:numId w:val="8"/>
        </w:numPr>
        <w:spacing w:after="3" w:line="367" w:lineRule="auto"/>
        <w:ind w:hanging="360"/>
        <w:jc w:val="both"/>
      </w:pPr>
      <w:r>
        <w:rPr>
          <w:rFonts w:ascii="Times New Roman" w:eastAsia="Times New Roman" w:hAnsi="Times New Roman" w:cs="Times New Roman"/>
          <w:b/>
          <w:sz w:val="24"/>
        </w:rPr>
        <w:lastRenderedPageBreak/>
        <w:t xml:space="preserve">Publications: </w:t>
      </w:r>
      <w:r>
        <w:rPr>
          <w:rFonts w:ascii="Times New Roman" w:eastAsia="Times New Roman" w:hAnsi="Times New Roman" w:cs="Times New Roman"/>
          <w:sz w:val="24"/>
        </w:rPr>
        <w:t>An abstract from Chapters I and II was published in the review “Applied Economics” in August 2017 (</w:t>
      </w:r>
      <w:r>
        <w:rPr>
          <w:rFonts w:ascii="Times New Roman" w:eastAsia="Times New Roman" w:hAnsi="Times New Roman" w:cs="Times New Roman"/>
          <w:i/>
          <w:sz w:val="24"/>
        </w:rPr>
        <w:t>see</w:t>
      </w:r>
      <w:r>
        <w:rPr>
          <w:rFonts w:ascii="Times New Roman" w:eastAsia="Times New Roman" w:hAnsi="Times New Roman" w:cs="Times New Roman"/>
          <w:sz w:val="24"/>
        </w:rPr>
        <w:t xml:space="preserve"> enclosed PDF of the publication). This work was also presented at the E</w:t>
      </w:r>
      <w:r>
        <w:rPr>
          <w:rFonts w:ascii="Times New Roman" w:eastAsia="Times New Roman" w:hAnsi="Times New Roman" w:cs="Times New Roman"/>
          <w:sz w:val="24"/>
        </w:rPr>
        <w:t xml:space="preserve">conometry Symposium of BOCHUM, organized by Bochum University (Germany) on April 21 and 22, 2017. </w:t>
      </w:r>
    </w:p>
    <w:p w:rsidR="00EE13F6" w:rsidRDefault="002E5BC4">
      <w:pPr>
        <w:spacing w:after="121"/>
      </w:pPr>
      <w:r>
        <w:rPr>
          <w:rFonts w:ascii="Times New Roman" w:eastAsia="Times New Roman" w:hAnsi="Times New Roman" w:cs="Times New Roman"/>
          <w:sz w:val="24"/>
        </w:rPr>
        <w:t xml:space="preserve"> </w:t>
      </w:r>
    </w:p>
    <w:p w:rsidR="00EE13F6" w:rsidRDefault="002E5BC4" w:rsidP="002E5BC4">
      <w:pPr>
        <w:numPr>
          <w:ilvl w:val="0"/>
          <w:numId w:val="8"/>
        </w:numPr>
        <w:spacing w:after="112"/>
        <w:ind w:hanging="360"/>
        <w:jc w:val="both"/>
      </w:pPr>
      <w:r>
        <w:rPr>
          <w:rFonts w:ascii="Times New Roman" w:eastAsia="Times New Roman" w:hAnsi="Times New Roman" w:cs="Times New Roman"/>
          <w:b/>
          <w:sz w:val="24"/>
        </w:rPr>
        <w:t xml:space="preserve">Dissertation Pre-Defense: </w:t>
      </w:r>
      <w:r>
        <w:rPr>
          <w:rFonts w:ascii="Times New Roman" w:eastAsia="Times New Roman" w:hAnsi="Times New Roman" w:cs="Times New Roman"/>
          <w:sz w:val="24"/>
        </w:rPr>
        <w:t xml:space="preserve">The Dissertation Pre-Defense took place on June 22, 2017 before </w:t>
      </w:r>
    </w:p>
    <w:p w:rsidR="00EE13F6" w:rsidRDefault="002E5BC4">
      <w:pPr>
        <w:spacing w:after="3" w:line="367" w:lineRule="auto"/>
        <w:ind w:left="370" w:hanging="10"/>
        <w:jc w:val="both"/>
      </w:pPr>
      <w:r>
        <w:rPr>
          <w:rFonts w:ascii="Times New Roman" w:eastAsia="Times New Roman" w:hAnsi="Times New Roman" w:cs="Times New Roman"/>
          <w:sz w:val="24"/>
        </w:rPr>
        <w:t>Professors Martine CARRE-TALLON, René AID (both from Paris-</w:t>
      </w:r>
      <w:r>
        <w:rPr>
          <w:rFonts w:ascii="Times New Roman" w:eastAsia="Times New Roman" w:hAnsi="Times New Roman" w:cs="Times New Roman"/>
          <w:sz w:val="24"/>
        </w:rPr>
        <w:t>Dauphine) and Mathieu ROSENBAUM (Polytechnique-CREST),</w:t>
      </w:r>
      <w:r>
        <w:rPr>
          <w:rFonts w:ascii="Times New Roman" w:eastAsia="Times New Roman" w:hAnsi="Times New Roman" w:cs="Times New Roman"/>
          <w:b/>
          <w:sz w:val="24"/>
        </w:rPr>
        <w:t xml:space="preserve"> </w:t>
      </w:r>
      <w:r>
        <w:rPr>
          <w:rFonts w:ascii="Times New Roman" w:eastAsia="Times New Roman" w:hAnsi="Times New Roman" w:cs="Times New Roman"/>
          <w:sz w:val="24"/>
        </w:rPr>
        <w:t>who was the</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rapporteur. The conclusion was favorable to the continuation of the dissertation and a defense in several months, subject to the finalization of Chapter III. It recommended substantial and </w:t>
      </w:r>
      <w:r>
        <w:rPr>
          <w:rFonts w:ascii="Times New Roman" w:eastAsia="Times New Roman" w:hAnsi="Times New Roman" w:cs="Times New Roman"/>
          <w:sz w:val="24"/>
        </w:rPr>
        <w:t xml:space="preserve">significant modifications on form. It suggested to develop the exposition, in particular in Chapter I, and to implement in Chapter III a quantitative comparison with the results from the literature.  </w:t>
      </w:r>
    </w:p>
    <w:p w:rsidR="00EE13F6" w:rsidRDefault="002E5BC4">
      <w:pPr>
        <w:spacing w:after="117"/>
      </w:pPr>
      <w:r>
        <w:rPr>
          <w:rFonts w:ascii="Times New Roman" w:eastAsia="Times New Roman" w:hAnsi="Times New Roman" w:cs="Times New Roman"/>
          <w:sz w:val="24"/>
        </w:rPr>
        <w:t xml:space="preserve"> </w:t>
      </w:r>
    </w:p>
    <w:p w:rsidR="00EE13F6" w:rsidRDefault="002E5BC4">
      <w:pPr>
        <w:spacing w:after="112"/>
      </w:pPr>
      <w:r>
        <w:rPr>
          <w:rFonts w:ascii="Times New Roman" w:eastAsia="Times New Roman" w:hAnsi="Times New Roman" w:cs="Times New Roman"/>
          <w:sz w:val="24"/>
        </w:rPr>
        <w:t xml:space="preserve"> </w:t>
      </w:r>
    </w:p>
    <w:p w:rsidR="00EE13F6" w:rsidRDefault="002E5BC4">
      <w:pPr>
        <w:spacing w:after="112"/>
      </w:pPr>
      <w:r>
        <w:rPr>
          <w:rFonts w:ascii="Times New Roman" w:eastAsia="Times New Roman" w:hAnsi="Times New Roman" w:cs="Times New Roman"/>
          <w:sz w:val="24"/>
        </w:rPr>
        <w:t xml:space="preserve"> </w:t>
      </w:r>
    </w:p>
    <w:p w:rsidR="00EE13F6" w:rsidRDefault="002E5BC4">
      <w:pPr>
        <w:pStyle w:val="Heading2"/>
        <w:spacing w:after="346" w:line="265" w:lineRule="auto"/>
        <w:ind w:left="-5"/>
      </w:pPr>
      <w:r>
        <w:rPr>
          <w:rFonts w:ascii="Times New Roman" w:eastAsia="Times New Roman" w:hAnsi="Times New Roman" w:cs="Times New Roman"/>
        </w:rPr>
        <w:t xml:space="preserve">Citations </w:t>
      </w:r>
    </w:p>
    <w:p w:rsidR="00EE13F6" w:rsidRDefault="002E5BC4" w:rsidP="002E5BC4">
      <w:pPr>
        <w:numPr>
          <w:ilvl w:val="0"/>
          <w:numId w:val="9"/>
        </w:numPr>
        <w:spacing w:after="255" w:line="367" w:lineRule="auto"/>
        <w:ind w:hanging="475"/>
        <w:jc w:val="both"/>
      </w:pPr>
      <w:r>
        <w:rPr>
          <w:rFonts w:ascii="Times New Roman" w:eastAsia="Times New Roman" w:hAnsi="Times New Roman" w:cs="Times New Roman"/>
          <w:sz w:val="24"/>
        </w:rPr>
        <w:t>Almgren, R, Chriss, N. (2000). Optimal</w:t>
      </w:r>
      <w:r>
        <w:rPr>
          <w:rFonts w:ascii="Times New Roman" w:eastAsia="Times New Roman" w:hAnsi="Times New Roman" w:cs="Times New Roman"/>
          <w:sz w:val="24"/>
        </w:rPr>
        <w:t xml:space="preserve"> Execution of Portfolio Transaction. Goldman Sachs Asset Management. </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256" w:line="367" w:lineRule="auto"/>
        <w:ind w:hanging="475"/>
        <w:jc w:val="both"/>
      </w:pPr>
      <w:r>
        <w:rPr>
          <w:rFonts w:ascii="Times New Roman" w:eastAsia="Times New Roman" w:hAnsi="Times New Roman" w:cs="Times New Roman"/>
          <w:sz w:val="24"/>
        </w:rPr>
        <w:t xml:space="preserve">Avellaneda, M. Stoikov, S. (2008). High Frequency Trading in a limit Order Book. Quantitative Finance, Vol. 8, No. 3, 217-224. </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255" w:line="367" w:lineRule="auto"/>
        <w:ind w:hanging="475"/>
        <w:jc w:val="both"/>
      </w:pPr>
      <w:r>
        <w:rPr>
          <w:rFonts w:ascii="Times New Roman" w:eastAsia="Times New Roman" w:hAnsi="Times New Roman" w:cs="Times New Roman"/>
          <w:sz w:val="24"/>
        </w:rPr>
        <w:t xml:space="preserve">Altman, E. (1968). Financial Ratios, Discriminant Analysis and the Prediction of Corporate Bankruptcy. The Journal of Finance, Vol. 23: 589-609. </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255" w:line="367" w:lineRule="auto"/>
        <w:ind w:hanging="475"/>
        <w:jc w:val="both"/>
      </w:pPr>
      <w:r>
        <w:rPr>
          <w:rFonts w:ascii="Times New Roman" w:eastAsia="Times New Roman" w:hAnsi="Times New Roman" w:cs="Times New Roman"/>
          <w:sz w:val="24"/>
        </w:rPr>
        <w:t>Amihud Y., Mendelson H. Liquidity, Asset prices and Financial Policy. Financial Analysts Journal, Vol. 47, N</w:t>
      </w:r>
      <w:r>
        <w:rPr>
          <w:rFonts w:ascii="Times New Roman" w:eastAsia="Times New Roman" w:hAnsi="Times New Roman" w:cs="Times New Roman"/>
          <w:sz w:val="24"/>
        </w:rPr>
        <w:t xml:space="preserve">o. 6 (nov. - Dec., 1991), pp 56-66 </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377" w:line="367" w:lineRule="auto"/>
        <w:ind w:hanging="475"/>
        <w:jc w:val="both"/>
      </w:pPr>
      <w:r>
        <w:rPr>
          <w:rFonts w:ascii="Times New Roman" w:eastAsia="Times New Roman" w:hAnsi="Times New Roman" w:cs="Times New Roman"/>
          <w:sz w:val="24"/>
        </w:rPr>
        <w:t xml:space="preserve">Anthony, J.,Bijlsma M.,Elbourne A., Lever M., Zwart G. Financial Transaction Tax: review and assessment. CPB Netherlands Bureau For Economic Policy Analysis. CPB Discussion Paper — 202. </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255" w:line="367" w:lineRule="auto"/>
        <w:ind w:hanging="475"/>
        <w:jc w:val="both"/>
      </w:pPr>
      <w:r>
        <w:rPr>
          <w:rFonts w:ascii="Times New Roman" w:eastAsia="Times New Roman" w:hAnsi="Times New Roman" w:cs="Times New Roman"/>
          <w:sz w:val="24"/>
        </w:rPr>
        <w:lastRenderedPageBreak/>
        <w:t>Black, F. and Scholes, M. (19</w:t>
      </w:r>
      <w:r>
        <w:rPr>
          <w:rFonts w:ascii="Times New Roman" w:eastAsia="Times New Roman" w:hAnsi="Times New Roman" w:cs="Times New Roman"/>
          <w:sz w:val="24"/>
        </w:rPr>
        <w:t xml:space="preserve">73). The Pricing of Options and Corporate Liabilities. The Journal of Political Economy, Vol. 81(3): 637 - 654. </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255" w:line="367" w:lineRule="auto"/>
        <w:ind w:hanging="475"/>
        <w:jc w:val="both"/>
      </w:pPr>
      <w:r>
        <w:rPr>
          <w:rFonts w:ascii="Times New Roman" w:eastAsia="Times New Roman" w:hAnsi="Times New Roman" w:cs="Times New Roman"/>
          <w:sz w:val="24"/>
        </w:rPr>
        <w:t>Black, F. and Cox, J. (1976). Valuing Corporate Securities: Some Effects of Bond Indenture Provisions. The Journal of Finance, Vol. 31: 351-3</w:t>
      </w:r>
      <w:r>
        <w:rPr>
          <w:rFonts w:ascii="Times New Roman" w:eastAsia="Times New Roman" w:hAnsi="Times New Roman" w:cs="Times New Roman"/>
          <w:sz w:val="24"/>
        </w:rPr>
        <w:t xml:space="preserve">67. </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255" w:line="367" w:lineRule="auto"/>
        <w:ind w:hanging="475"/>
        <w:jc w:val="both"/>
      </w:pPr>
      <w:r>
        <w:rPr>
          <w:rFonts w:ascii="Times New Roman" w:eastAsia="Times New Roman" w:hAnsi="Times New Roman" w:cs="Times New Roman"/>
          <w:sz w:val="24"/>
        </w:rPr>
        <w:t xml:space="preserve">Boyle, P., Vorst, T. (1992). Option Replication in Discrete Time with Transaction Costs. The Journal of Finance, Vol. 47: 271-293. </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256" w:line="367" w:lineRule="auto"/>
        <w:ind w:hanging="475"/>
        <w:jc w:val="both"/>
      </w:pPr>
      <w:r>
        <w:rPr>
          <w:rFonts w:ascii="Times New Roman" w:eastAsia="Times New Roman" w:hAnsi="Times New Roman" w:cs="Times New Roman"/>
          <w:sz w:val="24"/>
        </w:rPr>
        <w:t>Duffie, D. and Singleton, K. (1999). Modeling Term Structures of Defaultable Bonds. The Review of Financial Studies</w:t>
      </w:r>
      <w:r>
        <w:rPr>
          <w:rFonts w:ascii="Times New Roman" w:eastAsia="Times New Roman" w:hAnsi="Times New Roman" w:cs="Times New Roman"/>
          <w:sz w:val="24"/>
        </w:rPr>
        <w:t xml:space="preserve">, Vol. 12: 687-720. </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229" w:line="367" w:lineRule="auto"/>
        <w:ind w:hanging="475"/>
        <w:jc w:val="both"/>
      </w:pPr>
      <w:r>
        <w:rPr>
          <w:rFonts w:ascii="Times New Roman" w:eastAsia="Times New Roman" w:hAnsi="Times New Roman" w:cs="Times New Roman"/>
          <w:sz w:val="24"/>
        </w:rPr>
        <w:t xml:space="preserve">Finkelstein, V. (2013). Assessing Default Probabilities from Equity Markets. Presentation, Credit Risk Summit, New-York.  </w:t>
      </w:r>
    </w:p>
    <w:p w:rsidR="00EE13F6" w:rsidRDefault="002E5BC4" w:rsidP="002E5BC4">
      <w:pPr>
        <w:numPr>
          <w:ilvl w:val="0"/>
          <w:numId w:val="9"/>
        </w:numPr>
        <w:spacing w:after="230" w:line="367" w:lineRule="auto"/>
        <w:ind w:hanging="475"/>
        <w:jc w:val="both"/>
      </w:pPr>
      <w:r>
        <w:rPr>
          <w:rFonts w:ascii="Times New Roman" w:eastAsia="Times New Roman" w:hAnsi="Times New Roman" w:cs="Times New Roman"/>
          <w:sz w:val="24"/>
        </w:rPr>
        <w:t xml:space="preserve">Finkelstein, V., Lardy, JP. , Pan, G., Ta,T., Tierney, J. (2002). Credit Grades technical Document. RiskMetrics Group, Inc, Deutsche Bank.  </w:t>
      </w:r>
    </w:p>
    <w:p w:rsidR="00EE13F6" w:rsidRDefault="002E5BC4" w:rsidP="002E5BC4">
      <w:pPr>
        <w:numPr>
          <w:ilvl w:val="0"/>
          <w:numId w:val="9"/>
        </w:numPr>
        <w:spacing w:after="117"/>
        <w:ind w:hanging="475"/>
        <w:jc w:val="both"/>
      </w:pPr>
      <w:r>
        <w:rPr>
          <w:rFonts w:ascii="Times New Roman" w:eastAsia="Times New Roman" w:hAnsi="Times New Roman" w:cs="Times New Roman"/>
          <w:sz w:val="24"/>
        </w:rPr>
        <w:t xml:space="preserve">Finkelstein, V. and Lardy, J.-P. (1999). Assessing Default Probabilities from Equity Markets. </w:t>
      </w:r>
    </w:p>
    <w:p w:rsidR="00EE13F6" w:rsidRDefault="002E5BC4">
      <w:pPr>
        <w:spacing w:after="230" w:line="367" w:lineRule="auto"/>
        <w:ind w:left="-5" w:hanging="10"/>
        <w:jc w:val="both"/>
      </w:pPr>
      <w:r>
        <w:rPr>
          <w:rFonts w:ascii="Times New Roman" w:eastAsia="Times New Roman" w:hAnsi="Times New Roman" w:cs="Times New Roman"/>
          <w:sz w:val="24"/>
        </w:rPr>
        <w:t>Simple Closed-Form S</w:t>
      </w:r>
      <w:r>
        <w:rPr>
          <w:rFonts w:ascii="Times New Roman" w:eastAsia="Times New Roman" w:hAnsi="Times New Roman" w:cs="Times New Roman"/>
          <w:sz w:val="24"/>
        </w:rPr>
        <w:t xml:space="preserve">olution. Presentation, ICBI Global Derivatives Risk Management, Juan les Pins, France.  </w:t>
      </w:r>
    </w:p>
    <w:p w:rsidR="00EE13F6" w:rsidRDefault="002E5BC4" w:rsidP="002E5BC4">
      <w:pPr>
        <w:numPr>
          <w:ilvl w:val="0"/>
          <w:numId w:val="9"/>
        </w:numPr>
        <w:spacing w:after="230" w:line="367" w:lineRule="auto"/>
        <w:ind w:hanging="475"/>
        <w:jc w:val="both"/>
      </w:pPr>
      <w:r>
        <w:rPr>
          <w:rFonts w:ascii="Times New Roman" w:eastAsia="Times New Roman" w:hAnsi="Times New Roman" w:cs="Times New Roman"/>
          <w:sz w:val="24"/>
        </w:rPr>
        <w:t xml:space="preserve">Habbermeier, K. and Kirilenko., A. Securities Transaction Taxs and Financial Markets.IMF Staff papers. Vol. 50, Special issue 2003 International Monetary Fund.  </w:t>
      </w:r>
    </w:p>
    <w:p w:rsidR="00EE13F6" w:rsidRDefault="002E5BC4" w:rsidP="002E5BC4">
      <w:pPr>
        <w:numPr>
          <w:ilvl w:val="0"/>
          <w:numId w:val="9"/>
        </w:numPr>
        <w:spacing w:after="229" w:line="367" w:lineRule="auto"/>
        <w:ind w:hanging="475"/>
        <w:jc w:val="both"/>
      </w:pPr>
      <w:r>
        <w:rPr>
          <w:rFonts w:ascii="Times New Roman" w:eastAsia="Times New Roman" w:hAnsi="Times New Roman" w:cs="Times New Roman"/>
          <w:sz w:val="24"/>
        </w:rPr>
        <w:t>Hakki</w:t>
      </w:r>
      <w:r>
        <w:rPr>
          <w:rFonts w:ascii="Times New Roman" w:eastAsia="Times New Roman" w:hAnsi="Times New Roman" w:cs="Times New Roman"/>
          <w:sz w:val="24"/>
        </w:rPr>
        <w:t xml:space="preserve">o, C., Should we throw sand in the gears of financial markets?. Economic review,. 1994, issue Q II, No v. 79, no. 2, 17-30  </w:t>
      </w:r>
    </w:p>
    <w:p w:rsidR="00EE13F6" w:rsidRDefault="002E5BC4" w:rsidP="002E5BC4">
      <w:pPr>
        <w:numPr>
          <w:ilvl w:val="0"/>
          <w:numId w:val="9"/>
        </w:numPr>
        <w:spacing w:after="230" w:line="367" w:lineRule="auto"/>
        <w:ind w:hanging="475"/>
        <w:jc w:val="both"/>
      </w:pPr>
      <w:r>
        <w:rPr>
          <w:rFonts w:ascii="Times New Roman" w:eastAsia="Times New Roman" w:hAnsi="Times New Roman" w:cs="Times New Roman"/>
          <w:sz w:val="24"/>
        </w:rPr>
        <w:t>Hawkins, M. and McCrae, J., Stamp Duty on Share Transactions: Is There A Case For Change?. Institute For Fiscal Studies. June 2002.</w:t>
      </w:r>
      <w:r>
        <w:rPr>
          <w:rFonts w:ascii="Times New Roman" w:eastAsia="Times New Roman" w:hAnsi="Times New Roman" w:cs="Times New Roman"/>
          <w:sz w:val="24"/>
        </w:rPr>
        <w:t xml:space="preserve">  </w:t>
      </w:r>
    </w:p>
    <w:p w:rsidR="00EE13F6" w:rsidRDefault="002E5BC4" w:rsidP="002E5BC4">
      <w:pPr>
        <w:numPr>
          <w:ilvl w:val="0"/>
          <w:numId w:val="9"/>
        </w:numPr>
        <w:spacing w:after="3" w:line="367" w:lineRule="auto"/>
        <w:ind w:hanging="475"/>
        <w:jc w:val="both"/>
      </w:pPr>
      <w:r>
        <w:rPr>
          <w:rFonts w:ascii="Times New Roman" w:eastAsia="Times New Roman" w:hAnsi="Times New Roman" w:cs="Times New Roman"/>
          <w:sz w:val="24"/>
        </w:rPr>
        <w:t xml:space="preserve">Ho,T. and Macris,R. (1984). Dealer bid-ask quotes and transaction prices: an empirical study of some AMEX options. The Journal of Finance, Vol. 39: 23-45.  </w:t>
      </w:r>
    </w:p>
    <w:p w:rsidR="00EE13F6" w:rsidRDefault="002E5BC4" w:rsidP="002E5BC4">
      <w:pPr>
        <w:numPr>
          <w:ilvl w:val="0"/>
          <w:numId w:val="9"/>
        </w:numPr>
        <w:spacing w:after="230" w:line="367" w:lineRule="auto"/>
        <w:ind w:hanging="475"/>
        <w:jc w:val="both"/>
      </w:pPr>
      <w:r>
        <w:rPr>
          <w:rFonts w:ascii="Times New Roman" w:eastAsia="Times New Roman" w:hAnsi="Times New Roman" w:cs="Times New Roman"/>
          <w:sz w:val="24"/>
        </w:rPr>
        <w:t>Ho,T. and Stoll,H. (1980). On dealer markets under competition. The Journal of Finance, Vol. 35:</w:t>
      </w:r>
      <w:r>
        <w:rPr>
          <w:rFonts w:ascii="Times New Roman" w:eastAsia="Times New Roman" w:hAnsi="Times New Roman" w:cs="Times New Roman"/>
          <w:sz w:val="24"/>
        </w:rPr>
        <w:t xml:space="preserve"> 259-267.  </w:t>
      </w:r>
    </w:p>
    <w:p w:rsidR="00EE13F6" w:rsidRDefault="002E5BC4" w:rsidP="002E5BC4">
      <w:pPr>
        <w:numPr>
          <w:ilvl w:val="0"/>
          <w:numId w:val="9"/>
        </w:numPr>
        <w:spacing w:after="229" w:line="367" w:lineRule="auto"/>
        <w:ind w:hanging="475"/>
        <w:jc w:val="both"/>
      </w:pPr>
      <w:r>
        <w:rPr>
          <w:rFonts w:ascii="Times New Roman" w:eastAsia="Times New Roman" w:hAnsi="Times New Roman" w:cs="Times New Roman"/>
          <w:sz w:val="24"/>
        </w:rPr>
        <w:lastRenderedPageBreak/>
        <w:t xml:space="preserve">Jarrow, R. and Turnbull, S. (1995). Pricing Derivatives on Financial Securities Subject to Credit Risk. The Journal of Finance, Vol. 50: 53-85.  </w:t>
      </w:r>
    </w:p>
    <w:p w:rsidR="00EE13F6" w:rsidRDefault="002E5BC4" w:rsidP="002E5BC4">
      <w:pPr>
        <w:numPr>
          <w:ilvl w:val="0"/>
          <w:numId w:val="9"/>
        </w:numPr>
        <w:spacing w:after="230" w:line="367" w:lineRule="auto"/>
        <w:ind w:hanging="475"/>
        <w:jc w:val="both"/>
      </w:pPr>
      <w:r>
        <w:rPr>
          <w:rFonts w:ascii="Times New Roman" w:eastAsia="Times New Roman" w:hAnsi="Times New Roman" w:cs="Times New Roman"/>
          <w:sz w:val="24"/>
        </w:rPr>
        <w:t>Kupiec, P. Noise Traders, Excess Volatility, and a Securities Transaction Tax. of Financial Servic</w:t>
      </w:r>
      <w:r>
        <w:rPr>
          <w:rFonts w:ascii="Times New Roman" w:eastAsia="Times New Roman" w:hAnsi="Times New Roman" w:cs="Times New Roman"/>
          <w:sz w:val="24"/>
        </w:rPr>
        <w:t xml:space="preserve">es Research. June 1996, Volume 10, Issue 2, 115?129  </w:t>
      </w:r>
    </w:p>
    <w:p w:rsidR="00EE13F6" w:rsidRDefault="002E5BC4" w:rsidP="002E5BC4">
      <w:pPr>
        <w:numPr>
          <w:ilvl w:val="0"/>
          <w:numId w:val="9"/>
        </w:numPr>
        <w:spacing w:after="357"/>
        <w:ind w:hanging="475"/>
        <w:jc w:val="both"/>
      </w:pPr>
      <w:r>
        <w:rPr>
          <w:rFonts w:ascii="Times New Roman" w:eastAsia="Times New Roman" w:hAnsi="Times New Roman" w:cs="Times New Roman"/>
          <w:sz w:val="24"/>
        </w:rPr>
        <w:t xml:space="preserve">Lardy, J.-P. (2001). A Simple Closed-Form Formula to Price Credit. Presentation, Risk, Paris. </w:t>
      </w:r>
    </w:p>
    <w:p w:rsidR="00EE13F6" w:rsidRDefault="002E5BC4" w:rsidP="002E5BC4">
      <w:pPr>
        <w:numPr>
          <w:ilvl w:val="0"/>
          <w:numId w:val="9"/>
        </w:numPr>
        <w:spacing w:after="120" w:line="460" w:lineRule="auto"/>
        <w:ind w:hanging="475"/>
        <w:jc w:val="both"/>
      </w:pPr>
      <w:r>
        <w:rPr>
          <w:rFonts w:ascii="Times New Roman" w:eastAsia="Times New Roman" w:hAnsi="Times New Roman" w:cs="Times New Roman"/>
          <w:sz w:val="24"/>
        </w:rPr>
        <w:t xml:space="preserve">Lendvai J., Raciborski R., Vogel L., Securities Transaction Taxs: Macroeconomic Implications  in a General </w:t>
      </w:r>
      <w:r>
        <w:rPr>
          <w:rFonts w:ascii="Times New Roman" w:eastAsia="Times New Roman" w:hAnsi="Times New Roman" w:cs="Times New Roman"/>
          <w:sz w:val="24"/>
        </w:rPr>
        <w:t xml:space="preserve">Equilibrium Model European Economy: Economic Papers 450. March 2012.  </w:t>
      </w:r>
    </w:p>
    <w:p w:rsidR="00EE13F6" w:rsidRDefault="002E5BC4" w:rsidP="002E5BC4">
      <w:pPr>
        <w:numPr>
          <w:ilvl w:val="0"/>
          <w:numId w:val="9"/>
        </w:numPr>
        <w:spacing w:after="229" w:line="367" w:lineRule="auto"/>
        <w:ind w:hanging="475"/>
        <w:jc w:val="both"/>
      </w:pPr>
      <w:r>
        <w:rPr>
          <w:rFonts w:ascii="Times New Roman" w:eastAsia="Times New Roman" w:hAnsi="Times New Roman" w:cs="Times New Roman"/>
          <w:sz w:val="24"/>
        </w:rPr>
        <w:t xml:space="preserve">Leland, H. (1985). Option Pricing and Replication with Transaction Costs. The Journal of Finance, Vol. 40: 1283-1301.  </w:t>
      </w:r>
    </w:p>
    <w:p w:rsidR="00EE13F6" w:rsidRDefault="002E5BC4" w:rsidP="002E5BC4">
      <w:pPr>
        <w:numPr>
          <w:ilvl w:val="0"/>
          <w:numId w:val="9"/>
        </w:numPr>
        <w:spacing w:after="230" w:line="367" w:lineRule="auto"/>
        <w:ind w:hanging="475"/>
        <w:jc w:val="both"/>
      </w:pPr>
      <w:r>
        <w:rPr>
          <w:rFonts w:ascii="Times New Roman" w:eastAsia="Times New Roman" w:hAnsi="Times New Roman" w:cs="Times New Roman"/>
          <w:sz w:val="24"/>
        </w:rPr>
        <w:t>Leland, H. (1994). Corporate Debt Value, Bond Covenants, and Opti</w:t>
      </w:r>
      <w:r>
        <w:rPr>
          <w:rFonts w:ascii="Times New Roman" w:eastAsia="Times New Roman" w:hAnsi="Times New Roman" w:cs="Times New Roman"/>
          <w:sz w:val="24"/>
        </w:rPr>
        <w:t xml:space="preserve">mal Capital Structure. The Journal of Finance, Vol. 49: 1213-1252.  </w:t>
      </w:r>
    </w:p>
    <w:p w:rsidR="00EE13F6" w:rsidRDefault="002E5BC4" w:rsidP="002E5BC4">
      <w:pPr>
        <w:numPr>
          <w:ilvl w:val="0"/>
          <w:numId w:val="9"/>
        </w:numPr>
        <w:spacing w:after="229" w:line="367" w:lineRule="auto"/>
        <w:ind w:hanging="475"/>
        <w:jc w:val="both"/>
      </w:pPr>
      <w:r>
        <w:rPr>
          <w:rFonts w:ascii="Times New Roman" w:eastAsia="Times New Roman" w:hAnsi="Times New Roman" w:cs="Times New Roman"/>
          <w:sz w:val="24"/>
        </w:rPr>
        <w:t>Leland, H. (1994). Optimal Capital Structure, Endogenous Bankruptcy, and the Term Structure of Credit Spreads. Finance working paper no.240. Haas School of Business, University of Califor</w:t>
      </w:r>
      <w:r>
        <w:rPr>
          <w:rFonts w:ascii="Times New Roman" w:eastAsia="Times New Roman" w:hAnsi="Times New Roman" w:cs="Times New Roman"/>
          <w:sz w:val="24"/>
        </w:rPr>
        <w:t xml:space="preserve">nia, Berkeley, USA.  </w:t>
      </w:r>
    </w:p>
    <w:p w:rsidR="00EE13F6" w:rsidRDefault="002E5BC4" w:rsidP="002E5BC4">
      <w:pPr>
        <w:numPr>
          <w:ilvl w:val="0"/>
          <w:numId w:val="9"/>
        </w:numPr>
        <w:spacing w:after="234" w:line="367" w:lineRule="auto"/>
        <w:ind w:hanging="475"/>
        <w:jc w:val="both"/>
      </w:pPr>
      <w:r>
        <w:rPr>
          <w:rFonts w:ascii="Times New Roman" w:eastAsia="Times New Roman" w:hAnsi="Times New Roman" w:cs="Times New Roman"/>
          <w:sz w:val="24"/>
        </w:rPr>
        <w:t xml:space="preserve">Leland, H. and Toft, K. (1996). Optimal Capital Structure, Endogenous Bankruptcy, and the Term Structure of Credit Spreads. The Journal of Finance, Vol. 51: 1283-1301.  </w:t>
      </w:r>
    </w:p>
    <w:p w:rsidR="00EE13F6" w:rsidRDefault="002E5BC4" w:rsidP="002E5BC4">
      <w:pPr>
        <w:numPr>
          <w:ilvl w:val="0"/>
          <w:numId w:val="9"/>
        </w:numPr>
        <w:spacing w:after="230" w:line="367" w:lineRule="auto"/>
        <w:ind w:hanging="475"/>
        <w:jc w:val="both"/>
      </w:pPr>
      <w:r>
        <w:rPr>
          <w:rFonts w:ascii="Times New Roman" w:eastAsia="Times New Roman" w:hAnsi="Times New Roman" w:cs="Times New Roman"/>
          <w:sz w:val="24"/>
        </w:rPr>
        <w:t xml:space="preserve">Leland, H. (2007). Comments on hedging errors with Leland’s option model in the presence of transaction costs”. Haas School of Business, University of California, Berkeley, USA.  </w:t>
      </w:r>
    </w:p>
    <w:p w:rsidR="00EE13F6" w:rsidRDefault="002E5BC4" w:rsidP="002E5BC4">
      <w:pPr>
        <w:numPr>
          <w:ilvl w:val="0"/>
          <w:numId w:val="9"/>
        </w:numPr>
        <w:spacing w:after="234" w:line="367" w:lineRule="auto"/>
        <w:ind w:hanging="475"/>
        <w:jc w:val="both"/>
      </w:pPr>
      <w:r>
        <w:rPr>
          <w:rFonts w:ascii="Times New Roman" w:eastAsia="Times New Roman" w:hAnsi="Times New Roman" w:cs="Times New Roman"/>
          <w:sz w:val="24"/>
        </w:rPr>
        <w:t>Matheson, T. Taxing Financial Transactions: Issues and Evidence. IMF Staff p</w:t>
      </w:r>
      <w:r>
        <w:rPr>
          <w:rFonts w:ascii="Times New Roman" w:eastAsia="Times New Roman" w:hAnsi="Times New Roman" w:cs="Times New Roman"/>
          <w:sz w:val="24"/>
        </w:rPr>
        <w:t xml:space="preserve">apers. Vol. 50, Special issue 2003 International Monetary Fund.  </w:t>
      </w:r>
    </w:p>
    <w:p w:rsidR="00EE13F6" w:rsidRDefault="002E5BC4" w:rsidP="002E5BC4">
      <w:pPr>
        <w:numPr>
          <w:ilvl w:val="0"/>
          <w:numId w:val="9"/>
        </w:numPr>
        <w:spacing w:after="352"/>
        <w:ind w:hanging="475"/>
        <w:jc w:val="both"/>
      </w:pPr>
      <w:r>
        <w:rPr>
          <w:rFonts w:ascii="Times New Roman" w:eastAsia="Times New Roman" w:hAnsi="Times New Roman" w:cs="Times New Roman"/>
          <w:sz w:val="24"/>
        </w:rPr>
        <w:t xml:space="preserve">Modigliani, F. and Miller, M. (1958). The Cost of Capital, Corporation Finance, and The Theory of Investment”. American Economic Review, Vol 48: 433-443  </w:t>
      </w:r>
    </w:p>
    <w:p w:rsidR="00EE13F6" w:rsidRDefault="002E5BC4" w:rsidP="002E5BC4">
      <w:pPr>
        <w:numPr>
          <w:ilvl w:val="0"/>
          <w:numId w:val="9"/>
        </w:numPr>
        <w:spacing w:after="234" w:line="367" w:lineRule="auto"/>
        <w:ind w:hanging="475"/>
        <w:jc w:val="both"/>
      </w:pPr>
      <w:r>
        <w:rPr>
          <w:rFonts w:ascii="Times New Roman" w:eastAsia="Times New Roman" w:hAnsi="Times New Roman" w:cs="Times New Roman"/>
          <w:sz w:val="24"/>
        </w:rPr>
        <w:lastRenderedPageBreak/>
        <w:t>Musiela, M. and Rutkowski, M. (1998</w:t>
      </w:r>
      <w:r>
        <w:rPr>
          <w:rFonts w:ascii="Times New Roman" w:eastAsia="Times New Roman" w:hAnsi="Times New Roman" w:cs="Times New Roman"/>
          <w:sz w:val="24"/>
        </w:rPr>
        <w:t xml:space="preserve">), Martingales Methods in Financial Modeling. 2nd edition, Springer Verlag, Berlin.  </w:t>
      </w:r>
    </w:p>
    <w:p w:rsidR="00EE13F6" w:rsidRDefault="002E5BC4" w:rsidP="002E5BC4">
      <w:pPr>
        <w:numPr>
          <w:ilvl w:val="0"/>
          <w:numId w:val="9"/>
        </w:numPr>
        <w:spacing w:after="230" w:line="367" w:lineRule="auto"/>
        <w:ind w:hanging="475"/>
        <w:jc w:val="both"/>
      </w:pPr>
      <w:r>
        <w:rPr>
          <w:rFonts w:ascii="Times New Roman" w:eastAsia="Times New Roman" w:hAnsi="Times New Roman" w:cs="Times New Roman"/>
          <w:sz w:val="24"/>
        </w:rPr>
        <w:t xml:space="preserve">Stamp Duty: Its impact and the benefits of its abolition. Prepared for ABI, City of London Corporation, IMA and London Stock Exchange. Oxera. May 2007.  </w:t>
      </w:r>
    </w:p>
    <w:p w:rsidR="00EE13F6" w:rsidRDefault="002E5BC4" w:rsidP="002E5BC4">
      <w:pPr>
        <w:numPr>
          <w:ilvl w:val="0"/>
          <w:numId w:val="9"/>
        </w:numPr>
        <w:spacing w:after="258" w:line="367" w:lineRule="auto"/>
        <w:ind w:hanging="475"/>
        <w:jc w:val="both"/>
      </w:pPr>
      <w:r>
        <w:rPr>
          <w:rFonts w:ascii="Times New Roman" w:eastAsia="Times New Roman" w:hAnsi="Times New Roman" w:cs="Times New Roman"/>
          <w:sz w:val="24"/>
        </w:rPr>
        <w:t>What could be th</w:t>
      </w:r>
      <w:r>
        <w:rPr>
          <w:rFonts w:ascii="Times New Roman" w:eastAsia="Times New Roman" w:hAnsi="Times New Roman" w:cs="Times New Roman"/>
          <w:sz w:val="24"/>
        </w:rPr>
        <w:t xml:space="preserve">e economic impact of the proposed financial transaction tax? A comprehensive assessment of the potential macroeconomic impact. Oxera. May 6th, 2014.  </w:t>
      </w:r>
    </w:p>
    <w:p w:rsidR="00EE13F6" w:rsidRDefault="002E5BC4" w:rsidP="002E5BC4">
      <w:pPr>
        <w:numPr>
          <w:ilvl w:val="0"/>
          <w:numId w:val="9"/>
        </w:numPr>
        <w:spacing w:after="382"/>
        <w:ind w:hanging="475"/>
        <w:jc w:val="both"/>
      </w:pPr>
      <w:r>
        <w:rPr>
          <w:rFonts w:ascii="Times New Roman" w:eastAsia="Times New Roman" w:hAnsi="Times New Roman" w:cs="Times New Roman"/>
          <w:sz w:val="24"/>
        </w:rPr>
        <w:t>Rubinstein, M. and Reiner, C. (1991). Breaking Down the Barriers. Risk pp 28-35.</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3" w:line="584" w:lineRule="auto"/>
        <w:ind w:hanging="475"/>
        <w:jc w:val="both"/>
      </w:pPr>
      <w:r>
        <w:rPr>
          <w:rFonts w:ascii="Times New Roman" w:eastAsia="Times New Roman" w:hAnsi="Times New Roman" w:cs="Times New Roman"/>
          <w:sz w:val="24"/>
        </w:rPr>
        <w:t>Saporta, V. and Kan, K</w:t>
      </w:r>
      <w:r>
        <w:rPr>
          <w:rFonts w:ascii="Times New Roman" w:eastAsia="Times New Roman" w:hAnsi="Times New Roman" w:cs="Times New Roman"/>
          <w:sz w:val="24"/>
        </w:rPr>
        <w:t>. Stamp Duty on Share Transactions: Is There a case for Change?  Institute of Economics - Academia Sinica. 1997.</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382"/>
        <w:ind w:hanging="475"/>
        <w:jc w:val="both"/>
      </w:pPr>
      <w:r>
        <w:rPr>
          <w:rFonts w:ascii="Times New Roman" w:eastAsia="Times New Roman" w:hAnsi="Times New Roman" w:cs="Times New Roman"/>
          <w:sz w:val="24"/>
        </w:rPr>
        <w:t xml:space="preserve">Taleb, N. (2001). Fooled by Randomness: The Hidden Role of Chance in Life and in the  </w:t>
      </w:r>
    </w:p>
    <w:p w:rsidR="00EE13F6" w:rsidRDefault="002E5BC4">
      <w:pPr>
        <w:spacing w:after="382"/>
        <w:ind w:left="-5" w:hanging="10"/>
        <w:jc w:val="both"/>
      </w:pPr>
      <w:r>
        <w:rPr>
          <w:rFonts w:ascii="Times New Roman" w:eastAsia="Times New Roman" w:hAnsi="Times New Roman" w:cs="Times New Roman"/>
          <w:sz w:val="24"/>
        </w:rPr>
        <w:t>Markets. Random House.</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137"/>
        <w:ind w:hanging="475"/>
        <w:jc w:val="both"/>
      </w:pPr>
      <w:r>
        <w:rPr>
          <w:rFonts w:ascii="Times New Roman" w:eastAsia="Times New Roman" w:hAnsi="Times New Roman" w:cs="Times New Roman"/>
          <w:sz w:val="24"/>
        </w:rPr>
        <w:t>Schwert, G. and Seguin, P. Se</w:t>
      </w:r>
      <w:r>
        <w:rPr>
          <w:rFonts w:ascii="Times New Roman" w:eastAsia="Times New Roman" w:hAnsi="Times New Roman" w:cs="Times New Roman"/>
          <w:sz w:val="24"/>
        </w:rPr>
        <w:t xml:space="preserve">curities Transaction Taxs: An Overview of Costs, benefits and </w:t>
      </w:r>
    </w:p>
    <w:p w:rsidR="00EE13F6" w:rsidRDefault="002E5BC4">
      <w:pPr>
        <w:spacing w:after="382"/>
        <w:ind w:left="-5" w:hanging="10"/>
        <w:jc w:val="both"/>
      </w:pPr>
      <w:r>
        <w:rPr>
          <w:rFonts w:ascii="Times New Roman" w:eastAsia="Times New Roman" w:hAnsi="Times New Roman" w:cs="Times New Roman"/>
          <w:sz w:val="24"/>
        </w:rPr>
        <w:t>Unresolved Questions. Financial Analysts Journal. September-October 1993.</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381"/>
        <w:ind w:hanging="475"/>
        <w:jc w:val="both"/>
      </w:pPr>
      <w:r>
        <w:rPr>
          <w:rFonts w:ascii="Times New Roman" w:eastAsia="Times New Roman" w:hAnsi="Times New Roman" w:cs="Times New Roman"/>
          <w:sz w:val="24"/>
        </w:rPr>
        <w:t xml:space="preserve">Umlauf. S. Transaction Taxs and the Behavior of the Swedish Stock Market. Journal of  </w:t>
      </w:r>
    </w:p>
    <w:p w:rsidR="00EE13F6" w:rsidRDefault="002E5BC4">
      <w:pPr>
        <w:spacing w:after="382"/>
        <w:ind w:left="-5" w:hanging="10"/>
        <w:jc w:val="both"/>
      </w:pPr>
      <w:r>
        <w:rPr>
          <w:rFonts w:ascii="Times New Roman" w:eastAsia="Times New Roman" w:hAnsi="Times New Roman" w:cs="Times New Roman"/>
          <w:sz w:val="24"/>
        </w:rPr>
        <w:t>Financial Economics, 1993, Vol. 33, issue 2, pages 227-240.</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377"/>
        <w:ind w:hanging="475"/>
        <w:jc w:val="both"/>
      </w:pPr>
      <w:r>
        <w:rPr>
          <w:rFonts w:ascii="Times New Roman" w:eastAsia="Times New Roman" w:hAnsi="Times New Roman" w:cs="Times New Roman"/>
          <w:sz w:val="24"/>
        </w:rPr>
        <w:t xml:space="preserve">Vasicek, O. KMV (Kealhofer, McQuown and Vasicek). (2012). Structural Models in Credit  </w:t>
      </w:r>
    </w:p>
    <w:p w:rsidR="00EE13F6" w:rsidRDefault="002E5BC4">
      <w:pPr>
        <w:spacing w:after="387"/>
        <w:ind w:left="-5" w:hanging="10"/>
        <w:jc w:val="both"/>
      </w:pPr>
      <w:r>
        <w:rPr>
          <w:rFonts w:ascii="Times New Roman" w:eastAsia="Times New Roman" w:hAnsi="Times New Roman" w:cs="Times New Roman"/>
          <w:sz w:val="24"/>
        </w:rPr>
        <w:t>Valuation. NYU Stern.</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255" w:line="367" w:lineRule="auto"/>
        <w:ind w:hanging="475"/>
        <w:jc w:val="both"/>
      </w:pPr>
      <w:r>
        <w:rPr>
          <w:rFonts w:ascii="Times New Roman" w:eastAsia="Times New Roman" w:hAnsi="Times New Roman" w:cs="Times New Roman"/>
          <w:sz w:val="24"/>
        </w:rPr>
        <w:t>Wang, G. and Yau, J. (2012). Would a Financial Transaction Tax Affect Financial Ma</w:t>
      </w:r>
      <w:r>
        <w:rPr>
          <w:rFonts w:ascii="Times New Roman" w:eastAsia="Times New Roman" w:hAnsi="Times New Roman" w:cs="Times New Roman"/>
          <w:sz w:val="24"/>
        </w:rPr>
        <w:t>rket Activity? Insights from Futures Markets Policy Analysis, No.702.</w:t>
      </w:r>
      <w:r>
        <w:rPr>
          <w:rFonts w:ascii="Courier New" w:eastAsia="Courier New" w:hAnsi="Courier New" w:cs="Courier New"/>
          <w:sz w:val="24"/>
        </w:rPr>
        <w:t> </w:t>
      </w:r>
      <w:r>
        <w:rPr>
          <w:rFonts w:ascii="Times New Roman" w:eastAsia="Times New Roman" w:hAnsi="Times New Roman" w:cs="Times New Roman"/>
          <w:sz w:val="24"/>
        </w:rPr>
        <w:t xml:space="preserve"> </w:t>
      </w:r>
    </w:p>
    <w:p w:rsidR="00EE13F6" w:rsidRDefault="002E5BC4" w:rsidP="002E5BC4">
      <w:pPr>
        <w:numPr>
          <w:ilvl w:val="0"/>
          <w:numId w:val="9"/>
        </w:numPr>
        <w:spacing w:after="112"/>
        <w:ind w:hanging="475"/>
        <w:jc w:val="both"/>
      </w:pPr>
      <w:r>
        <w:rPr>
          <w:rFonts w:ascii="Times New Roman" w:eastAsia="Times New Roman" w:hAnsi="Times New Roman" w:cs="Times New Roman"/>
          <w:sz w:val="24"/>
        </w:rPr>
        <w:t xml:space="preserve">Westerholm. J., The Impact of Transaction Costs on Turnover, Asset prices and Volatility: </w:t>
      </w:r>
    </w:p>
    <w:p w:rsidR="00EE13F6" w:rsidRDefault="002E5BC4">
      <w:pPr>
        <w:spacing w:after="3"/>
        <w:ind w:left="-5" w:hanging="10"/>
        <w:jc w:val="both"/>
      </w:pPr>
      <w:r>
        <w:rPr>
          <w:rFonts w:ascii="Times New Roman" w:eastAsia="Times New Roman" w:hAnsi="Times New Roman" w:cs="Times New Roman"/>
          <w:sz w:val="24"/>
        </w:rPr>
        <w:t xml:space="preserve">The Cases of Sweden and Finland’s Security Transaction Tax Reductions. LTA. 2/03. P.213-241 </w:t>
      </w:r>
    </w:p>
    <w:p w:rsidR="00EE13F6" w:rsidRDefault="00EE13F6">
      <w:pPr>
        <w:sectPr w:rsidR="00EE13F6">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2240" w:h="15840"/>
          <w:pgMar w:top="1452" w:right="1434" w:bottom="1440" w:left="1444" w:header="720" w:footer="713" w:gutter="0"/>
          <w:pgNumType w:start="1"/>
          <w:cols w:space="720"/>
          <w:titlePg/>
        </w:sectPr>
      </w:pPr>
    </w:p>
    <w:p w:rsidR="00EE13F6" w:rsidRDefault="002E5BC4">
      <w:pPr>
        <w:pStyle w:val="Heading1"/>
        <w:spacing w:after="148"/>
        <w:ind w:left="0" w:firstLine="0"/>
      </w:pPr>
      <w:r>
        <w:lastRenderedPageBreak/>
        <w:t>References</w:t>
      </w:r>
    </w:p>
    <w:p w:rsidR="00EE13F6" w:rsidRDefault="002E5BC4">
      <w:pPr>
        <w:spacing w:after="166" w:line="270" w:lineRule="auto"/>
        <w:ind w:left="213" w:right="468" w:hanging="228"/>
        <w:jc w:val="both"/>
      </w:pPr>
      <w:r>
        <w:rPr>
          <w:rFonts w:ascii="Cambria" w:eastAsia="Cambria" w:hAnsi="Cambria" w:cs="Cambria"/>
        </w:rPr>
        <w:t xml:space="preserve">Amihud, Y. and Mendelson, H. (1986). Asset pricing and the bid-ask spread. </w:t>
      </w:r>
      <w:r>
        <w:rPr>
          <w:rFonts w:ascii="Cambria" w:eastAsia="Cambria" w:hAnsi="Cambria" w:cs="Cambria"/>
          <w:i/>
        </w:rPr>
        <w:t>Journal of financial Economics</w:t>
      </w:r>
      <w:r>
        <w:rPr>
          <w:rFonts w:ascii="Cambria" w:eastAsia="Cambria" w:hAnsi="Cambria" w:cs="Cambria"/>
        </w:rPr>
        <w:t>, 17(2):223–249.</w:t>
      </w:r>
    </w:p>
    <w:p w:rsidR="00EE13F6" w:rsidRDefault="002E5BC4">
      <w:pPr>
        <w:spacing w:after="187" w:line="270" w:lineRule="auto"/>
        <w:ind w:left="213" w:right="468" w:hanging="228"/>
        <w:jc w:val="both"/>
      </w:pPr>
      <w:r>
        <w:rPr>
          <w:rFonts w:ascii="Cambria" w:eastAsia="Cambria" w:hAnsi="Cambria" w:cs="Cambria"/>
        </w:rPr>
        <w:t xml:space="preserve">Anthony, J., Bijlsma, M., Elbourne, A., Lever, M., and Zwart, G. (2012). Financial transaction tax: review and assessment. </w:t>
      </w:r>
      <w:r>
        <w:rPr>
          <w:rFonts w:ascii="Cambria" w:eastAsia="Cambria" w:hAnsi="Cambria" w:cs="Cambria"/>
          <w:i/>
        </w:rPr>
        <w:t>CPB Netherlands Bureau For Economic Policy Analysis. CPB Discussion Paper</w:t>
      </w:r>
      <w:r>
        <w:rPr>
          <w:rFonts w:ascii="Cambria" w:eastAsia="Cambria" w:hAnsi="Cambria" w:cs="Cambria"/>
        </w:rPr>
        <w:t>.</w:t>
      </w:r>
    </w:p>
    <w:p w:rsidR="00EE13F6" w:rsidRDefault="002E5BC4">
      <w:pPr>
        <w:spacing w:after="166" w:line="270" w:lineRule="auto"/>
        <w:ind w:left="213" w:right="468" w:hanging="228"/>
        <w:jc w:val="both"/>
      </w:pPr>
      <w:r>
        <w:rPr>
          <w:rFonts w:ascii="Cambria" w:eastAsia="Cambria" w:hAnsi="Cambria" w:cs="Cambria"/>
        </w:rPr>
        <w:t>Avellaneda, M. and Stoikov, S. (2008). High-frequency trad</w:t>
      </w:r>
      <w:r>
        <w:rPr>
          <w:rFonts w:ascii="Cambria" w:eastAsia="Cambria" w:hAnsi="Cambria" w:cs="Cambria"/>
        </w:rPr>
        <w:t xml:space="preserve">ing in a limit order book. </w:t>
      </w:r>
      <w:r>
        <w:rPr>
          <w:rFonts w:ascii="Cambria" w:eastAsia="Cambria" w:hAnsi="Cambria" w:cs="Cambria"/>
          <w:i/>
        </w:rPr>
        <w:t>Quantitative Finance</w:t>
      </w:r>
      <w:r>
        <w:rPr>
          <w:rFonts w:ascii="Cambria" w:eastAsia="Cambria" w:hAnsi="Cambria" w:cs="Cambria"/>
        </w:rPr>
        <w:t>, 8(3):217–224.</w:t>
      </w:r>
    </w:p>
    <w:p w:rsidR="00EE13F6" w:rsidRDefault="002E5BC4">
      <w:pPr>
        <w:spacing w:after="166" w:line="270" w:lineRule="auto"/>
        <w:ind w:left="213" w:right="468" w:hanging="228"/>
        <w:jc w:val="both"/>
      </w:pPr>
      <w:r>
        <w:rPr>
          <w:rFonts w:ascii="Cambria" w:eastAsia="Cambria" w:hAnsi="Cambria" w:cs="Cambria"/>
        </w:rPr>
        <w:t xml:space="preserve">Bessembinder, H. (2002). Trading costs and return volatility: evidence from exchange listings. </w:t>
      </w:r>
      <w:r>
        <w:rPr>
          <w:rFonts w:ascii="Cambria" w:eastAsia="Cambria" w:hAnsi="Cambria" w:cs="Cambria"/>
          <w:i/>
        </w:rPr>
        <w:t>Working paper</w:t>
      </w:r>
      <w:r>
        <w:rPr>
          <w:rFonts w:ascii="Cambria" w:eastAsia="Cambria" w:hAnsi="Cambria" w:cs="Cambria"/>
        </w:rPr>
        <w:t>.</w:t>
      </w:r>
    </w:p>
    <w:p w:rsidR="00EE13F6" w:rsidRDefault="002E5BC4">
      <w:pPr>
        <w:spacing w:after="197" w:line="270" w:lineRule="auto"/>
        <w:ind w:left="213" w:right="468" w:hanging="228"/>
        <w:jc w:val="both"/>
      </w:pPr>
      <w:r>
        <w:rPr>
          <w:rFonts w:ascii="Cambria" w:eastAsia="Cambria" w:hAnsi="Cambria" w:cs="Cambria"/>
        </w:rPr>
        <w:t>Bjursell, C. J., Wang, G. H., and Yau, J. (2006). Transaction tax and market qualit</w:t>
      </w:r>
      <w:r>
        <w:rPr>
          <w:rFonts w:ascii="Cambria" w:eastAsia="Cambria" w:hAnsi="Cambria" w:cs="Cambria"/>
        </w:rPr>
        <w:t xml:space="preserve">y of us futures markets: An ex-ante analysisi. </w:t>
      </w:r>
      <w:r>
        <w:rPr>
          <w:rFonts w:ascii="Cambria" w:eastAsia="Cambria" w:hAnsi="Cambria" w:cs="Cambria"/>
          <w:i/>
        </w:rPr>
        <w:t>Journal of future markets</w:t>
      </w:r>
      <w:r>
        <w:rPr>
          <w:rFonts w:ascii="Cambria" w:eastAsia="Cambria" w:hAnsi="Cambria" w:cs="Cambria"/>
        </w:rPr>
        <w:t>, 26.</w:t>
      </w:r>
    </w:p>
    <w:p w:rsidR="00EE13F6" w:rsidRDefault="002E5BC4">
      <w:pPr>
        <w:spacing w:after="166" w:line="270" w:lineRule="auto"/>
        <w:ind w:left="213" w:right="468" w:hanging="228"/>
        <w:jc w:val="both"/>
      </w:pPr>
      <w:r>
        <w:rPr>
          <w:rFonts w:ascii="Cambria" w:eastAsia="Cambria" w:hAnsi="Cambria" w:cs="Cambria"/>
        </w:rPr>
        <w:t xml:space="preserve">Boyle, P. P. and Vorst, T. (1992). Option replication in discrete time with transaction costs. </w:t>
      </w:r>
      <w:r>
        <w:rPr>
          <w:rFonts w:ascii="Cambria" w:eastAsia="Cambria" w:hAnsi="Cambria" w:cs="Cambria"/>
          <w:i/>
        </w:rPr>
        <w:t>The Journal of Finance</w:t>
      </w:r>
      <w:r>
        <w:rPr>
          <w:rFonts w:ascii="Cambria" w:eastAsia="Cambria" w:hAnsi="Cambria" w:cs="Cambria"/>
        </w:rPr>
        <w:t>, 47(1):271–293.</w:t>
      </w:r>
    </w:p>
    <w:p w:rsidR="00EE13F6" w:rsidRDefault="002E5BC4">
      <w:pPr>
        <w:spacing w:after="166" w:line="270" w:lineRule="auto"/>
        <w:ind w:left="213" w:right="468" w:hanging="228"/>
        <w:jc w:val="both"/>
      </w:pPr>
      <w:r>
        <w:rPr>
          <w:rFonts w:ascii="Cambria" w:eastAsia="Cambria" w:hAnsi="Cambria" w:cs="Cambria"/>
        </w:rPr>
        <w:t xml:space="preserve">Brennan, M. J. and Subrahmanyam, A. (1996). </w:t>
      </w:r>
      <w:r>
        <w:rPr>
          <w:rFonts w:ascii="Cambria" w:eastAsia="Cambria" w:hAnsi="Cambria" w:cs="Cambria"/>
        </w:rPr>
        <w:t xml:space="preserve">Market microstructure and asset pricing: On the compensation for illiquidity in stock returns. </w:t>
      </w:r>
      <w:r>
        <w:rPr>
          <w:rFonts w:ascii="Cambria" w:eastAsia="Cambria" w:hAnsi="Cambria" w:cs="Cambria"/>
          <w:i/>
        </w:rPr>
        <w:t>Journal of financial economics</w:t>
      </w:r>
      <w:r>
        <w:rPr>
          <w:rFonts w:ascii="Cambria" w:eastAsia="Cambria" w:hAnsi="Cambria" w:cs="Cambria"/>
        </w:rPr>
        <w:t>, 41(3):441–464.</w:t>
      </w:r>
    </w:p>
    <w:p w:rsidR="00EE13F6" w:rsidRDefault="002E5BC4">
      <w:pPr>
        <w:spacing w:after="166" w:line="270" w:lineRule="auto"/>
        <w:ind w:left="213" w:right="468" w:hanging="228"/>
        <w:jc w:val="both"/>
      </w:pPr>
      <w:r>
        <w:rPr>
          <w:rFonts w:ascii="Cambria" w:eastAsia="Cambria" w:hAnsi="Cambria" w:cs="Cambria"/>
        </w:rPr>
        <w:t xml:space="preserve">Campbell, J. Y. and Froot, K. A. (1994). International experiences with securities transaction taxes. In </w:t>
      </w:r>
      <w:r>
        <w:rPr>
          <w:rFonts w:ascii="Cambria" w:eastAsia="Cambria" w:hAnsi="Cambria" w:cs="Cambria"/>
          <w:i/>
        </w:rPr>
        <w:t>The internationalization of equity markets</w:t>
      </w:r>
      <w:r>
        <w:rPr>
          <w:rFonts w:ascii="Cambria" w:eastAsia="Cambria" w:hAnsi="Cambria" w:cs="Cambria"/>
        </w:rPr>
        <w:t>, pages 277–308. University of Chicago Press.</w:t>
      </w:r>
    </w:p>
    <w:p w:rsidR="00EE13F6" w:rsidRDefault="002E5BC4">
      <w:pPr>
        <w:spacing w:after="166" w:line="270" w:lineRule="auto"/>
        <w:ind w:left="213" w:right="468" w:hanging="228"/>
        <w:jc w:val="both"/>
      </w:pPr>
      <w:r>
        <w:rPr>
          <w:rFonts w:ascii="Cambria" w:eastAsia="Cambria" w:hAnsi="Cambria" w:cs="Cambria"/>
        </w:rPr>
        <w:t xml:space="preserve">Capelle-Blancard, G. and Havrylchyk, O. (2016). The impact of the french securities transaction tax on market liquidity and volatility. </w:t>
      </w:r>
      <w:r>
        <w:rPr>
          <w:rFonts w:ascii="Cambria" w:eastAsia="Cambria" w:hAnsi="Cambria" w:cs="Cambria"/>
          <w:i/>
        </w:rPr>
        <w:t>International Review of Financia</w:t>
      </w:r>
      <w:r>
        <w:rPr>
          <w:rFonts w:ascii="Cambria" w:eastAsia="Cambria" w:hAnsi="Cambria" w:cs="Cambria"/>
          <w:i/>
        </w:rPr>
        <w:t>l Analysis</w:t>
      </w:r>
      <w:r>
        <w:rPr>
          <w:rFonts w:ascii="Cambria" w:eastAsia="Cambria" w:hAnsi="Cambria" w:cs="Cambria"/>
        </w:rPr>
        <w:t>, 47:166–178.</w:t>
      </w:r>
    </w:p>
    <w:p w:rsidR="00EE13F6" w:rsidRDefault="002E5BC4">
      <w:pPr>
        <w:spacing w:after="166" w:line="270" w:lineRule="auto"/>
        <w:ind w:left="213" w:right="468" w:hanging="228"/>
        <w:jc w:val="both"/>
      </w:pPr>
      <w:r>
        <w:rPr>
          <w:rFonts w:ascii="Cambria" w:eastAsia="Cambria" w:hAnsi="Cambria" w:cs="Cambria"/>
        </w:rPr>
        <w:t xml:space="preserve">Colliard, J.-E. and Hoffmann, P. (2017). Financial transaction taxes, market composition, and liquidity. </w:t>
      </w:r>
      <w:r>
        <w:rPr>
          <w:rFonts w:ascii="Cambria" w:eastAsia="Cambria" w:hAnsi="Cambria" w:cs="Cambria"/>
          <w:i/>
        </w:rPr>
        <w:t>The Journal of Finance</w:t>
      </w:r>
      <w:r>
        <w:rPr>
          <w:rFonts w:ascii="Cambria" w:eastAsia="Cambria" w:hAnsi="Cambria" w:cs="Cambria"/>
        </w:rPr>
        <w:t>, 72(6):2685–2716.</w:t>
      </w:r>
    </w:p>
    <w:p w:rsidR="00EE13F6" w:rsidRDefault="002E5BC4">
      <w:pPr>
        <w:spacing w:after="190" w:line="270" w:lineRule="auto"/>
        <w:ind w:left="213" w:right="468" w:hanging="228"/>
        <w:jc w:val="both"/>
      </w:pPr>
      <w:r>
        <w:rPr>
          <w:rFonts w:ascii="Cambria" w:eastAsia="Cambria" w:hAnsi="Cambria" w:cs="Cambria"/>
        </w:rPr>
        <w:t>Habermeier, K. and Kirilenko, A. A. (2003). Securities transaction taxes and financial</w:t>
      </w:r>
      <w:r>
        <w:rPr>
          <w:rFonts w:ascii="Cambria" w:eastAsia="Cambria" w:hAnsi="Cambria" w:cs="Cambria"/>
        </w:rPr>
        <w:t xml:space="preserve"> markets. </w:t>
      </w:r>
      <w:r>
        <w:rPr>
          <w:rFonts w:ascii="Cambria" w:eastAsia="Cambria" w:hAnsi="Cambria" w:cs="Cambria"/>
          <w:i/>
        </w:rPr>
        <w:t>IMF Staff Papers, Special Issue International Monetary Fund</w:t>
      </w:r>
      <w:r>
        <w:rPr>
          <w:rFonts w:ascii="Cambria" w:eastAsia="Cambria" w:hAnsi="Cambria" w:cs="Cambria"/>
        </w:rPr>
        <w:t>, 50(1):165–180.</w:t>
      </w:r>
    </w:p>
    <w:p w:rsidR="00EE13F6" w:rsidRDefault="002E5BC4">
      <w:pPr>
        <w:spacing w:after="166" w:line="270" w:lineRule="auto"/>
        <w:ind w:left="213" w:right="468" w:hanging="228"/>
        <w:jc w:val="both"/>
      </w:pPr>
      <w:r>
        <w:rPr>
          <w:rFonts w:ascii="Cambria" w:eastAsia="Cambria" w:hAnsi="Cambria" w:cs="Cambria"/>
        </w:rPr>
        <w:t xml:space="preserve">Hakkio, C. S. et al. (1994). Should we throw sand in the gears of financial markets? </w:t>
      </w:r>
      <w:r>
        <w:rPr>
          <w:rFonts w:ascii="Cambria" w:eastAsia="Cambria" w:hAnsi="Cambria" w:cs="Cambria"/>
          <w:i/>
        </w:rPr>
        <w:t>Economic Review</w:t>
      </w:r>
      <w:r>
        <w:rPr>
          <w:rFonts w:ascii="Cambria" w:eastAsia="Cambria" w:hAnsi="Cambria" w:cs="Cambria"/>
        </w:rPr>
        <w:t>, 79:17–30.</w:t>
      </w:r>
    </w:p>
    <w:p w:rsidR="00EE13F6" w:rsidRDefault="002E5BC4">
      <w:pPr>
        <w:spacing w:after="197" w:line="270" w:lineRule="auto"/>
        <w:ind w:left="213" w:right="468" w:hanging="228"/>
        <w:jc w:val="both"/>
      </w:pPr>
      <w:r>
        <w:rPr>
          <w:rFonts w:ascii="Cambria" w:eastAsia="Cambria" w:hAnsi="Cambria" w:cs="Cambria"/>
        </w:rPr>
        <w:t>Hau, H. (2006). The role of transaction costs for financia</w:t>
      </w:r>
      <w:r>
        <w:rPr>
          <w:rFonts w:ascii="Cambria" w:eastAsia="Cambria" w:hAnsi="Cambria" w:cs="Cambria"/>
        </w:rPr>
        <w:t xml:space="preserve">l volatility: Evidence from the paris bourse. </w:t>
      </w:r>
      <w:r>
        <w:rPr>
          <w:rFonts w:ascii="Cambria" w:eastAsia="Cambria" w:hAnsi="Cambria" w:cs="Cambria"/>
          <w:i/>
        </w:rPr>
        <w:t>Journal of the European Economic Association</w:t>
      </w:r>
      <w:r>
        <w:rPr>
          <w:rFonts w:ascii="Cambria" w:eastAsia="Cambria" w:hAnsi="Cambria" w:cs="Cambria"/>
        </w:rPr>
        <w:t>, 4(4):862–890.</w:t>
      </w:r>
    </w:p>
    <w:p w:rsidR="00EE13F6" w:rsidRDefault="002E5BC4">
      <w:pPr>
        <w:spacing w:after="189" w:line="270" w:lineRule="auto"/>
        <w:ind w:left="213" w:right="468" w:hanging="228"/>
        <w:jc w:val="both"/>
      </w:pPr>
      <w:r>
        <w:rPr>
          <w:rFonts w:ascii="Cambria" w:eastAsia="Cambria" w:hAnsi="Cambria" w:cs="Cambria"/>
        </w:rPr>
        <w:t xml:space="preserve">Hawkins, M. and McCrae, J. (2002). </w:t>
      </w:r>
      <w:r>
        <w:rPr>
          <w:rFonts w:ascii="Cambria" w:eastAsia="Cambria" w:hAnsi="Cambria" w:cs="Cambria"/>
          <w:i/>
        </w:rPr>
        <w:t xml:space="preserve">Stamp duty on share transactions: is there a case for change? </w:t>
      </w:r>
      <w:r>
        <w:rPr>
          <w:rFonts w:ascii="Cambria" w:eastAsia="Cambria" w:hAnsi="Cambria" w:cs="Cambria"/>
        </w:rPr>
        <w:t>Institute For Fiscal Studies.</w:t>
      </w:r>
    </w:p>
    <w:p w:rsidR="00EE13F6" w:rsidRDefault="002E5BC4">
      <w:pPr>
        <w:spacing w:after="195" w:line="270" w:lineRule="auto"/>
        <w:ind w:left="213" w:right="468" w:hanging="228"/>
        <w:jc w:val="both"/>
      </w:pPr>
      <w:r>
        <w:rPr>
          <w:rFonts w:ascii="Cambria" w:eastAsia="Cambria" w:hAnsi="Cambria" w:cs="Cambria"/>
        </w:rPr>
        <w:t xml:space="preserve">Jones, C. M. and Seguin, P. J. (1997). Transaction costs and price volatility: evidence from commission deregulation. </w:t>
      </w:r>
      <w:r>
        <w:rPr>
          <w:rFonts w:ascii="Cambria" w:eastAsia="Cambria" w:hAnsi="Cambria" w:cs="Cambria"/>
          <w:i/>
        </w:rPr>
        <w:t>The American Economic Review</w:t>
      </w:r>
      <w:r>
        <w:rPr>
          <w:rFonts w:ascii="Cambria" w:eastAsia="Cambria" w:hAnsi="Cambria" w:cs="Cambria"/>
        </w:rPr>
        <w:t>, 87(4):728–737.</w:t>
      </w:r>
    </w:p>
    <w:p w:rsidR="00EE13F6" w:rsidRDefault="002E5BC4">
      <w:pPr>
        <w:spacing w:after="209"/>
      </w:pPr>
      <w:r>
        <w:rPr>
          <w:rFonts w:ascii="Cambria" w:eastAsia="Cambria" w:hAnsi="Cambria" w:cs="Cambria"/>
        </w:rPr>
        <w:t xml:space="preserve">Keynes, J. (1936). </w:t>
      </w:r>
      <w:r>
        <w:rPr>
          <w:rFonts w:ascii="Cambria" w:eastAsia="Cambria" w:hAnsi="Cambria" w:cs="Cambria"/>
          <w:i/>
        </w:rPr>
        <w:t>The General Theory of Employment, Interest and Money</w:t>
      </w:r>
      <w:r>
        <w:rPr>
          <w:rFonts w:ascii="Cambria" w:eastAsia="Cambria" w:hAnsi="Cambria" w:cs="Cambria"/>
        </w:rPr>
        <w:t>. Harcourt Brace.</w:t>
      </w:r>
    </w:p>
    <w:p w:rsidR="00EE13F6" w:rsidRDefault="002E5BC4">
      <w:pPr>
        <w:spacing w:after="166" w:line="270" w:lineRule="auto"/>
        <w:ind w:left="213" w:right="468" w:hanging="228"/>
        <w:jc w:val="both"/>
      </w:pPr>
      <w:r>
        <w:rPr>
          <w:rFonts w:ascii="Cambria" w:eastAsia="Cambria" w:hAnsi="Cambria" w:cs="Cambria"/>
        </w:rPr>
        <w:t>Kupi</w:t>
      </w:r>
      <w:r>
        <w:rPr>
          <w:rFonts w:ascii="Cambria" w:eastAsia="Cambria" w:hAnsi="Cambria" w:cs="Cambria"/>
        </w:rPr>
        <w:t xml:space="preserve">ec, P. (June 1996). Noise traders, excess volatility, and a securities transaction tax. </w:t>
      </w:r>
      <w:r>
        <w:rPr>
          <w:rFonts w:ascii="Cambria" w:eastAsia="Cambria" w:hAnsi="Cambria" w:cs="Cambria"/>
          <w:i/>
        </w:rPr>
        <w:t>Journal of Financial Services Reseach</w:t>
      </w:r>
      <w:r>
        <w:rPr>
          <w:rFonts w:ascii="Cambria" w:eastAsia="Cambria" w:hAnsi="Cambria" w:cs="Cambria"/>
        </w:rPr>
        <w:t>, 10(2):115–129.</w:t>
      </w:r>
    </w:p>
    <w:p w:rsidR="00EE13F6" w:rsidRDefault="002E5BC4">
      <w:pPr>
        <w:spacing w:after="166" w:line="270" w:lineRule="auto"/>
        <w:ind w:left="213" w:right="468" w:hanging="228"/>
        <w:jc w:val="both"/>
      </w:pPr>
      <w:r>
        <w:rPr>
          <w:rFonts w:ascii="Cambria" w:eastAsia="Cambria" w:hAnsi="Cambria" w:cs="Cambria"/>
        </w:rPr>
        <w:lastRenderedPageBreak/>
        <w:t xml:space="preserve">Leland, H. (1985). Option pricing and replication with transaction costs. </w:t>
      </w:r>
      <w:r>
        <w:rPr>
          <w:rFonts w:ascii="Cambria" w:eastAsia="Cambria" w:hAnsi="Cambria" w:cs="Cambria"/>
          <w:i/>
        </w:rPr>
        <w:t>The Journal of Finance</w:t>
      </w:r>
      <w:r>
        <w:rPr>
          <w:rFonts w:ascii="Cambria" w:eastAsia="Cambria" w:hAnsi="Cambria" w:cs="Cambria"/>
        </w:rPr>
        <w:t>, 40:1283–1301.</w:t>
      </w:r>
    </w:p>
    <w:p w:rsidR="00EE13F6" w:rsidRDefault="002E5BC4">
      <w:pPr>
        <w:spacing w:after="166" w:line="270" w:lineRule="auto"/>
        <w:ind w:left="213" w:right="468" w:hanging="228"/>
        <w:jc w:val="both"/>
      </w:pPr>
      <w:r>
        <w:rPr>
          <w:rFonts w:ascii="Cambria" w:eastAsia="Cambria" w:hAnsi="Cambria" w:cs="Cambria"/>
        </w:rPr>
        <w:t>Le</w:t>
      </w:r>
      <w:r>
        <w:rPr>
          <w:rFonts w:ascii="Cambria" w:eastAsia="Cambria" w:hAnsi="Cambria" w:cs="Cambria"/>
        </w:rPr>
        <w:t xml:space="preserve">ndvai J., Raciborski R., V. L. (2012). Securities transaction taxes: Macroeconomic implications in a general equilibrium model. </w:t>
      </w:r>
      <w:r>
        <w:rPr>
          <w:rFonts w:ascii="Cambria" w:eastAsia="Cambria" w:hAnsi="Cambria" w:cs="Cambria"/>
          <w:i/>
        </w:rPr>
        <w:t>European Economy: Economic Papers</w:t>
      </w:r>
      <w:r>
        <w:rPr>
          <w:rFonts w:ascii="Cambria" w:eastAsia="Cambria" w:hAnsi="Cambria" w:cs="Cambria"/>
        </w:rPr>
        <w:t>, (450).</w:t>
      </w:r>
    </w:p>
    <w:p w:rsidR="00EE13F6" w:rsidRDefault="002E5BC4">
      <w:pPr>
        <w:spacing w:after="197" w:line="270" w:lineRule="auto"/>
        <w:ind w:left="213" w:right="468" w:hanging="228"/>
        <w:jc w:val="both"/>
      </w:pPr>
      <w:r>
        <w:rPr>
          <w:rFonts w:ascii="Cambria" w:eastAsia="Cambria" w:hAnsi="Cambria" w:cs="Cambria"/>
        </w:rPr>
        <w:t>Lo, A. W., Mamaysky, H., and Wang, J. (2004). Asset prices and trading volume under fi</w:t>
      </w:r>
      <w:r>
        <w:rPr>
          <w:rFonts w:ascii="Cambria" w:eastAsia="Cambria" w:hAnsi="Cambria" w:cs="Cambria"/>
        </w:rPr>
        <w:t xml:space="preserve">xed transactions costs. </w:t>
      </w:r>
      <w:r>
        <w:rPr>
          <w:rFonts w:ascii="Cambria" w:eastAsia="Cambria" w:hAnsi="Cambria" w:cs="Cambria"/>
          <w:i/>
        </w:rPr>
        <w:t>Journal of Political Economy</w:t>
      </w:r>
      <w:r>
        <w:rPr>
          <w:rFonts w:ascii="Cambria" w:eastAsia="Cambria" w:hAnsi="Cambria" w:cs="Cambria"/>
        </w:rPr>
        <w:t>, 112(5):1054–1090.</w:t>
      </w:r>
    </w:p>
    <w:p w:rsidR="00EE13F6" w:rsidRDefault="002E5BC4">
      <w:pPr>
        <w:spacing w:after="166" w:line="270" w:lineRule="auto"/>
        <w:ind w:left="213" w:right="468" w:hanging="228"/>
        <w:jc w:val="both"/>
      </w:pPr>
      <w:r>
        <w:rPr>
          <w:rFonts w:ascii="Cambria" w:eastAsia="Cambria" w:hAnsi="Cambria" w:cs="Cambria"/>
        </w:rPr>
        <w:t xml:space="preserve">Matheson, M. T. (2003). </w:t>
      </w:r>
      <w:r>
        <w:rPr>
          <w:rFonts w:ascii="Cambria" w:eastAsia="Cambria" w:hAnsi="Cambria" w:cs="Cambria"/>
          <w:i/>
        </w:rPr>
        <w:t>Taxing financial transactions: Issues and evidence</w:t>
      </w:r>
      <w:r>
        <w:rPr>
          <w:rFonts w:ascii="Cambria" w:eastAsia="Cambria" w:hAnsi="Cambria" w:cs="Cambria"/>
        </w:rPr>
        <w:t>, volume 3, Special Issue. IMF Staff Papers, International Monetary Fund.</w:t>
      </w:r>
    </w:p>
    <w:p w:rsidR="00EE13F6" w:rsidRDefault="002E5BC4">
      <w:pPr>
        <w:spacing w:after="197" w:line="270" w:lineRule="auto"/>
        <w:ind w:left="213" w:right="468" w:hanging="228"/>
        <w:jc w:val="both"/>
      </w:pPr>
      <w:r>
        <w:rPr>
          <w:rFonts w:ascii="Cambria" w:eastAsia="Cambria" w:hAnsi="Cambria" w:cs="Cambria"/>
        </w:rPr>
        <w:t>Modigliani, F. and Miller, M. H. (19</w:t>
      </w:r>
      <w:r>
        <w:rPr>
          <w:rFonts w:ascii="Cambria" w:eastAsia="Cambria" w:hAnsi="Cambria" w:cs="Cambria"/>
        </w:rPr>
        <w:t xml:space="preserve">58). The cost of capital, corporation finance and the theory of investment. </w:t>
      </w:r>
      <w:r>
        <w:rPr>
          <w:rFonts w:ascii="Cambria" w:eastAsia="Cambria" w:hAnsi="Cambria" w:cs="Cambria"/>
          <w:i/>
        </w:rPr>
        <w:t>The American economic review</w:t>
      </w:r>
      <w:r>
        <w:rPr>
          <w:rFonts w:ascii="Cambria" w:eastAsia="Cambria" w:hAnsi="Cambria" w:cs="Cambria"/>
        </w:rPr>
        <w:t>, 48(3):261–297.</w:t>
      </w:r>
    </w:p>
    <w:p w:rsidR="00EE13F6" w:rsidRDefault="002E5BC4">
      <w:pPr>
        <w:spacing w:after="166" w:line="270" w:lineRule="auto"/>
        <w:ind w:left="213" w:right="468" w:hanging="228"/>
        <w:jc w:val="both"/>
      </w:pPr>
      <w:r>
        <w:rPr>
          <w:rFonts w:ascii="Cambria" w:eastAsia="Cambria" w:hAnsi="Cambria" w:cs="Cambria"/>
        </w:rPr>
        <w:t xml:space="preserve">Mulherin, J. H. (1990). Regulation, trading volume and stock market volatility. </w:t>
      </w:r>
      <w:r>
        <w:rPr>
          <w:rFonts w:ascii="Cambria" w:eastAsia="Cambria" w:hAnsi="Cambria" w:cs="Cambria"/>
          <w:i/>
        </w:rPr>
        <w:t>Revue ´economique</w:t>
      </w:r>
      <w:r>
        <w:rPr>
          <w:rFonts w:ascii="Cambria" w:eastAsia="Cambria" w:hAnsi="Cambria" w:cs="Cambria"/>
        </w:rPr>
        <w:t>, pages 923–937.</w:t>
      </w:r>
    </w:p>
    <w:p w:rsidR="00EE13F6" w:rsidRDefault="002E5BC4">
      <w:pPr>
        <w:spacing w:after="166" w:line="270" w:lineRule="auto"/>
        <w:ind w:left="213" w:right="468" w:hanging="228"/>
        <w:jc w:val="both"/>
      </w:pPr>
      <w:r>
        <w:rPr>
          <w:rFonts w:ascii="Cambria" w:eastAsia="Cambria" w:hAnsi="Cambria" w:cs="Cambria"/>
        </w:rPr>
        <w:t>Roll, R. (1989). Pric</w:t>
      </w:r>
      <w:r>
        <w:rPr>
          <w:rFonts w:ascii="Cambria" w:eastAsia="Cambria" w:hAnsi="Cambria" w:cs="Cambria"/>
        </w:rPr>
        <w:t xml:space="preserve">e volatility, international market links, and their implications for regulatory policies. In </w:t>
      </w:r>
      <w:r>
        <w:rPr>
          <w:rFonts w:ascii="Cambria" w:eastAsia="Cambria" w:hAnsi="Cambria" w:cs="Cambria"/>
          <w:i/>
        </w:rPr>
        <w:t>Regulatory Reform of Stock and Futures Markets</w:t>
      </w:r>
      <w:r>
        <w:rPr>
          <w:rFonts w:ascii="Cambria" w:eastAsia="Cambria" w:hAnsi="Cambria" w:cs="Cambria"/>
        </w:rPr>
        <w:t>, pages 113–148. Springer.</w:t>
      </w:r>
    </w:p>
    <w:p w:rsidR="00EE13F6" w:rsidRDefault="002E5BC4">
      <w:pPr>
        <w:spacing w:after="166" w:line="270" w:lineRule="auto"/>
        <w:ind w:left="213" w:right="468" w:hanging="228"/>
        <w:jc w:val="both"/>
      </w:pPr>
      <w:r>
        <w:rPr>
          <w:rFonts w:ascii="Cambria" w:eastAsia="Cambria" w:hAnsi="Cambria" w:cs="Cambria"/>
        </w:rPr>
        <w:t>Saporta, V. and Kan, K. (1997). The effects of stamp duty on the level and volatility of e</w:t>
      </w:r>
      <w:r>
        <w:rPr>
          <w:rFonts w:ascii="Cambria" w:eastAsia="Cambria" w:hAnsi="Cambria" w:cs="Cambria"/>
        </w:rPr>
        <w:t>quity prices.</w:t>
      </w:r>
    </w:p>
    <w:p w:rsidR="00EE13F6" w:rsidRDefault="002E5BC4">
      <w:pPr>
        <w:spacing w:after="197" w:line="270" w:lineRule="auto"/>
        <w:ind w:left="213" w:right="468" w:hanging="228"/>
        <w:jc w:val="both"/>
      </w:pPr>
      <w:r>
        <w:rPr>
          <w:rFonts w:ascii="Cambria" w:eastAsia="Cambria" w:hAnsi="Cambria" w:cs="Cambria"/>
        </w:rPr>
        <w:t xml:space="preserve">Schwert, G. W. and Seguin, P. J. (1993). Securities transaction taxes: an overview of costs, benefits and unresolved questions. </w:t>
      </w:r>
      <w:r>
        <w:rPr>
          <w:rFonts w:ascii="Cambria" w:eastAsia="Cambria" w:hAnsi="Cambria" w:cs="Cambria"/>
          <w:i/>
        </w:rPr>
        <w:t>Financial Analysts Journal</w:t>
      </w:r>
      <w:r>
        <w:rPr>
          <w:rFonts w:ascii="Cambria" w:eastAsia="Cambria" w:hAnsi="Cambria" w:cs="Cambria"/>
        </w:rPr>
        <w:t>, 49(5):27–35.</w:t>
      </w:r>
    </w:p>
    <w:p w:rsidR="00EE13F6" w:rsidRDefault="002E5BC4">
      <w:pPr>
        <w:spacing w:after="189" w:line="270" w:lineRule="auto"/>
        <w:ind w:left="213" w:right="468" w:hanging="228"/>
        <w:jc w:val="both"/>
      </w:pPr>
      <w:r>
        <w:rPr>
          <w:rFonts w:ascii="Cambria" w:eastAsia="Cambria" w:hAnsi="Cambria" w:cs="Cambria"/>
        </w:rPr>
        <w:t>Song, F. M. and Zhang, J. (2005). Securities transaction tax and market v</w:t>
      </w:r>
      <w:r>
        <w:rPr>
          <w:rFonts w:ascii="Cambria" w:eastAsia="Cambria" w:hAnsi="Cambria" w:cs="Cambria"/>
        </w:rPr>
        <w:t xml:space="preserve">olatility. </w:t>
      </w:r>
      <w:r>
        <w:rPr>
          <w:rFonts w:ascii="Cambria" w:eastAsia="Cambria" w:hAnsi="Cambria" w:cs="Cambria"/>
          <w:i/>
        </w:rPr>
        <w:t>The Economic Journal</w:t>
      </w:r>
      <w:r>
        <w:rPr>
          <w:rFonts w:ascii="Cambria" w:eastAsia="Cambria" w:hAnsi="Cambria" w:cs="Cambria"/>
        </w:rPr>
        <w:t>, 115(506):1103–1120.</w:t>
      </w:r>
    </w:p>
    <w:p w:rsidR="00EE13F6" w:rsidRDefault="002E5BC4">
      <w:pPr>
        <w:spacing w:after="166" w:line="270" w:lineRule="auto"/>
        <w:ind w:left="213" w:right="468" w:hanging="228"/>
        <w:jc w:val="both"/>
      </w:pPr>
      <w:r>
        <w:rPr>
          <w:rFonts w:ascii="Cambria" w:eastAsia="Cambria" w:hAnsi="Cambria" w:cs="Cambria"/>
        </w:rPr>
        <w:t xml:space="preserve">Stiglitz, J. E. (1989). Using tax policy to curb speculative short-term trading. </w:t>
      </w:r>
      <w:r>
        <w:rPr>
          <w:rFonts w:ascii="Cambria" w:eastAsia="Cambria" w:hAnsi="Cambria" w:cs="Cambria"/>
          <w:i/>
        </w:rPr>
        <w:t>Journal of financial services research</w:t>
      </w:r>
      <w:r>
        <w:rPr>
          <w:rFonts w:ascii="Cambria" w:eastAsia="Cambria" w:hAnsi="Cambria" w:cs="Cambria"/>
        </w:rPr>
        <w:t>, 3(2-3):101–115.</w:t>
      </w:r>
    </w:p>
    <w:p w:rsidR="00EE13F6" w:rsidRDefault="002E5BC4">
      <w:pPr>
        <w:spacing w:after="197" w:line="270" w:lineRule="auto"/>
        <w:ind w:left="213" w:right="468" w:hanging="228"/>
        <w:jc w:val="both"/>
      </w:pPr>
      <w:r>
        <w:rPr>
          <w:rFonts w:ascii="Cambria" w:eastAsia="Cambria" w:hAnsi="Cambria" w:cs="Cambria"/>
        </w:rPr>
        <w:t>Summers, L. H. and Summers, V. P. (1989). When financial markets w</w:t>
      </w:r>
      <w:r>
        <w:rPr>
          <w:rFonts w:ascii="Cambria" w:eastAsia="Cambria" w:hAnsi="Cambria" w:cs="Cambria"/>
        </w:rPr>
        <w:t xml:space="preserve">ork too well: a cautious case for a securities transactions tax. </w:t>
      </w:r>
      <w:r>
        <w:rPr>
          <w:rFonts w:ascii="Cambria" w:eastAsia="Cambria" w:hAnsi="Cambria" w:cs="Cambria"/>
          <w:i/>
        </w:rPr>
        <w:t>Journal of financial services research</w:t>
      </w:r>
      <w:r>
        <w:rPr>
          <w:rFonts w:ascii="Cambria" w:eastAsia="Cambria" w:hAnsi="Cambria" w:cs="Cambria"/>
        </w:rPr>
        <w:t>, 3(2-3):261–286.</w:t>
      </w:r>
    </w:p>
    <w:p w:rsidR="00EE13F6" w:rsidRDefault="002E5BC4">
      <w:pPr>
        <w:spacing w:after="189" w:line="270" w:lineRule="auto"/>
        <w:ind w:left="213" w:right="468" w:hanging="228"/>
        <w:jc w:val="both"/>
      </w:pPr>
      <w:r>
        <w:rPr>
          <w:rFonts w:ascii="Cambria" w:eastAsia="Cambria" w:hAnsi="Cambria" w:cs="Cambria"/>
        </w:rPr>
        <w:t>Tobin, J. (1978).</w:t>
      </w:r>
      <w:r>
        <w:rPr>
          <w:rFonts w:ascii="Cambria" w:eastAsia="Cambria" w:hAnsi="Cambria" w:cs="Cambria"/>
        </w:rPr>
        <w:tab/>
        <w:t>A proposal for international monetary reform.</w:t>
      </w:r>
      <w:r>
        <w:rPr>
          <w:rFonts w:ascii="Cambria" w:eastAsia="Cambria" w:hAnsi="Cambria" w:cs="Cambria"/>
        </w:rPr>
        <w:tab/>
      </w:r>
      <w:r>
        <w:rPr>
          <w:rFonts w:ascii="Cambria" w:eastAsia="Cambria" w:hAnsi="Cambria" w:cs="Cambria"/>
          <w:i/>
        </w:rPr>
        <w:t>Eastern economic journal</w:t>
      </w:r>
      <w:r>
        <w:rPr>
          <w:rFonts w:ascii="Cambria" w:eastAsia="Cambria" w:hAnsi="Cambria" w:cs="Cambria"/>
        </w:rPr>
        <w:t>, 4(3/4):153–159.</w:t>
      </w:r>
    </w:p>
    <w:p w:rsidR="00EE13F6" w:rsidRDefault="002E5BC4">
      <w:pPr>
        <w:spacing w:after="189" w:line="270" w:lineRule="auto"/>
        <w:ind w:left="213" w:right="468" w:hanging="228"/>
        <w:jc w:val="both"/>
      </w:pPr>
      <w:r>
        <w:rPr>
          <w:rFonts w:ascii="Cambria" w:eastAsia="Cambria" w:hAnsi="Cambria" w:cs="Cambria"/>
        </w:rPr>
        <w:t>Umlauf, S. R. (1993). Transac</w:t>
      </w:r>
      <w:r>
        <w:rPr>
          <w:rFonts w:ascii="Cambria" w:eastAsia="Cambria" w:hAnsi="Cambria" w:cs="Cambria"/>
        </w:rPr>
        <w:t xml:space="preserve">tion taxes and the behavior of the swedish stock market. </w:t>
      </w:r>
      <w:r>
        <w:rPr>
          <w:rFonts w:ascii="Cambria" w:eastAsia="Cambria" w:hAnsi="Cambria" w:cs="Cambria"/>
          <w:i/>
        </w:rPr>
        <w:t>Journal of Financial Economics</w:t>
      </w:r>
      <w:r>
        <w:rPr>
          <w:rFonts w:ascii="Cambria" w:eastAsia="Cambria" w:hAnsi="Cambria" w:cs="Cambria"/>
        </w:rPr>
        <w:t>, 33(2):227–240.</w:t>
      </w:r>
    </w:p>
    <w:p w:rsidR="00EE13F6" w:rsidRDefault="002E5BC4">
      <w:pPr>
        <w:spacing w:after="166" w:line="270" w:lineRule="auto"/>
        <w:ind w:left="213" w:right="468" w:hanging="228"/>
        <w:jc w:val="both"/>
      </w:pPr>
      <w:r>
        <w:rPr>
          <w:rFonts w:ascii="Cambria" w:eastAsia="Cambria" w:hAnsi="Cambria" w:cs="Cambria"/>
        </w:rPr>
        <w:t xml:space="preserve">Westerholm, P. (2003). The impact of transaction costs on turnover, asset prices and volatility: the cases of sweden’s and finland’s security transaction tax reductions. </w:t>
      </w:r>
      <w:r>
        <w:rPr>
          <w:rFonts w:ascii="Cambria" w:eastAsia="Cambria" w:hAnsi="Cambria" w:cs="Cambria"/>
          <w:i/>
        </w:rPr>
        <w:t>Liiketaloudellinen Aikakauskirja</w:t>
      </w:r>
      <w:r>
        <w:rPr>
          <w:rFonts w:ascii="Cambria" w:eastAsia="Cambria" w:hAnsi="Cambria" w:cs="Cambria"/>
        </w:rPr>
        <w:t>, pages 213–241.</w:t>
      </w:r>
    </w:p>
    <w:p w:rsidR="00EE13F6" w:rsidRDefault="002E5BC4">
      <w:pPr>
        <w:spacing w:after="352" w:line="271" w:lineRule="auto"/>
        <w:ind w:left="3418" w:hanging="3367"/>
      </w:pPr>
      <w:r>
        <w:rPr>
          <w:rFonts w:ascii="Cambria" w:eastAsia="Cambria" w:hAnsi="Cambria" w:cs="Cambria"/>
          <w:sz w:val="34"/>
        </w:rPr>
        <w:t xml:space="preserve">Chapter I: The Effect of the EU Financial Transaction Tax on The Implied Volatility </w:t>
      </w:r>
      <w:r>
        <w:rPr>
          <w:rFonts w:ascii="Cambria" w:eastAsia="Cambria" w:hAnsi="Cambria" w:cs="Cambria"/>
          <w:sz w:val="34"/>
          <w:vertAlign w:val="superscript"/>
        </w:rPr>
        <w:t>∗</w:t>
      </w:r>
    </w:p>
    <w:p w:rsidR="00EE13F6" w:rsidRDefault="002E5BC4">
      <w:pPr>
        <w:spacing w:after="15" w:line="265" w:lineRule="auto"/>
        <w:ind w:left="10" w:right="408" w:hanging="10"/>
        <w:jc w:val="center"/>
      </w:pPr>
      <w:r>
        <w:rPr>
          <w:rFonts w:ascii="Cambria" w:eastAsia="Cambria" w:hAnsi="Cambria" w:cs="Cambria"/>
          <w:sz w:val="24"/>
        </w:rPr>
        <w:t>Jean Pierre Fraichot</w:t>
      </w:r>
      <w:r>
        <w:rPr>
          <w:rFonts w:ascii="Cambria" w:eastAsia="Cambria" w:hAnsi="Cambria" w:cs="Cambria"/>
          <w:sz w:val="24"/>
          <w:vertAlign w:val="superscript"/>
        </w:rPr>
        <w:t>†</w:t>
      </w:r>
    </w:p>
    <w:p w:rsidR="00EE13F6" w:rsidRDefault="002E5BC4">
      <w:pPr>
        <w:spacing w:after="351" w:line="262" w:lineRule="auto"/>
        <w:ind w:left="10" w:right="483" w:hanging="10"/>
        <w:jc w:val="center"/>
      </w:pPr>
      <w:r>
        <w:rPr>
          <w:rFonts w:ascii="Cambria" w:eastAsia="Cambria" w:hAnsi="Cambria" w:cs="Cambria"/>
        </w:rPr>
        <w:lastRenderedPageBreak/>
        <w:t>LEDa, U. Paris Dauphine, PSL Research University</w:t>
      </w:r>
    </w:p>
    <w:p w:rsidR="00EE13F6" w:rsidRDefault="002E5BC4">
      <w:pPr>
        <w:spacing w:after="809" w:line="265" w:lineRule="auto"/>
        <w:ind w:left="10" w:right="483" w:hanging="10"/>
        <w:jc w:val="center"/>
      </w:pPr>
      <w:r>
        <w:rPr>
          <w:rFonts w:ascii="Cambria" w:eastAsia="Cambria" w:hAnsi="Cambria" w:cs="Cambria"/>
          <w:sz w:val="24"/>
        </w:rPr>
        <w:t>November 10, 2018</w:t>
      </w:r>
    </w:p>
    <w:p w:rsidR="00EE13F6" w:rsidRDefault="002E5BC4">
      <w:pPr>
        <w:pStyle w:val="Heading2"/>
        <w:spacing w:after="177" w:line="259" w:lineRule="auto"/>
        <w:ind w:left="0" w:right="483" w:firstLine="0"/>
        <w:jc w:val="center"/>
      </w:pPr>
      <w:r>
        <w:rPr>
          <w:sz w:val="20"/>
        </w:rPr>
        <w:t>Abstract</w:t>
      </w:r>
    </w:p>
    <w:p w:rsidR="00EE13F6" w:rsidRDefault="002E5BC4">
      <w:pPr>
        <w:spacing w:after="3" w:line="252" w:lineRule="auto"/>
        <w:ind w:left="530" w:right="1014" w:firstLine="289"/>
        <w:jc w:val="both"/>
      </w:pPr>
      <w:r>
        <w:rPr>
          <w:rFonts w:ascii="Cambria" w:eastAsia="Cambria" w:hAnsi="Cambria" w:cs="Cambria"/>
          <w:sz w:val="20"/>
        </w:rPr>
        <w:t>We use a new approach for assessing the impact of the European Union (EU</w:t>
      </w:r>
      <w:r>
        <w:rPr>
          <w:rFonts w:ascii="Cambria" w:eastAsia="Cambria" w:hAnsi="Cambria" w:cs="Cambria"/>
          <w:sz w:val="20"/>
        </w:rPr>
        <w:t>) Financial Transaction Tax (FTT) on the stock market volatility. We measure the effect of such tax directly from the equity option market implied volatility. We review the existing literature about the market-maker’s behavior in presence of transaction co</w:t>
      </w:r>
      <w:r>
        <w:rPr>
          <w:rFonts w:ascii="Cambria" w:eastAsia="Cambria" w:hAnsi="Cambria" w:cs="Cambria"/>
          <w:sz w:val="20"/>
        </w:rPr>
        <w:t>sts. We complete it and build up a quantitative framework to measure this impact in presence of non constant volatility. After calibration of local volatility, we conduct Monte-Carlo simulations for a sample of five corporate companies and assess the quant</w:t>
      </w:r>
      <w:r>
        <w:rPr>
          <w:rFonts w:ascii="Cambria" w:eastAsia="Cambria" w:hAnsi="Cambria" w:cs="Cambria"/>
          <w:sz w:val="20"/>
        </w:rPr>
        <w:t>itative effect of such tax on the volatility. We then review the possible impact of the equity option market liquidity. We find that, in equity option markets where option buyers are mainly hedgers, and market-makers are structurally short, the FTT will ge</w:t>
      </w:r>
      <w:r>
        <w:rPr>
          <w:rFonts w:ascii="Cambria" w:eastAsia="Cambria" w:hAnsi="Cambria" w:cs="Cambria"/>
          <w:sz w:val="20"/>
        </w:rPr>
        <w:t>nerate a volatility increase. It will increase too the volatility bid-ask. The effect will be maximal in deeply illiquid option markets where a) The market maker in order to facilitate the transaction acts as a principal b) all option positions are carried</w:t>
      </w:r>
      <w:r>
        <w:rPr>
          <w:rFonts w:ascii="Cambria" w:eastAsia="Cambria" w:hAnsi="Cambria" w:cs="Cambria"/>
          <w:sz w:val="20"/>
        </w:rPr>
        <w:t xml:space="preserve"> until their maturity, as they cannot be unwound in the market, by finding opposite interests. In particular, option buyers will face a significant increase of the option prices and the implied volatility. Those results will be used in Chapter II, in the c</w:t>
      </w:r>
      <w:r>
        <w:rPr>
          <w:rFonts w:ascii="Cambria" w:eastAsia="Cambria" w:hAnsi="Cambria" w:cs="Cambria"/>
          <w:sz w:val="20"/>
        </w:rPr>
        <w:t>ase of put option buyers.</w:t>
      </w:r>
    </w:p>
    <w:p w:rsidR="00EE13F6" w:rsidRDefault="002E5BC4">
      <w:pPr>
        <w:spacing w:after="3" w:line="252" w:lineRule="auto"/>
        <w:ind w:left="530" w:right="1014" w:firstLine="289"/>
        <w:jc w:val="both"/>
      </w:pPr>
      <w:r>
        <w:rPr>
          <w:rFonts w:ascii="Cambria" w:eastAsia="Cambria" w:hAnsi="Cambria" w:cs="Cambria"/>
          <w:sz w:val="20"/>
        </w:rPr>
        <w:t>For liquid option markets, we study a theoretical option market fulfilling several conditions on existing liquidity prevailing before the introduction of the FTT. We consider that on this market, risk adverse market-makers compete</w:t>
      </w:r>
      <w:r>
        <w:rPr>
          <w:rFonts w:ascii="Cambria" w:eastAsia="Cambria" w:hAnsi="Cambria" w:cs="Cambria"/>
          <w:sz w:val="20"/>
        </w:rPr>
        <w:t xml:space="preserve"> with risk neutral agents acting as informed traders, and derive a constraint on the risk aversion coefficient in their utility function. We assume that the market of the underlying cash equity and Single Stock Futures allows for limit orders. We try to es</w:t>
      </w:r>
      <w:r>
        <w:rPr>
          <w:rFonts w:ascii="Cambria" w:eastAsia="Cambria" w:hAnsi="Cambria" w:cs="Cambria"/>
          <w:sz w:val="20"/>
        </w:rPr>
        <w:t>timate the impact of the FTT on respectively the option mid-price and the bid-ask spread.</w:t>
      </w:r>
    </w:p>
    <w:p w:rsidR="00EE13F6" w:rsidRDefault="002E5BC4">
      <w:pPr>
        <w:spacing w:after="3" w:line="252" w:lineRule="auto"/>
        <w:ind w:left="530" w:right="1014" w:firstLine="289"/>
        <w:jc w:val="both"/>
      </w:pPr>
      <w:r>
        <w:rPr>
          <w:rFonts w:ascii="Cambria" w:eastAsia="Cambria" w:hAnsi="Cambria" w:cs="Cambria"/>
          <w:sz w:val="20"/>
        </w:rPr>
        <w:t>The impact on the option mid-price is solely related to the additional hedging costs that the FTT will generate on the rebalancing of the hedging portfolio. This effe</w:t>
      </w:r>
      <w:r>
        <w:rPr>
          <w:rFonts w:ascii="Cambria" w:eastAsia="Cambria" w:hAnsi="Cambria" w:cs="Cambria"/>
          <w:sz w:val="20"/>
        </w:rPr>
        <w:t>ct is due to the asymmetry between option buyers and option sellers, and the fact that option buyers benefit of a convexity effect explained by the positive value of their Gamma’s position.</w:t>
      </w:r>
    </w:p>
    <w:p w:rsidR="00EE13F6" w:rsidRDefault="002E5BC4">
      <w:pPr>
        <w:spacing w:after="3" w:line="252" w:lineRule="auto"/>
        <w:ind w:left="530" w:right="1014" w:firstLine="289"/>
        <w:jc w:val="both"/>
      </w:pPr>
      <w:r>
        <w:rPr>
          <w:rFonts w:ascii="Cambria" w:eastAsia="Cambria" w:hAnsi="Cambria" w:cs="Cambria"/>
          <w:sz w:val="20"/>
        </w:rPr>
        <w:t>The impact on the bid-ask spread depends upon both the hedging cos</w:t>
      </w:r>
      <w:r>
        <w:rPr>
          <w:rFonts w:ascii="Cambria" w:eastAsia="Cambria" w:hAnsi="Cambria" w:cs="Cambria"/>
          <w:sz w:val="20"/>
        </w:rPr>
        <w:t>ts (factor 1) and the FTT reduced rate of 0.01 percent (factor 2) which is levied on the notional value of the option contracts.</w:t>
      </w:r>
    </w:p>
    <w:p w:rsidR="00EE13F6" w:rsidRDefault="002E5BC4">
      <w:pPr>
        <w:spacing w:after="3" w:line="252" w:lineRule="auto"/>
        <w:ind w:left="530" w:right="1014" w:firstLine="289"/>
        <w:jc w:val="both"/>
      </w:pPr>
      <w:r>
        <w:rPr>
          <w:rFonts w:ascii="Cambria" w:eastAsia="Cambria" w:hAnsi="Cambria" w:cs="Cambria"/>
          <w:sz w:val="20"/>
        </w:rPr>
        <w:t>We find that if the option market-depth is sufficient, such that the time horizon of the market-maker is one trading day, the r</w:t>
      </w:r>
      <w:r>
        <w:rPr>
          <w:rFonts w:ascii="Cambria" w:eastAsia="Cambria" w:hAnsi="Cambria" w:cs="Cambria"/>
          <w:sz w:val="20"/>
        </w:rPr>
        <w:t>eal impact of the FTT related additional hedging costs</w:t>
      </w:r>
    </w:p>
    <w:p w:rsidR="00EE13F6" w:rsidRDefault="002E5BC4">
      <w:pPr>
        <w:spacing w:after="43"/>
      </w:pPr>
      <w:r>
        <w:rPr>
          <w:noProof/>
        </w:rPr>
        <mc:AlternateContent>
          <mc:Choice Requires="wpg">
            <w:drawing>
              <wp:inline distT="0" distB="0" distL="0" distR="0">
                <wp:extent cx="2377402" cy="5055"/>
                <wp:effectExtent l="0" t="0" r="0" b="0"/>
                <wp:docPr id="157355" name="Group 157355"/>
                <wp:cNvGraphicFramePr/>
                <a:graphic xmlns:a="http://schemas.openxmlformats.org/drawingml/2006/main">
                  <a:graphicData uri="http://schemas.microsoft.com/office/word/2010/wordprocessingGroup">
                    <wpg:wgp>
                      <wpg:cNvGrpSpPr/>
                      <wpg:grpSpPr>
                        <a:xfrm>
                          <a:off x="0" y="0"/>
                          <a:ext cx="2377402" cy="5055"/>
                          <a:chOff x="0" y="0"/>
                          <a:chExt cx="2377402" cy="5055"/>
                        </a:xfrm>
                      </wpg:grpSpPr>
                      <wps:wsp>
                        <wps:cNvPr id="4395" name="Shape 4395"/>
                        <wps:cNvSpPr/>
                        <wps:spPr>
                          <a:xfrm>
                            <a:off x="0" y="0"/>
                            <a:ext cx="2377402" cy="0"/>
                          </a:xfrm>
                          <a:custGeom>
                            <a:avLst/>
                            <a:gdLst/>
                            <a:ahLst/>
                            <a:cxnLst/>
                            <a:rect l="0" t="0" r="0" b="0"/>
                            <a:pathLst>
                              <a:path w="2377402">
                                <a:moveTo>
                                  <a:pt x="0" y="0"/>
                                </a:moveTo>
                                <a:lnTo>
                                  <a:pt x="237740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328DC4" id="Group 157355" o:spid="_x0000_s1026" style="width:187.2pt;height:.4pt;mso-position-horizontal-relative:char;mso-position-vertical-relative:line" coordsize="237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">
                <v:shape id="Shape 4395" o:spid="_x0000_s1027" style="position:absolute;width:23774;height:0;visibility:visible;mso-wrap-style:square;v-text-anchor:top" coordsize="2377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l1cgA&#10;AADdAAAADwAAAGRycy9kb3ducmV2LnhtbESPQWsCMRSE74X+h/AKvYhmbavoahQtCKWoUBVLb8/N&#10;283i5mXZpLr996ZQ6HGYmW+Y6by1lbhQ40vHCvq9BARx5nTJhYLDftUdgfABWWPlmBT8kIf57P5u&#10;iql2V/6gyy4UIkLYp6jAhFCnUvrMkEXfczVx9HLXWAxRNoXUDV4j3FbyKUmG0mLJccFgTa+GsvPu&#10;2yo4b4/veT5aLs1pvcGvtu50ss+tUo8P7WICIlAb/sN/7Tet4OV5PIDfN/EJ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9OXVyAAAAN0AAAAPAAAAAAAAAAAAAAAAAJgCAABk&#10;cnMvZG93bnJldi54bWxQSwUGAAAAAAQABAD1AAAAjQMAAAAA&#10;" path="m,l2377402,e" filled="f" strokeweight=".14042mm">
                  <v:stroke miterlimit="83231f" joinstyle="miter"/>
                  <v:path arrowok="t" textboxrect="0,0,2377402,0"/>
                </v:shape>
                <w10:anchorlock/>
              </v:group>
            </w:pict>
          </mc:Fallback>
        </mc:AlternateContent>
      </w:r>
    </w:p>
    <w:p w:rsidR="00EE13F6" w:rsidRDefault="002E5BC4">
      <w:pPr>
        <w:spacing w:after="0"/>
        <w:ind w:left="248" w:hanging="10"/>
      </w:pPr>
      <w:r>
        <w:rPr>
          <w:rFonts w:ascii="Cambria" w:eastAsia="Cambria" w:hAnsi="Cambria" w:cs="Cambria"/>
          <w:sz w:val="12"/>
        </w:rPr>
        <w:t>∗</w:t>
      </w:r>
    </w:p>
    <w:p w:rsidR="00EE13F6" w:rsidRDefault="002E5BC4">
      <w:pPr>
        <w:spacing w:after="5" w:line="254" w:lineRule="auto"/>
        <w:ind w:left="-15" w:right="262" w:firstLine="332"/>
      </w:pPr>
      <w:r>
        <w:rPr>
          <w:rFonts w:ascii="Cambria" w:eastAsia="Cambria" w:hAnsi="Cambria" w:cs="Cambria"/>
          <w:sz w:val="18"/>
        </w:rPr>
        <w:t>I thank Martine Carr´e-Tallon, Ren´e A¨ıd and participants to Doctorants Workshop (Paris Dauphine, June 2016) for useful comments.</w:t>
      </w:r>
    </w:p>
    <w:p w:rsidR="00EE13F6" w:rsidRDefault="002E5BC4">
      <w:pPr>
        <w:spacing w:after="0"/>
        <w:ind w:left="248" w:hanging="10"/>
      </w:pPr>
      <w:r>
        <w:rPr>
          <w:rFonts w:ascii="Cambria" w:eastAsia="Cambria" w:hAnsi="Cambria" w:cs="Cambria"/>
          <w:sz w:val="12"/>
        </w:rPr>
        <w:t>†</w:t>
      </w:r>
    </w:p>
    <w:p w:rsidR="00EE13F6" w:rsidRDefault="002E5BC4">
      <w:pPr>
        <w:spacing w:after="18"/>
        <w:ind w:right="483"/>
        <w:jc w:val="right"/>
      </w:pPr>
      <w:r>
        <w:rPr>
          <w:rFonts w:ascii="Cambria" w:eastAsia="Cambria" w:hAnsi="Cambria" w:cs="Cambria"/>
          <w:sz w:val="18"/>
        </w:rPr>
        <w:t>Address: Universit´e Paris-Dauphine, PSL Research University, LEDa, Place du Mar´echal de Lattre de Tassigny,</w:t>
      </w:r>
    </w:p>
    <w:p w:rsidR="00EE13F6" w:rsidRDefault="002E5BC4">
      <w:pPr>
        <w:spacing w:after="5" w:line="254" w:lineRule="auto"/>
        <w:ind w:left="-5" w:right="262" w:hanging="10"/>
      </w:pPr>
      <w:r>
        <w:rPr>
          <w:rFonts w:ascii="Cambria" w:eastAsia="Cambria" w:hAnsi="Cambria" w:cs="Cambria"/>
          <w:sz w:val="18"/>
        </w:rPr>
        <w:t xml:space="preserve">75775 Paris Cedex 16, France. E-mail: </w:t>
      </w:r>
      <w:r>
        <w:rPr>
          <w:sz w:val="18"/>
        </w:rPr>
        <w:t>fraichot@yahoo.com</w:t>
      </w:r>
    </w:p>
    <w:p w:rsidR="00EE13F6" w:rsidRDefault="002E5BC4">
      <w:pPr>
        <w:spacing w:after="3" w:line="252" w:lineRule="auto"/>
        <w:ind w:left="530" w:right="1014"/>
        <w:jc w:val="both"/>
      </w:pPr>
      <w:r>
        <w:rPr>
          <w:rFonts w:ascii="Cambria" w:eastAsia="Cambria" w:hAnsi="Cambria" w:cs="Cambria"/>
          <w:sz w:val="20"/>
        </w:rPr>
        <w:t>(factor 1) on the market-maker ’s mid price of the option will be a fraction of 1 bp of t</w:t>
      </w:r>
      <w:r>
        <w:rPr>
          <w:rFonts w:ascii="Cambria" w:eastAsia="Cambria" w:hAnsi="Cambria" w:cs="Cambria"/>
          <w:sz w:val="20"/>
        </w:rPr>
        <w:t>he notional value. This will happen for option contracts on Futures or for cash equity options which can be hedged with Single Stock Futures or Delta-One products. By inversion of the Black-Scholes formula, the magnitude of the impact will be beyond the se</w:t>
      </w:r>
      <w:r>
        <w:rPr>
          <w:rFonts w:ascii="Cambria" w:eastAsia="Cambria" w:hAnsi="Cambria" w:cs="Cambria"/>
          <w:sz w:val="20"/>
        </w:rPr>
        <w:t>cond decimal in terms of implied volatility. For cash equity options hedged with cash equities, it will be slightly more, but the magnitude will still be comparable to the tick size for such options.</w:t>
      </w:r>
    </w:p>
    <w:p w:rsidR="00EE13F6" w:rsidRDefault="002E5BC4">
      <w:pPr>
        <w:spacing w:after="3" w:line="252" w:lineRule="auto"/>
        <w:ind w:left="530" w:right="1014" w:firstLine="289"/>
        <w:jc w:val="both"/>
      </w:pPr>
      <w:r>
        <w:rPr>
          <w:rFonts w:ascii="Cambria" w:eastAsia="Cambria" w:hAnsi="Cambria" w:cs="Cambria"/>
          <w:sz w:val="20"/>
        </w:rPr>
        <w:lastRenderedPageBreak/>
        <w:t>This results imply that, for such markets, we can expect</w:t>
      </w:r>
      <w:r>
        <w:rPr>
          <w:rFonts w:ascii="Cambria" w:eastAsia="Cambria" w:hAnsi="Cambria" w:cs="Cambria"/>
          <w:sz w:val="20"/>
        </w:rPr>
        <w:t xml:space="preserve"> no significant impact on the implied volatility. Even more, it is possible that market-makers tend to absorb this increase when it is within one tick of quotation.</w:t>
      </w:r>
    </w:p>
    <w:p w:rsidR="00EE13F6" w:rsidRDefault="002E5BC4">
      <w:pPr>
        <w:spacing w:after="3" w:line="252" w:lineRule="auto"/>
        <w:ind w:left="530" w:right="1014" w:firstLine="289"/>
        <w:jc w:val="both"/>
      </w:pPr>
      <w:r>
        <w:rPr>
          <w:rFonts w:ascii="Cambria" w:eastAsia="Cambria" w:hAnsi="Cambria" w:cs="Cambria"/>
          <w:sz w:val="20"/>
        </w:rPr>
        <w:t>Going further and relaxing the conditions under which the transaction cost impact of the FT</w:t>
      </w:r>
      <w:r>
        <w:rPr>
          <w:rFonts w:ascii="Cambria" w:eastAsia="Cambria" w:hAnsi="Cambria" w:cs="Cambria"/>
          <w:sz w:val="20"/>
        </w:rPr>
        <w:t xml:space="preserve">T would be within 1 b.p, we found that the option market liquidity will command the magnitude of the impact on the volatility mi-price. Results suggest an inverse relationship between the impact of the FTT and the option market liquidity prevailing at the </w:t>
      </w:r>
      <w:r>
        <w:rPr>
          <w:rFonts w:ascii="Cambria" w:eastAsia="Cambria" w:hAnsi="Cambria" w:cs="Cambria"/>
          <w:sz w:val="20"/>
        </w:rPr>
        <w:t>time the FTT is introduced</w:t>
      </w:r>
    </w:p>
    <w:p w:rsidR="00EE13F6" w:rsidRDefault="002E5BC4">
      <w:pPr>
        <w:spacing w:after="3" w:line="252" w:lineRule="auto"/>
        <w:ind w:left="530" w:right="1014" w:firstLine="289"/>
        <w:jc w:val="both"/>
      </w:pPr>
      <w:r>
        <w:rPr>
          <w:rFonts w:ascii="Cambria" w:eastAsia="Cambria" w:hAnsi="Cambria" w:cs="Cambria"/>
          <w:sz w:val="20"/>
        </w:rPr>
        <w:t>We further examine the impact of the FTT on the liquidity of option markets. We find that the FTT impact of the hedging costs (factor 1) linked to the rebalancing of the portfolio, on the bid-ask spread is insignificant for optio</w:t>
      </w:r>
      <w:r>
        <w:rPr>
          <w:rFonts w:ascii="Cambria" w:eastAsia="Cambria" w:hAnsi="Cambria" w:cs="Cambria"/>
          <w:sz w:val="20"/>
        </w:rPr>
        <w:t>ns on Futures, or cash equities which can be hedged with Single Stock Futures or Futures. For options hedged with cash equities, the impact (factor 1) is about a few basis points for options whose maturities is less than 3 months, and within one tick for o</w:t>
      </w:r>
      <w:r>
        <w:rPr>
          <w:rFonts w:ascii="Cambria" w:eastAsia="Cambria" w:hAnsi="Cambria" w:cs="Cambria"/>
          <w:sz w:val="20"/>
        </w:rPr>
        <w:t>ptions whose maturity is beyond 3 months.</w:t>
      </w:r>
    </w:p>
    <w:p w:rsidR="00EE13F6" w:rsidRDefault="002E5BC4">
      <w:pPr>
        <w:spacing w:after="3" w:line="252" w:lineRule="auto"/>
        <w:ind w:left="530" w:right="1014" w:firstLine="289"/>
        <w:jc w:val="both"/>
      </w:pPr>
      <w:r>
        <w:rPr>
          <w:rFonts w:ascii="Cambria" w:eastAsia="Cambria" w:hAnsi="Cambria" w:cs="Cambria"/>
          <w:sz w:val="20"/>
        </w:rPr>
        <w:t>We assume that the volume of transactions on the most liquid equity option and derivatives markets should increase significantly because of the distortion between the taxation of cash and derivatives instruments, built in the FTT provisions. Such distortio</w:t>
      </w:r>
      <w:r>
        <w:rPr>
          <w:rFonts w:ascii="Cambria" w:eastAsia="Cambria" w:hAnsi="Cambria" w:cs="Cambria"/>
          <w:sz w:val="20"/>
        </w:rPr>
        <w:t>n should benefit to delta one products, such as synthetic securities, single stock futures, equity swaps and CFDs. All trading agents, not interested into the physical ownership of the cash equity share should cluster as Delta one derivatives users.</w:t>
      </w:r>
    </w:p>
    <w:p w:rsidR="00EE13F6" w:rsidRDefault="002E5BC4">
      <w:pPr>
        <w:spacing w:after="3" w:line="252" w:lineRule="auto"/>
        <w:ind w:left="530" w:right="1014" w:firstLine="289"/>
        <w:jc w:val="both"/>
      </w:pPr>
      <w:r>
        <w:rPr>
          <w:rFonts w:ascii="Cambria" w:eastAsia="Cambria" w:hAnsi="Cambria" w:cs="Cambria"/>
          <w:sz w:val="20"/>
        </w:rPr>
        <w:t>Conseq</w:t>
      </w:r>
      <w:r>
        <w:rPr>
          <w:rFonts w:ascii="Cambria" w:eastAsia="Cambria" w:hAnsi="Cambria" w:cs="Cambria"/>
          <w:sz w:val="20"/>
        </w:rPr>
        <w:t>uently, the liquidity of the already most liquid option markets, as well as other Delta one products should improve as the volume traded will increase. The markets will tend to record a very significant development of such products. This should in turn all</w:t>
      </w:r>
      <w:r>
        <w:rPr>
          <w:rFonts w:ascii="Cambria" w:eastAsia="Cambria" w:hAnsi="Cambria" w:cs="Cambria"/>
          <w:sz w:val="20"/>
        </w:rPr>
        <w:t>ow the hedging of cash equities with Single Stock Futures and lead to an impact on the bid-ask spread within one tick of quotation. Finally, the expansion of the option market liquidity should help the option market-maker to reduce its time horizon and fur</w:t>
      </w:r>
      <w:r>
        <w:rPr>
          <w:rFonts w:ascii="Cambria" w:eastAsia="Cambria" w:hAnsi="Cambria" w:cs="Cambria"/>
          <w:sz w:val="20"/>
        </w:rPr>
        <w:t>ther decrease the bid-ask spread (factor 1).</w:t>
      </w:r>
    </w:p>
    <w:p w:rsidR="00EE13F6" w:rsidRDefault="002E5BC4">
      <w:pPr>
        <w:spacing w:after="301" w:line="252" w:lineRule="auto"/>
        <w:ind w:left="530" w:right="1014" w:firstLine="289"/>
        <w:jc w:val="both"/>
      </w:pPr>
      <w:r>
        <w:rPr>
          <w:rFonts w:ascii="Cambria" w:eastAsia="Cambria" w:hAnsi="Cambria" w:cs="Cambria"/>
          <w:sz w:val="20"/>
        </w:rPr>
        <w:t>On the FTT added bid-ask spread (factor 2) the numerical initial impact of 2 b.p of the notional value for synthetic stocks and other Delta-one derivatives, should be offset partially by a flight to derivatives,</w:t>
      </w:r>
      <w:r>
        <w:rPr>
          <w:rFonts w:ascii="Cambria" w:eastAsia="Cambria" w:hAnsi="Cambria" w:cs="Cambria"/>
          <w:sz w:val="20"/>
        </w:rPr>
        <w:t xml:space="preserve"> improving the liquidity, the traditional reaction of monopolistic competitive markets to the introduction of excise taxes, and improvements in the management of marketmaking business.</w:t>
      </w:r>
    </w:p>
    <w:p w:rsidR="00EE13F6" w:rsidRDefault="002E5BC4">
      <w:pPr>
        <w:spacing w:after="3" w:line="252" w:lineRule="auto"/>
        <w:ind w:left="530" w:right="1014"/>
        <w:jc w:val="both"/>
      </w:pPr>
      <w:r>
        <w:rPr>
          <w:rFonts w:ascii="Cambria" w:eastAsia="Cambria" w:hAnsi="Cambria" w:cs="Cambria"/>
          <w:b/>
          <w:sz w:val="20"/>
        </w:rPr>
        <w:t xml:space="preserve">Keywords: </w:t>
      </w:r>
      <w:r>
        <w:rPr>
          <w:rFonts w:ascii="Cambria" w:eastAsia="Cambria" w:hAnsi="Cambria" w:cs="Cambria"/>
          <w:sz w:val="20"/>
        </w:rPr>
        <w:t>Tax reform, options, volatility, liquidity, credit spread</w:t>
      </w:r>
    </w:p>
    <w:p w:rsidR="00EE13F6" w:rsidRDefault="002E5BC4">
      <w:pPr>
        <w:spacing w:after="0"/>
        <w:ind w:left="545"/>
      </w:pPr>
      <w:r>
        <w:rPr>
          <w:rFonts w:ascii="Cambria" w:eastAsia="Cambria" w:hAnsi="Cambria" w:cs="Cambria"/>
          <w:b/>
          <w:sz w:val="20"/>
        </w:rPr>
        <w:t>JEL</w:t>
      </w:r>
      <w:r>
        <w:rPr>
          <w:rFonts w:ascii="Cambria" w:eastAsia="Cambria" w:hAnsi="Cambria" w:cs="Cambria"/>
          <w:b/>
          <w:sz w:val="20"/>
        </w:rPr>
        <w:t xml:space="preserve"> Classifications: G02,G11,G12,H22,H39</w:t>
      </w:r>
    </w:p>
    <w:p w:rsidR="00EE13F6" w:rsidRDefault="002E5BC4">
      <w:pPr>
        <w:pStyle w:val="Heading1"/>
        <w:ind w:left="-15" w:right="142" w:firstLine="0"/>
      </w:pPr>
      <w:r>
        <w:t>Introduction</w:t>
      </w:r>
    </w:p>
    <w:p w:rsidR="00EE13F6" w:rsidRDefault="002E5BC4">
      <w:pPr>
        <w:spacing w:after="133" w:line="264" w:lineRule="auto"/>
        <w:ind w:left="19" w:right="477" w:hanging="10"/>
        <w:jc w:val="both"/>
      </w:pPr>
      <w:r>
        <w:rPr>
          <w:rFonts w:ascii="Cambria" w:eastAsia="Cambria" w:hAnsi="Cambria" w:cs="Cambria"/>
        </w:rPr>
        <w:t>In 1972, the Bretton-Woods agreement was terminated. As a consequence, the convertibility of the US dollar currency into gold, as well as the pegging of world currencies to the Dollar, came to an end. Following this decision, foreign currencies were allowe</w:t>
      </w:r>
      <w:r>
        <w:rPr>
          <w:rFonts w:ascii="Cambria" w:eastAsia="Cambria" w:hAnsi="Cambria" w:cs="Cambria"/>
        </w:rPr>
        <w:t>d to float freely one against an other, creating for the first time in history, volatility on the foreign exchange markets. Observing what was deemed at the time ”excessive speculation”, James Tobin introduced the concept of a Tax on foreign exchange trans</w:t>
      </w:r>
      <w:r>
        <w:rPr>
          <w:rFonts w:ascii="Cambria" w:eastAsia="Cambria" w:hAnsi="Cambria" w:cs="Cambria"/>
        </w:rPr>
        <w:t>actions to curb excessive speculation on Foreign Exchange markets (Tobin, 1978). The idea behind the proposal of such tax was that a transaction tax may reduce speculative trading and excess market volatility. This idea was not new, as this concept was ini</w:t>
      </w:r>
      <w:r>
        <w:rPr>
          <w:rFonts w:ascii="Cambria" w:eastAsia="Cambria" w:hAnsi="Cambria" w:cs="Cambria"/>
        </w:rPr>
        <w:t xml:space="preserve">tially introduced on the securities markets by Keynes (1936), who proposed a securities transaction tax during the Great Depression. Stiglitz (1989), then reconsidered the concept of a tax on securities transactions in order to curb excessive speculation. </w:t>
      </w:r>
      <w:r>
        <w:rPr>
          <w:rFonts w:ascii="Cambria" w:eastAsia="Cambria" w:hAnsi="Cambria" w:cs="Cambria"/>
        </w:rPr>
        <w:t>He advocated that a reasonable standard transaction excise tax (STET) levied on all securities transactions was preferable to a capital gain tax. His argument was that such tax while curbing the activity of noise traders, should not discourage arbitrageurs</w:t>
      </w:r>
      <w:r>
        <w:rPr>
          <w:rFonts w:ascii="Cambria" w:eastAsia="Cambria" w:hAnsi="Cambria" w:cs="Cambria"/>
        </w:rPr>
        <w:t xml:space="preserve"> and long term investors, which are useful to the economy. The promoters of both the Tobin tax and the STET were assuming, when proposing such tax, a positive relationship between shortterm speculation and </w:t>
      </w:r>
      <w:r>
        <w:rPr>
          <w:rFonts w:ascii="Cambria" w:eastAsia="Cambria" w:hAnsi="Cambria" w:cs="Cambria"/>
        </w:rPr>
        <w:lastRenderedPageBreak/>
        <w:t>excess market volatility. They considered a catego</w:t>
      </w:r>
      <w:r>
        <w:rPr>
          <w:rFonts w:ascii="Cambria" w:eastAsia="Cambria" w:hAnsi="Cambria" w:cs="Cambria"/>
        </w:rPr>
        <w:t>rization of the market participants into two distinct groups. Long term investors are attracted by the potential changes in the values of corporate firms. They do no trade frequently and are not responsible for shortterm market moves. Conversely, short run</w:t>
      </w:r>
      <w:r>
        <w:rPr>
          <w:rFonts w:ascii="Cambria" w:eastAsia="Cambria" w:hAnsi="Cambria" w:cs="Cambria"/>
        </w:rPr>
        <w:t xml:space="preserve"> traders or ”noise traders” aim to benefit from short run market move or changes in the trend of the market. The volumes of transactions initiated by such economic agents is in general largely superior to the volumes generated by long term investors. Thus,</w:t>
      </w:r>
      <w:r>
        <w:rPr>
          <w:rFonts w:ascii="Cambria" w:eastAsia="Cambria" w:hAnsi="Cambria" w:cs="Cambria"/>
        </w:rPr>
        <w:t xml:space="preserve"> their behavior is likely to be the cause of excess market volatility. Consequently, the market structure appears essential to explain the impact of a transaction Tax on market volatility. This is why, in the literature, various studies have focused on the</w:t>
      </w:r>
      <w:r>
        <w:rPr>
          <w:rFonts w:ascii="Cambria" w:eastAsia="Cambria" w:hAnsi="Cambria" w:cs="Cambria"/>
        </w:rPr>
        <w:t xml:space="preserve"> respective importance of agents such as long term investors, speculators or noise traders as well as the agents providing liquidity to the market (”the market-makers”) to assess the final impact of such transaction tax.</w:t>
      </w:r>
    </w:p>
    <w:p w:rsidR="00EE13F6" w:rsidRDefault="002E5BC4">
      <w:pPr>
        <w:spacing w:after="133" w:line="264" w:lineRule="auto"/>
        <w:ind w:left="19" w:right="477" w:hanging="10"/>
        <w:jc w:val="both"/>
      </w:pPr>
      <w:r>
        <w:rPr>
          <w:rFonts w:ascii="Cambria" w:eastAsia="Cambria" w:hAnsi="Cambria" w:cs="Cambria"/>
        </w:rPr>
        <w:t>Following the financial crisis of 2</w:t>
      </w:r>
      <w:r>
        <w:rPr>
          <w:rFonts w:ascii="Cambria" w:eastAsia="Cambria" w:hAnsi="Cambria" w:cs="Cambria"/>
        </w:rPr>
        <w:t>007-2008, financial regulations has been overhauled and reviewed in order to avoid the repetition in the future of such scenario. Economic policies have naturally turned towards the idea of imposing financial transaction taxes (FTTs), in the vein of what w</w:t>
      </w:r>
      <w:r>
        <w:rPr>
          <w:rFonts w:ascii="Cambria" w:eastAsia="Cambria" w:hAnsi="Cambria" w:cs="Cambria"/>
        </w:rPr>
        <w:t>as proposed by Keynes, Tobin and Stiglitz. For instance, in the USA, the Obama administration proposed in the 2012 federal budget to levy a 0.02 percent of the notional of each future transaction to be paid by each party of the transaction. In Europe, Fran</w:t>
      </w:r>
      <w:r>
        <w:rPr>
          <w:rFonts w:ascii="Cambria" w:eastAsia="Cambria" w:hAnsi="Cambria" w:cs="Cambria"/>
        </w:rPr>
        <w:t>ce and Italy did implement a FTT at the respective rates of 0.3 percent and 0.2 percent applied only to the values of overnight cash transactions on equities, and charged only to non financial institutions. The European Union (EU) has also considered vario</w:t>
      </w:r>
      <w:r>
        <w:rPr>
          <w:rFonts w:ascii="Cambria" w:eastAsia="Cambria" w:hAnsi="Cambria" w:cs="Cambria"/>
        </w:rPr>
        <w:t>us FTT projects. A first proposal for a bank transaction tax was rejected by the EU in 2010. This was followed in 2011, by a new proposal for a new tax plan based upon a Tobin tax for foreign exchange and a specific FTT for securities. The new taxation sch</w:t>
      </w:r>
      <w:r>
        <w:rPr>
          <w:rFonts w:ascii="Cambria" w:eastAsia="Cambria" w:hAnsi="Cambria" w:cs="Cambria"/>
        </w:rPr>
        <w:t>eme was supposed to take effect in 2014, and had the backing of France, Germany, Italy and the Netherlands. It was firmly opposed by the United Kingdom. Since then, this project is still in discussion.</w:t>
      </w:r>
    </w:p>
    <w:p w:rsidR="00EE13F6" w:rsidRDefault="002E5BC4">
      <w:pPr>
        <w:spacing w:after="133" w:line="264" w:lineRule="auto"/>
        <w:ind w:left="19" w:right="477" w:hanging="10"/>
        <w:jc w:val="both"/>
      </w:pPr>
      <w:r>
        <w:rPr>
          <w:rFonts w:ascii="Cambria" w:eastAsia="Cambria" w:hAnsi="Cambria" w:cs="Cambria"/>
        </w:rPr>
        <w:t>The purpose of the dissertation is the study of the co</w:t>
      </w:r>
      <w:r>
        <w:rPr>
          <w:rFonts w:ascii="Cambria" w:eastAsia="Cambria" w:hAnsi="Cambria" w:cs="Cambria"/>
        </w:rPr>
        <w:t>nsequences of the proposed taxation of financial transactions by the European Union, in its current form. This plan would create a tax that would be a hybrid between the classic Tobin tax on foreign exchange markets and the concept of ”Standard Transaction</w:t>
      </w:r>
      <w:r>
        <w:rPr>
          <w:rFonts w:ascii="Cambria" w:eastAsia="Cambria" w:hAnsi="Cambria" w:cs="Cambria"/>
        </w:rPr>
        <w:t xml:space="preserve"> Excise Tax” (STET) introduced by Stiglitz and Summers and Summers (1989), based upon an original idea by Keynes, and concerning the securities market. This new European STET consists in taxing financial transactions concluded within the European Union, or</w:t>
      </w:r>
      <w:r>
        <w:rPr>
          <w:rFonts w:ascii="Cambria" w:eastAsia="Cambria" w:hAnsi="Cambria" w:cs="Cambria"/>
        </w:rPr>
        <w:t xml:space="preserve"> by financial institutions domiciled within the Union. The respective rates of this tax would range from .1 percent and .01 percent for cash and derivative instruments, and would be charged to each party of the transaction. The basis of the tax would be th</w:t>
      </w:r>
      <w:r>
        <w:rPr>
          <w:rFonts w:ascii="Cambria" w:eastAsia="Cambria" w:hAnsi="Cambria" w:cs="Cambria"/>
        </w:rPr>
        <w:t>e notional value of the contracts. As the subject is extremely vast, we limit ourselves to the study of stock and bonds markets.</w:t>
      </w:r>
    </w:p>
    <w:p w:rsidR="00EE13F6" w:rsidRDefault="002E5BC4">
      <w:pPr>
        <w:spacing w:after="133" w:line="264" w:lineRule="auto"/>
        <w:ind w:left="19" w:right="477" w:hanging="10"/>
        <w:jc w:val="both"/>
      </w:pPr>
      <w:r>
        <w:rPr>
          <w:rFonts w:ascii="Cambria" w:eastAsia="Cambria" w:hAnsi="Cambria" w:cs="Cambria"/>
        </w:rPr>
        <w:t>There exists an extensive literature (see enclosed References) concerning the effects of a STET upon financial markets, in part</w:t>
      </w:r>
      <w:r>
        <w:rPr>
          <w:rFonts w:ascii="Cambria" w:eastAsia="Cambria" w:hAnsi="Cambria" w:cs="Cambria"/>
        </w:rPr>
        <w:t>icular with regard to the potential impact upon (i) the cost of capital for businesses, (ii) volatility, and (iii) liquidity. The various studies are either theoretical works, in limited number, dealing with general equilibrium models (e.g. Keynes (1936)),</w:t>
      </w:r>
      <w:r>
        <w:rPr>
          <w:rFonts w:ascii="Cambria" w:eastAsia="Cambria" w:hAnsi="Cambria" w:cs="Cambria"/>
        </w:rPr>
        <w:t xml:space="preserve"> or empirical surveys of the impact of past experiments with the implementation of STET-type taxes in various countries (United Kingdom, Sweden, Japan) (For instance see Anthony et al. (2012), Bjursell et al. (2006), Bessembinder (2002)). This is also disc</w:t>
      </w:r>
      <w:r>
        <w:rPr>
          <w:rFonts w:ascii="Cambria" w:eastAsia="Cambria" w:hAnsi="Cambria" w:cs="Cambria"/>
        </w:rPr>
        <w:t>ussed in Campbell and Froot (1994), Habermeier and Kirilenko (2003), Hakkio et al. (1994), Hau (2006), Hawkins and McCrae (2002), Jones and Seguin (1997)),Umlauf (1993) and Westerholm (2003)). We will conclude this brief review of the literature by a criti</w:t>
      </w:r>
      <w:r>
        <w:rPr>
          <w:rFonts w:ascii="Cambria" w:eastAsia="Cambria" w:hAnsi="Cambria" w:cs="Cambria"/>
        </w:rPr>
        <w:t>cal analysis that will allow us to define our own approach.</w:t>
      </w:r>
    </w:p>
    <w:p w:rsidR="00EE13F6" w:rsidRDefault="002E5BC4">
      <w:pPr>
        <w:spacing w:after="136" w:line="261" w:lineRule="auto"/>
        <w:ind w:left="-5" w:right="468" w:hanging="10"/>
      </w:pPr>
      <w:r>
        <w:rPr>
          <w:rFonts w:ascii="Cambria" w:eastAsia="Cambria" w:hAnsi="Cambria" w:cs="Cambria"/>
        </w:rPr>
        <w:lastRenderedPageBreak/>
        <w:t>There exists in fact no consensus on the impact of the introduction of a STET on financial market volatility, for both theoretical and empirical studies. A survey of existing literature for both t</w:t>
      </w:r>
      <w:r>
        <w:rPr>
          <w:rFonts w:ascii="Cambria" w:eastAsia="Cambria" w:hAnsi="Cambria" w:cs="Cambria"/>
        </w:rPr>
        <w:t>ypes of work, evidences that various authors conclude that the introduction of the FTT could increase, decrease or leave unchanged the asset price volatility. Putting together those elements, the results are inconclusive.</w:t>
      </w:r>
    </w:p>
    <w:p w:rsidR="00EE13F6" w:rsidRDefault="002E5BC4">
      <w:pPr>
        <w:spacing w:after="133" w:line="264" w:lineRule="auto"/>
        <w:ind w:left="19" w:right="477" w:hanging="10"/>
        <w:jc w:val="both"/>
      </w:pPr>
      <w:r>
        <w:rPr>
          <w:rFonts w:ascii="Cambria" w:eastAsia="Cambria" w:hAnsi="Cambria" w:cs="Cambria"/>
        </w:rPr>
        <w:t xml:space="preserve">Among theoretical studies of this </w:t>
      </w:r>
      <w:r>
        <w:rPr>
          <w:rFonts w:ascii="Cambria" w:eastAsia="Cambria" w:hAnsi="Cambria" w:cs="Cambria"/>
        </w:rPr>
        <w:t>potential impact, Kupiec (1996), finds that a transaction tax in a general equilibrium framework has ambiguous effects on asset price volatility. Risky assets record a reduction in their price volatility as well as a drop in their price, whereas the volati</w:t>
      </w:r>
      <w:r>
        <w:rPr>
          <w:rFonts w:ascii="Cambria" w:eastAsia="Cambria" w:hAnsi="Cambria" w:cs="Cambria"/>
        </w:rPr>
        <w:t>lity of the returns of such assets increases with the tax. The author concludes that there are several possible scenarios depending upon various other factors. The FTT introduction could increase, decrease of leave unchanged the asset price volatility.</w:t>
      </w:r>
    </w:p>
    <w:p w:rsidR="00EE13F6" w:rsidRDefault="002E5BC4">
      <w:pPr>
        <w:spacing w:after="133" w:line="264" w:lineRule="auto"/>
        <w:ind w:left="19" w:right="477" w:hanging="10"/>
        <w:jc w:val="both"/>
      </w:pPr>
      <w:r>
        <w:rPr>
          <w:rFonts w:ascii="Cambria" w:eastAsia="Cambria" w:hAnsi="Cambria" w:cs="Cambria"/>
        </w:rPr>
        <w:t>Son</w:t>
      </w:r>
      <w:r>
        <w:rPr>
          <w:rFonts w:ascii="Cambria" w:eastAsia="Cambria" w:hAnsi="Cambria" w:cs="Cambria"/>
        </w:rPr>
        <w:t>g and Zhang (2005) focus on the so called ”noise traders” in a general equilibrium model, and evidence that other players in the market such as long term investors or even arbitrageurs could be discouraged by the introduction of the tax. They argue that th</w:t>
      </w:r>
      <w:r>
        <w:rPr>
          <w:rFonts w:ascii="Cambria" w:eastAsia="Cambria" w:hAnsi="Cambria" w:cs="Cambria"/>
        </w:rPr>
        <w:t xml:space="preserve">e net effect on asset price volatility of the tax depends on the change of trader composition resulting from the implementation of the tax. This ”trader composition effect” would coexist with the consequences of a possible reduction in trading volumes and </w:t>
      </w:r>
      <w:r>
        <w:rPr>
          <w:rFonts w:ascii="Cambria" w:eastAsia="Cambria" w:hAnsi="Cambria" w:cs="Cambria"/>
        </w:rPr>
        <w:t>decrease in market liquidity. The final effect would result from the respective relative magnitudes of these two effects as well as their interaction.</w:t>
      </w:r>
    </w:p>
    <w:p w:rsidR="00EE13F6" w:rsidRDefault="002E5BC4">
      <w:pPr>
        <w:spacing w:after="133" w:line="264" w:lineRule="auto"/>
        <w:ind w:left="19" w:right="477" w:hanging="10"/>
        <w:jc w:val="both"/>
      </w:pPr>
      <w:r>
        <w:rPr>
          <w:rFonts w:ascii="Cambria" w:eastAsia="Cambria" w:hAnsi="Cambria" w:cs="Cambria"/>
        </w:rPr>
        <w:t xml:space="preserve">Among empirical studies on the subject, a detailed survey evidences two groups of studies, each arriving </w:t>
      </w:r>
      <w:r>
        <w:rPr>
          <w:rFonts w:ascii="Cambria" w:eastAsia="Cambria" w:hAnsi="Cambria" w:cs="Cambria"/>
        </w:rPr>
        <w:t>at different conclusions. A first group of studies finds no significant effect either increasing or decreasing of the introduction of a FTT on asset price volatility. The second group of works is itself split into two subgroups which find either an increas</w:t>
      </w:r>
      <w:r>
        <w:rPr>
          <w:rFonts w:ascii="Cambria" w:eastAsia="Cambria" w:hAnsi="Cambria" w:cs="Cambria"/>
        </w:rPr>
        <w:t>e or a decrease in volatility.</w:t>
      </w:r>
    </w:p>
    <w:p w:rsidR="00EE13F6" w:rsidRDefault="002E5BC4">
      <w:pPr>
        <w:spacing w:after="133" w:line="264" w:lineRule="auto"/>
        <w:ind w:left="19" w:right="477" w:hanging="10"/>
        <w:jc w:val="both"/>
      </w:pPr>
      <w:r>
        <w:rPr>
          <w:rFonts w:ascii="Cambria" w:eastAsia="Cambria" w:hAnsi="Cambria" w:cs="Cambria"/>
        </w:rPr>
        <w:t>In the first group: Roll (1989) has evidenced on a study following the October 1987 crash, that there no significant evidence of a negative impact of transaction taxes on asset price volatility. Mulherin (1990), on the period</w:t>
      </w:r>
      <w:r>
        <w:rPr>
          <w:rFonts w:ascii="Cambria" w:eastAsia="Cambria" w:hAnsi="Cambria" w:cs="Cambria"/>
        </w:rPr>
        <w:t xml:space="preserve"> ranging from 1897 to 1987 has concluded that the implementation of a transaction tax does not necessarily reduces asset price volatility. Umlauf (1993) in the case of the introduction of a FTT in Sweden found no significant difference in market volatility</w:t>
      </w:r>
      <w:r>
        <w:rPr>
          <w:rFonts w:ascii="Cambria" w:eastAsia="Cambria" w:hAnsi="Cambria" w:cs="Cambria"/>
        </w:rPr>
        <w:t xml:space="preserve"> between the different tax regimes which prevailed in Sweden, as the tax was introduced for the first time in 1984 at a 1 percent rate, and then increased at 2 percent in 1986. Saporta and Kan (1997) in the case of the case of the introduction of a ”Stamp </w:t>
      </w:r>
      <w:r>
        <w:rPr>
          <w:rFonts w:ascii="Cambria" w:eastAsia="Cambria" w:hAnsi="Cambria" w:cs="Cambria"/>
        </w:rPr>
        <w:t>Duty” in the UK in 1994 make the interesting remark that the same stocks traded outside the UK as ”American Deposit Receipts” (ADR) record a lower volatility than the same stocks traded in the U.K. However, they finally conclude that there is no significan</w:t>
      </w:r>
      <w:r>
        <w:rPr>
          <w:rFonts w:ascii="Cambria" w:eastAsia="Cambria" w:hAnsi="Cambria" w:cs="Cambria"/>
        </w:rPr>
        <w:t>t effect of the Stamp Duty Tax on volatility. More recently following the introduction in 2012 of a F.T.T in France applying only to non intra-day cash equity transactions performed by non financial investors, Capelle-Blancard and Havrylchyk (2016) conclud</w:t>
      </w:r>
      <w:r>
        <w:rPr>
          <w:rFonts w:ascii="Cambria" w:eastAsia="Cambria" w:hAnsi="Cambria" w:cs="Cambria"/>
        </w:rPr>
        <w:t>es to no significant effect of this tax on the French stock market volatility.</w:t>
      </w:r>
    </w:p>
    <w:p w:rsidR="00EE13F6" w:rsidRDefault="002E5BC4">
      <w:pPr>
        <w:spacing w:after="133" w:line="264" w:lineRule="auto"/>
        <w:ind w:left="19" w:right="477" w:hanging="10"/>
        <w:jc w:val="both"/>
      </w:pPr>
      <w:r>
        <w:rPr>
          <w:rFonts w:ascii="Cambria" w:eastAsia="Cambria" w:hAnsi="Cambria" w:cs="Cambria"/>
        </w:rPr>
        <w:t>Some other studies have focused on the impact of deregulation and the suppression of financial transaction taxes on implied volatility. Jones and Seguin (1997) did review the im</w:t>
      </w:r>
      <w:r>
        <w:rPr>
          <w:rFonts w:ascii="Cambria" w:eastAsia="Cambria" w:hAnsi="Cambria" w:cs="Cambria"/>
        </w:rPr>
        <w:t>pact of the suppression of the minimal brokerage commissions in the US stock market 1975, which can be likened to a one-time reduction of a transaction tax. They found a fall in the volatility after this minimum fee was suppressed on the NYSE. However, thi</w:t>
      </w:r>
      <w:r>
        <w:rPr>
          <w:rFonts w:ascii="Cambria" w:eastAsia="Cambria" w:hAnsi="Cambria" w:cs="Cambria"/>
        </w:rPr>
        <w:t>s volatility decrease occurred also on the NASDAQ market which was not subject to this minimum brokerage fee.</w:t>
      </w:r>
    </w:p>
    <w:p w:rsidR="00EE13F6" w:rsidRDefault="002E5BC4">
      <w:pPr>
        <w:spacing w:after="133" w:line="264" w:lineRule="auto"/>
        <w:ind w:left="19" w:right="477" w:hanging="10"/>
        <w:jc w:val="both"/>
      </w:pPr>
      <w:r>
        <w:rPr>
          <w:rFonts w:ascii="Cambria" w:eastAsia="Cambria" w:hAnsi="Cambria" w:cs="Cambria"/>
        </w:rPr>
        <w:lastRenderedPageBreak/>
        <w:t>In the second group, some studies rely on the relationship between transaction costs and volatility to conclude on the possible impact of the FTT.</w:t>
      </w:r>
      <w:r>
        <w:rPr>
          <w:rFonts w:ascii="Cambria" w:eastAsia="Cambria" w:hAnsi="Cambria" w:cs="Cambria"/>
        </w:rPr>
        <w:t xml:space="preserve"> In the US, Bessembinder (2002) found that volatility was reduced for stocks that had moved from NASDAQ to NYSE where transaction costs were lower. On the French stock market, Hau (2006) found a positive relationship between transaction costs and price vol</w:t>
      </w:r>
      <w:r>
        <w:rPr>
          <w:rFonts w:ascii="Cambria" w:eastAsia="Cambria" w:hAnsi="Cambria" w:cs="Cambria"/>
        </w:rPr>
        <w:t>atility. He observed an increase in the cost of trading stocks due to an increase in the tick size.</w:t>
      </w:r>
    </w:p>
    <w:p w:rsidR="00EE13F6" w:rsidRDefault="002E5BC4">
      <w:pPr>
        <w:spacing w:after="133" w:line="264" w:lineRule="auto"/>
        <w:ind w:left="19" w:right="477" w:hanging="10"/>
        <w:jc w:val="both"/>
      </w:pPr>
      <w:r>
        <w:rPr>
          <w:rFonts w:ascii="Cambria" w:eastAsia="Cambria" w:hAnsi="Cambria" w:cs="Cambria"/>
        </w:rPr>
        <w:t>Surprisingly, the effects of a STET-type tax have never been considered via the standpoint of the markets of options on financial securities, while these ma</w:t>
      </w:r>
      <w:r>
        <w:rPr>
          <w:rFonts w:ascii="Cambria" w:eastAsia="Cambria" w:hAnsi="Cambria" w:cs="Cambria"/>
        </w:rPr>
        <w:t>rkets by definition are markets where one trades the anticipated volatility of financial securities, which are the underlying assets of the relevant option contracts. The anticipation of the impact on these financial markets of the introduction of a Financ</w:t>
      </w:r>
      <w:r>
        <w:rPr>
          <w:rFonts w:ascii="Cambria" w:eastAsia="Cambria" w:hAnsi="Cambria" w:cs="Cambria"/>
        </w:rPr>
        <w:t>ial Transaction Tax (FTT) would answer the question of the impact of the tax on volatility. Likewise, the analysis of the impact on the costs of capital does not take into account to this day the credit derivatives markets. This shortcoming is explained, i</w:t>
      </w:r>
      <w:r>
        <w:rPr>
          <w:rFonts w:ascii="Cambria" w:eastAsia="Cambria" w:hAnsi="Cambria" w:cs="Cambria"/>
        </w:rPr>
        <w:t>n our opinion, by the fact that most implementations of STET-type taxes have been implemented at a time (until roughly the 1990s) when the stock and credit derivatives markets did not yet exist.</w:t>
      </w:r>
    </w:p>
    <w:p w:rsidR="00EE13F6" w:rsidRDefault="002E5BC4">
      <w:pPr>
        <w:spacing w:after="133" w:line="264" w:lineRule="auto"/>
        <w:ind w:left="19" w:right="477" w:hanging="10"/>
        <w:jc w:val="both"/>
      </w:pPr>
      <w:r>
        <w:rPr>
          <w:rFonts w:ascii="Cambria" w:eastAsia="Cambria" w:hAnsi="Cambria" w:cs="Cambria"/>
        </w:rPr>
        <w:t>As explained before, we focus here, on the particular case of</w:t>
      </w:r>
      <w:r>
        <w:rPr>
          <w:rFonts w:ascii="Cambria" w:eastAsia="Cambria" w:hAnsi="Cambria" w:cs="Cambria"/>
        </w:rPr>
        <w:t xml:space="preserve"> the European Financial Transaction Tax (FTT). This FTT is in fact a standard transaction excise Tax (STET) that would apply certain rates to the notional value of all transactions related to securities and derivatives. This STET would apply to all Financi</w:t>
      </w:r>
      <w:r>
        <w:rPr>
          <w:rFonts w:ascii="Cambria" w:eastAsia="Cambria" w:hAnsi="Cambria" w:cs="Cambria"/>
        </w:rPr>
        <w:t>al transactions taking place in the European Union (EU) or performed by financial institutions domiciled in the EU.</w:t>
      </w:r>
    </w:p>
    <w:p w:rsidR="00EE13F6" w:rsidRDefault="002E5BC4">
      <w:pPr>
        <w:spacing w:after="133" w:line="264" w:lineRule="auto"/>
        <w:ind w:left="19" w:right="477" w:hanging="10"/>
        <w:jc w:val="both"/>
      </w:pPr>
      <w:r>
        <w:rPr>
          <w:rFonts w:ascii="Cambria" w:eastAsia="Cambria" w:hAnsi="Cambria" w:cs="Cambria"/>
        </w:rPr>
        <w:t>We try a new approach for measuring the volatility impact of the FTT, through the effect on the behavior of option market-makers. Market-mak</w:t>
      </w:r>
      <w:r>
        <w:rPr>
          <w:rFonts w:ascii="Cambria" w:eastAsia="Cambria" w:hAnsi="Cambria" w:cs="Cambria"/>
        </w:rPr>
        <w:t>ers agents are the ones providing liquidity to the option equity markets. The prices they quote embed an hypothesis on the market volatility which can be derived using Black-Scholes option pricing framework. Therefore the concept of volatility can be consi</w:t>
      </w:r>
      <w:r>
        <w:rPr>
          <w:rFonts w:ascii="Cambria" w:eastAsia="Cambria" w:hAnsi="Cambria" w:cs="Cambria"/>
        </w:rPr>
        <w:t>dered not only from an ”ex-post” approach using the past returns of a given security, but also using the concept of implied or traded volatility derived directly from the option market We aim to estimate the possible impact of the FTT on such volatility.</w:t>
      </w:r>
    </w:p>
    <w:p w:rsidR="00EE13F6" w:rsidRDefault="002E5BC4">
      <w:pPr>
        <w:spacing w:after="133" w:line="264" w:lineRule="auto"/>
        <w:ind w:left="19" w:right="477" w:hanging="10"/>
        <w:jc w:val="both"/>
      </w:pPr>
      <w:r>
        <w:rPr>
          <w:rFonts w:ascii="Cambria" w:eastAsia="Cambria" w:hAnsi="Cambria" w:cs="Cambria"/>
        </w:rPr>
        <w:t>I</w:t>
      </w:r>
      <w:r>
        <w:rPr>
          <w:rFonts w:ascii="Cambria" w:eastAsia="Cambria" w:hAnsi="Cambria" w:cs="Cambria"/>
        </w:rPr>
        <w:t>n a first part, we explore the existing literature about the impact of transaction costs on volatility. We complete it to accommodate all transaction costs on the complete life cycle of an option. We review the consequences of a non constant volatility and</w:t>
      </w:r>
      <w:r>
        <w:rPr>
          <w:rFonts w:ascii="Cambria" w:eastAsia="Cambria" w:hAnsi="Cambria" w:cs="Cambria"/>
        </w:rPr>
        <w:t xml:space="preserve"> assess the impact through Monte -Carlo simulations.</w:t>
      </w:r>
    </w:p>
    <w:p w:rsidR="00EE13F6" w:rsidRDefault="002E5BC4">
      <w:pPr>
        <w:spacing w:after="133" w:line="264" w:lineRule="auto"/>
        <w:ind w:left="19" w:right="477" w:hanging="10"/>
        <w:jc w:val="both"/>
      </w:pPr>
      <w:r>
        <w:rPr>
          <w:rFonts w:ascii="Cambria" w:eastAsia="Cambria" w:hAnsi="Cambria" w:cs="Cambria"/>
        </w:rPr>
        <w:t>We then focus on the role of the option’s market liquidity and assess the final impact of the FTT implementation depending upon liquidity. We find a positive increase in the case of non liquid option mar</w:t>
      </w:r>
      <w:r>
        <w:rPr>
          <w:rFonts w:ascii="Cambria" w:eastAsia="Cambria" w:hAnsi="Cambria" w:cs="Cambria"/>
        </w:rPr>
        <w:t>kets consisting solely of economic agents looking for hedging, and where market-makers are constantly short of options. On the other hand, we evidence two theoretical highly liquid option markets on both futures and cash equity. We then conduct numerical s</w:t>
      </w:r>
      <w:r>
        <w:rPr>
          <w:rFonts w:ascii="Cambria" w:eastAsia="Cambria" w:hAnsi="Cambria" w:cs="Cambria"/>
        </w:rPr>
        <w:t>imulations showing an impact of the FTT on the option mid- price which is within a fraction of the ”effective” ticksize.This strongly suggests that option market makers could absorb the impact of the FTT on volatility.</w:t>
      </w:r>
    </w:p>
    <w:p w:rsidR="00EE13F6" w:rsidRDefault="002E5BC4">
      <w:pPr>
        <w:spacing w:after="585" w:line="264" w:lineRule="auto"/>
        <w:ind w:left="19" w:right="477" w:hanging="10"/>
        <w:jc w:val="both"/>
      </w:pPr>
      <w:r>
        <w:rPr>
          <w:rFonts w:ascii="Cambria" w:eastAsia="Cambria" w:hAnsi="Cambria" w:cs="Cambria"/>
        </w:rPr>
        <w:t xml:space="preserve">Consequently, the paper is organized </w:t>
      </w:r>
      <w:r>
        <w:rPr>
          <w:rFonts w:ascii="Cambria" w:eastAsia="Cambria" w:hAnsi="Cambria" w:cs="Cambria"/>
        </w:rPr>
        <w:t>as follows. Section1 is devoted to measuring the effect on implied volatility of increased transaction costs, considering the hedging behavior of a standard option market’s-maker. Section 2, considers the effect of liquidity on the final impact of those in</w:t>
      </w:r>
      <w:r>
        <w:rPr>
          <w:rFonts w:ascii="Cambria" w:eastAsia="Cambria" w:hAnsi="Cambria" w:cs="Cambria"/>
        </w:rPr>
        <w:t>creased transaction costs on the prices quoted by the market-makers. Section 3, considers quantitative simulations of this impact in highly liquid option markets. Section 4 concludes.</w:t>
      </w:r>
    </w:p>
    <w:p w:rsidR="00EE13F6" w:rsidRDefault="002E5BC4">
      <w:pPr>
        <w:pStyle w:val="Heading1"/>
        <w:tabs>
          <w:tab w:val="center" w:pos="4806"/>
        </w:tabs>
        <w:spacing w:after="317"/>
        <w:ind w:left="-15" w:firstLine="0"/>
      </w:pPr>
      <w:r>
        <w:lastRenderedPageBreak/>
        <w:t>1</w:t>
      </w:r>
      <w:r>
        <w:tab/>
        <w:t>Transaction Costs and Option Implied Volatility: the Theory</w:t>
      </w:r>
    </w:p>
    <w:p w:rsidR="00EE13F6" w:rsidRDefault="002E5BC4">
      <w:pPr>
        <w:pStyle w:val="Heading2"/>
        <w:ind w:left="598" w:right="302" w:hanging="613"/>
      </w:pPr>
      <w:r>
        <w:t>1.1 Replication and Cost of Hedging in The Presence of Transaction Costs When The Volatility is Constant</w:t>
      </w:r>
    </w:p>
    <w:p w:rsidR="00EE13F6" w:rsidRDefault="002E5BC4">
      <w:pPr>
        <w:spacing w:after="133" w:line="264" w:lineRule="auto"/>
        <w:ind w:left="19" w:right="477" w:hanging="10"/>
        <w:jc w:val="both"/>
      </w:pPr>
      <w:r>
        <w:rPr>
          <w:rFonts w:ascii="Cambria" w:eastAsia="Cambria" w:hAnsi="Cambria" w:cs="Cambria"/>
        </w:rPr>
        <w:t xml:space="preserve">We consider here the particular role of option broker-dealers also called market-makers in the determination of transaction prices on various types of </w:t>
      </w:r>
      <w:r>
        <w:rPr>
          <w:rFonts w:ascii="Cambria" w:eastAsia="Cambria" w:hAnsi="Cambria" w:cs="Cambria"/>
        </w:rPr>
        <w:t>equity option markets.</w:t>
      </w:r>
    </w:p>
    <w:p w:rsidR="00EE13F6" w:rsidRDefault="002E5BC4">
      <w:pPr>
        <w:spacing w:after="133" w:line="264" w:lineRule="auto"/>
        <w:ind w:left="19" w:right="477" w:hanging="10"/>
        <w:jc w:val="both"/>
      </w:pPr>
      <w:r>
        <w:rPr>
          <w:rFonts w:ascii="Cambria" w:eastAsia="Cambria" w:hAnsi="Cambria" w:cs="Cambria"/>
        </w:rPr>
        <w:t>A market-maker, on one hand, acts as a broker (an ”agent”) on behalf of its clients to find directly an opposite interest at the best price quoted in the market. On the other hand, if it cannot find opposite interests for its clients</w:t>
      </w:r>
      <w:r>
        <w:rPr>
          <w:rFonts w:ascii="Cambria" w:eastAsia="Cambria" w:hAnsi="Cambria" w:cs="Cambria"/>
        </w:rPr>
        <w:t xml:space="preserve"> in the market, it can act for its own account, and act as a ”principal” party by stepping into the market. In this latter case, it will derive facilitation revenues in exchange for him to carry an inventory and bear specific costs such as market-risk (opp</w:t>
      </w:r>
      <w:r>
        <w:rPr>
          <w:rFonts w:ascii="Cambria" w:eastAsia="Cambria" w:hAnsi="Cambria" w:cs="Cambria"/>
        </w:rPr>
        <w:t>ortunity cost) as well as funding costs. The market risk, is due to the presence of a long or short position with potential losses in case of adverse market moves. In order to mitigate this risk, the market-maker will have to enter into hedging transaction</w:t>
      </w:r>
      <w:r>
        <w:rPr>
          <w:rFonts w:ascii="Cambria" w:eastAsia="Cambria" w:hAnsi="Cambria" w:cs="Cambria"/>
        </w:rPr>
        <w:t>s, for the time it will carry on the position, and will be subject to transaction costs.</w:t>
      </w:r>
    </w:p>
    <w:p w:rsidR="00EE13F6" w:rsidRDefault="002E5BC4">
      <w:pPr>
        <w:spacing w:after="133" w:line="264" w:lineRule="auto"/>
        <w:ind w:left="19" w:right="477" w:hanging="10"/>
        <w:jc w:val="both"/>
      </w:pPr>
      <w:r>
        <w:rPr>
          <w:rFonts w:ascii="Cambria" w:eastAsia="Cambria" w:hAnsi="Cambria" w:cs="Cambria"/>
        </w:rPr>
        <w:t>Market-makers are organized under the regime of monopolistic competition, as they offer the same kind of product, are generally ”price-makers” and there are very few b</w:t>
      </w:r>
      <w:r>
        <w:rPr>
          <w:rFonts w:ascii="Cambria" w:eastAsia="Cambria" w:hAnsi="Cambria" w:cs="Cambria"/>
        </w:rPr>
        <w:t>arriers for entering and leaving the business. In this regime, when there is a large number of firms, the profit tends toward zero and their price is such that they are just ”breakeven”.</w:t>
      </w:r>
    </w:p>
    <w:p w:rsidR="00EE13F6" w:rsidRDefault="002E5BC4">
      <w:pPr>
        <w:spacing w:after="133" w:line="264" w:lineRule="auto"/>
        <w:ind w:left="19" w:right="477" w:hanging="10"/>
        <w:jc w:val="both"/>
      </w:pPr>
      <w:r>
        <w:rPr>
          <w:rFonts w:ascii="Cambria" w:eastAsia="Cambria" w:hAnsi="Cambria" w:cs="Cambria"/>
        </w:rPr>
        <w:t>In this context, the FTT or any other STET is, by definition, an addi</w:t>
      </w:r>
      <w:r>
        <w:rPr>
          <w:rFonts w:ascii="Cambria" w:eastAsia="Cambria" w:hAnsi="Cambria" w:cs="Cambria"/>
        </w:rPr>
        <w:t xml:space="preserve">tional transaction cost. According to Leland (1985) and Boyle and Vorst (1992), option market-makers have to bump the volatility of the options they are selling, to accommodate for the expected costs of future hedging transactions. Before the introduction </w:t>
      </w:r>
      <w:r>
        <w:rPr>
          <w:rFonts w:ascii="Cambria" w:eastAsia="Cambria" w:hAnsi="Cambria" w:cs="Cambria"/>
        </w:rPr>
        <w:t xml:space="preserve">of the FTT, these costs consist mainly of the bid-ask spread between the purchase and the sales price of a given security. They have an impact on the cost of the option because option portfolios are (delta) hedged against the share price variations, using </w:t>
      </w:r>
      <w:r>
        <w:rPr>
          <w:rFonts w:ascii="Cambria" w:eastAsia="Cambria" w:hAnsi="Cambria" w:cs="Cambria"/>
        </w:rPr>
        <w:t>a replicating portfolio consisting of shares and cash. This hedge is adjusted frequently, as the share price movements affect the number of shares to be either sold or purchased.</w:t>
      </w:r>
    </w:p>
    <w:p w:rsidR="00EE13F6" w:rsidRDefault="002E5BC4">
      <w:pPr>
        <w:spacing w:after="133" w:line="264" w:lineRule="auto"/>
        <w:ind w:left="19" w:right="477" w:hanging="10"/>
        <w:jc w:val="both"/>
      </w:pPr>
      <w:r>
        <w:rPr>
          <w:rFonts w:ascii="Cambria" w:eastAsia="Cambria" w:hAnsi="Cambria" w:cs="Cambria"/>
        </w:rPr>
        <w:t xml:space="preserve">The FTT is an additional transaction cost which widens the bid-ask spread on </w:t>
      </w:r>
      <w:r>
        <w:rPr>
          <w:rFonts w:ascii="Cambria" w:eastAsia="Cambria" w:hAnsi="Cambria" w:cs="Cambria"/>
        </w:rPr>
        <w:t>the underlying equity. The periodic hedging adjustment of the replication portfolio exposes the market-maker to the cascading effects of the FTT levied on shares transactions and therefore generate significant expenses. Furthermore, the FTT provisions incl</w:t>
      </w:r>
      <w:r>
        <w:rPr>
          <w:rFonts w:ascii="Cambria" w:eastAsia="Cambria" w:hAnsi="Cambria" w:cs="Cambria"/>
        </w:rPr>
        <w:t>ude a taxation of stock lending and borrowing operations, repurchase agreements and reverse repurchase agreements which are necessary to fund the replicating portfolio. This disposition affects mainly cash equity options.</w:t>
      </w:r>
    </w:p>
    <w:p w:rsidR="00EE13F6" w:rsidRDefault="002E5BC4">
      <w:pPr>
        <w:spacing w:after="133" w:line="264" w:lineRule="auto"/>
        <w:ind w:left="19" w:right="477" w:hanging="10"/>
        <w:jc w:val="both"/>
      </w:pPr>
      <w:r>
        <w:rPr>
          <w:rFonts w:ascii="Cambria" w:eastAsia="Cambria" w:hAnsi="Cambria" w:cs="Cambria"/>
        </w:rPr>
        <w:t>Because of the specific provisions</w:t>
      </w:r>
      <w:r>
        <w:rPr>
          <w:rFonts w:ascii="Cambria" w:eastAsia="Cambria" w:hAnsi="Cambria" w:cs="Cambria"/>
        </w:rPr>
        <w:t xml:space="preserve"> of the FTT, we can expect that for index options, the impact will be significantly less. This is due to the fact that, in the case of index options, the replicating portfolio consists of cash and index futures contracts whose ”round-trip” FTT tax rate is </w:t>
      </w:r>
      <w:r>
        <w:rPr>
          <w:rFonts w:ascii="Cambria" w:eastAsia="Cambria" w:hAnsi="Cambria" w:cs="Cambria"/>
        </w:rPr>
        <w:t>0.02 percent of the notional amount, instead of 0.4 percent for cash instruments, if we had both FTT taxes on transactions and funding. Furthermore, the funding of non-hedged futures positions does not require repurchase or reverse repurchase agreements. I</w:t>
      </w:r>
      <w:r>
        <w:rPr>
          <w:rFonts w:ascii="Cambria" w:eastAsia="Cambria" w:hAnsi="Cambria" w:cs="Cambria"/>
        </w:rPr>
        <w:t>t consists of funding initial margins and margin calls which represents only a fraction of the amount to fund for cash derivatives.</w:t>
      </w:r>
    </w:p>
    <w:p w:rsidR="00EE13F6" w:rsidRDefault="002E5BC4">
      <w:pPr>
        <w:spacing w:after="133" w:line="264" w:lineRule="auto"/>
        <w:ind w:left="19" w:right="477" w:hanging="10"/>
        <w:jc w:val="both"/>
      </w:pPr>
      <w:r>
        <w:rPr>
          <w:rFonts w:ascii="Cambria" w:eastAsia="Cambria" w:hAnsi="Cambria" w:cs="Cambria"/>
        </w:rPr>
        <w:t>Leland (1985) finds an impact of transaction costs linked directly to the frequency of re-hedging of option replications por</w:t>
      </w:r>
      <w:r>
        <w:rPr>
          <w:rFonts w:ascii="Cambria" w:eastAsia="Cambria" w:hAnsi="Cambria" w:cs="Cambria"/>
        </w:rPr>
        <w:t xml:space="preserve">tfolios. The original Leland work considers an asymptotic case, where the re-hedging frequency tends to be infinite. Leland computes an asymptotic limit rule, giving the volatility </w:t>
      </w:r>
      <w:r>
        <w:rPr>
          <w:rFonts w:ascii="Cambria" w:eastAsia="Cambria" w:hAnsi="Cambria" w:cs="Cambria"/>
        </w:rPr>
        <w:lastRenderedPageBreak/>
        <w:t>to get the same pay-off as in the ideal Black-Scholes world, in this asympt</w:t>
      </w:r>
      <w:r>
        <w:rPr>
          <w:rFonts w:ascii="Cambria" w:eastAsia="Cambria" w:hAnsi="Cambria" w:cs="Cambria"/>
        </w:rPr>
        <w:t>otic case. However, since the original work of Leland, additional research done by Elie and L´epinette (2015) has proven that in order to get this asymptotic results the transaction costs have to satisfy a specific condition. Nevertheless, market practitio</w:t>
      </w:r>
      <w:r>
        <w:rPr>
          <w:rFonts w:ascii="Cambria" w:eastAsia="Cambria" w:hAnsi="Cambria" w:cs="Cambria"/>
        </w:rPr>
        <w:t>ners use the Leland rule which can be considered as a proxy giving a benchmark for the impact of transaction costs, when the re-hedging frequency is finite. Furthermore, if we consider the Variance swap markets and the fact that such instruments can be rep</w:t>
      </w:r>
      <w:r>
        <w:rPr>
          <w:rFonts w:ascii="Cambria" w:eastAsia="Cambria" w:hAnsi="Cambria" w:cs="Cambria"/>
        </w:rPr>
        <w:t>licated with option portfolios instead of shares, we can prove that the Leland condition still holds for finite readjustments (cf. infra ).</w:t>
      </w:r>
    </w:p>
    <w:p w:rsidR="00EE13F6" w:rsidRDefault="002E5BC4">
      <w:pPr>
        <w:spacing w:after="15" w:line="264" w:lineRule="auto"/>
        <w:ind w:left="19" w:right="477" w:hanging="10"/>
        <w:jc w:val="both"/>
      </w:pPr>
      <w:r>
        <w:rPr>
          <w:rFonts w:ascii="Cambria" w:eastAsia="Cambria" w:hAnsi="Cambria" w:cs="Cambria"/>
        </w:rPr>
        <w:t xml:space="preserve">According to Leland, the volatility necessary to offset transaction costs has to be increased to a new value </w:t>
      </w:r>
      <w:r>
        <w:rPr>
          <w:rFonts w:ascii="Cambria" w:eastAsia="Cambria" w:hAnsi="Cambria" w:cs="Cambria"/>
          <w:i/>
        </w:rPr>
        <w:t>σ</w:t>
      </w:r>
      <w:r>
        <w:rPr>
          <w:rFonts w:ascii="Cambria" w:eastAsia="Cambria" w:hAnsi="Cambria" w:cs="Cambria"/>
          <w:vertAlign w:val="superscript"/>
        </w:rPr>
        <w:t xml:space="preserve">0 </w:t>
      </w:r>
      <w:r>
        <w:rPr>
          <w:rFonts w:ascii="Cambria" w:eastAsia="Cambria" w:hAnsi="Cambria" w:cs="Cambria"/>
        </w:rPr>
        <w:t>such</w:t>
      </w:r>
      <w:r>
        <w:rPr>
          <w:rFonts w:ascii="Cambria" w:eastAsia="Cambria" w:hAnsi="Cambria" w:cs="Cambria"/>
        </w:rPr>
        <w:t xml:space="preserve"> that:</w:t>
      </w:r>
    </w:p>
    <w:p w:rsidR="00EE13F6" w:rsidRDefault="002E5BC4">
      <w:pPr>
        <w:tabs>
          <w:tab w:val="center" w:pos="4690"/>
          <w:tab w:val="center" w:pos="9221"/>
        </w:tabs>
        <w:spacing w:after="97" w:line="265" w:lineRule="auto"/>
      </w:pPr>
      <w:r>
        <w:tab/>
      </w:r>
      <w:r>
        <w:rPr>
          <w:noProof/>
        </w:rPr>
        <w:drawing>
          <wp:inline distT="0" distB="0" distL="0" distR="0">
            <wp:extent cx="1365504" cy="417576"/>
            <wp:effectExtent l="0" t="0" r="0" b="0"/>
            <wp:docPr id="221803" name="Picture 221803"/>
            <wp:cNvGraphicFramePr/>
            <a:graphic xmlns:a="http://schemas.openxmlformats.org/drawingml/2006/main">
              <a:graphicData uri="http://schemas.openxmlformats.org/drawingml/2006/picture">
                <pic:pic xmlns:pic="http://schemas.openxmlformats.org/drawingml/2006/picture">
                  <pic:nvPicPr>
                    <pic:cNvPr id="221803" name="Picture 221803"/>
                    <pic:cNvPicPr/>
                  </pic:nvPicPr>
                  <pic:blipFill>
                    <a:blip r:embed="rId19"/>
                    <a:stretch>
                      <a:fillRect/>
                    </a:stretch>
                  </pic:blipFill>
                  <pic:spPr>
                    <a:xfrm>
                      <a:off x="0" y="0"/>
                      <a:ext cx="1365504" cy="417576"/>
                    </a:xfrm>
                    <a:prstGeom prst="rect">
                      <a:avLst/>
                    </a:prstGeom>
                  </pic:spPr>
                </pic:pic>
              </a:graphicData>
            </a:graphic>
          </wp:inline>
        </w:drawing>
      </w:r>
      <w:r>
        <w:rPr>
          <w:rFonts w:ascii="Cambria" w:eastAsia="Cambria" w:hAnsi="Cambria" w:cs="Cambria"/>
        </w:rPr>
        <w:tab/>
        <w:t>(1)</w:t>
      </w:r>
    </w:p>
    <w:p w:rsidR="00EE13F6" w:rsidRDefault="002E5BC4">
      <w:pPr>
        <w:spacing w:after="133" w:line="264" w:lineRule="auto"/>
        <w:ind w:left="19" w:right="477" w:hanging="10"/>
        <w:jc w:val="both"/>
      </w:pPr>
      <w:r>
        <w:rPr>
          <w:rFonts w:ascii="Cambria" w:eastAsia="Cambria" w:hAnsi="Cambria" w:cs="Cambria"/>
          <w:i/>
        </w:rPr>
        <w:t xml:space="preserve">k </w:t>
      </w:r>
      <w:r>
        <w:rPr>
          <w:rFonts w:ascii="Cambria" w:eastAsia="Cambria" w:hAnsi="Cambria" w:cs="Cambria"/>
        </w:rPr>
        <w:t xml:space="preserve">designates the round trip transaction cost expressed in percentage of the underlying asset value. </w:t>
      </w:r>
      <w:r>
        <w:rPr>
          <w:rFonts w:ascii="Cambria" w:eastAsia="Cambria" w:hAnsi="Cambria" w:cs="Cambria"/>
          <w:i/>
        </w:rPr>
        <w:t xml:space="preserve">σ </w:t>
      </w:r>
      <w:r>
        <w:rPr>
          <w:rFonts w:ascii="Cambria" w:eastAsia="Cambria" w:hAnsi="Cambria" w:cs="Cambria"/>
        </w:rPr>
        <w:t xml:space="preserve">designates the volatility in the absence of transaction costs; </w:t>
      </w:r>
      <w:r>
        <w:rPr>
          <w:rFonts w:ascii="Cambria" w:eastAsia="Cambria" w:hAnsi="Cambria" w:cs="Cambria"/>
          <w:i/>
        </w:rPr>
        <w:t>σ</w:t>
      </w:r>
      <w:r>
        <w:rPr>
          <w:rFonts w:ascii="Cambria" w:eastAsia="Cambria" w:hAnsi="Cambria" w:cs="Cambria"/>
          <w:vertAlign w:val="superscript"/>
        </w:rPr>
        <w:t xml:space="preserve">0 </w:t>
      </w:r>
      <w:r>
        <w:rPr>
          <w:rFonts w:ascii="Cambria" w:eastAsia="Cambria" w:hAnsi="Cambria" w:cs="Cambria"/>
        </w:rPr>
        <w:t>designates the modified volatility. ∆</w:t>
      </w:r>
      <w:r>
        <w:rPr>
          <w:rFonts w:ascii="Cambria" w:eastAsia="Cambria" w:hAnsi="Cambria" w:cs="Cambria"/>
          <w:i/>
        </w:rPr>
        <w:t xml:space="preserve">t </w:t>
      </w:r>
      <w:r>
        <w:rPr>
          <w:rFonts w:ascii="Cambria" w:eastAsia="Cambria" w:hAnsi="Cambria" w:cs="Cambria"/>
        </w:rPr>
        <w:t>designates the frequency of re-hedging the option’s replication portfolio.</w:t>
      </w:r>
    </w:p>
    <w:p w:rsidR="00EE13F6" w:rsidRDefault="002E5BC4">
      <w:pPr>
        <w:spacing w:after="282" w:line="264" w:lineRule="auto"/>
        <w:ind w:left="19" w:right="477" w:hanging="10"/>
        <w:jc w:val="both"/>
      </w:pPr>
      <w:r>
        <w:rPr>
          <w:rFonts w:ascii="Cambria" w:eastAsia="Cambria" w:hAnsi="Cambria" w:cs="Cambria"/>
        </w:rPr>
        <w:t>Boyle and Vorst (1992) find a different rule based on a threshold for the variation of the underlying asset. The replication portfolio is rebalanced every time the relative variatio</w:t>
      </w:r>
      <w:r>
        <w:rPr>
          <w:rFonts w:ascii="Cambria" w:eastAsia="Cambria" w:hAnsi="Cambria" w:cs="Cambria"/>
        </w:rPr>
        <w:t xml:space="preserve">n of the underlying asset, since the last re-hedging, is over a given threshold </w:t>
      </w:r>
      <w:r>
        <w:rPr>
          <w:rFonts w:ascii="Cambria" w:eastAsia="Cambria" w:hAnsi="Cambria" w:cs="Cambria"/>
          <w:i/>
        </w:rPr>
        <w:t>ν</w:t>
      </w:r>
      <w:r>
        <w:rPr>
          <w:rFonts w:ascii="Cambria" w:eastAsia="Cambria" w:hAnsi="Cambria" w:cs="Cambria"/>
        </w:rPr>
        <w:t xml:space="preserve">. The new volatility </w:t>
      </w:r>
      <w:r>
        <w:rPr>
          <w:rFonts w:ascii="Cambria" w:eastAsia="Cambria" w:hAnsi="Cambria" w:cs="Cambria"/>
          <w:i/>
        </w:rPr>
        <w:t>σ</w:t>
      </w:r>
      <w:r>
        <w:rPr>
          <w:rFonts w:ascii="Cambria" w:eastAsia="Cambria" w:hAnsi="Cambria" w:cs="Cambria"/>
          <w:vertAlign w:val="superscript"/>
        </w:rPr>
        <w:t xml:space="preserve">0 </w:t>
      </w:r>
      <w:r>
        <w:rPr>
          <w:rFonts w:ascii="Cambria" w:eastAsia="Cambria" w:hAnsi="Cambria" w:cs="Cambria"/>
        </w:rPr>
        <w:t>is such that:</w:t>
      </w:r>
    </w:p>
    <w:p w:rsidR="00EE13F6" w:rsidRDefault="002E5BC4">
      <w:pPr>
        <w:tabs>
          <w:tab w:val="center" w:pos="4710"/>
          <w:tab w:val="center" w:pos="9221"/>
        </w:tabs>
        <w:spacing w:after="214" w:line="265" w:lineRule="auto"/>
      </w:pPr>
      <w:r>
        <w:tab/>
      </w:r>
      <w:r>
        <w:rPr>
          <w:noProof/>
        </w:rPr>
        <w:drawing>
          <wp:inline distT="0" distB="0" distL="0" distR="0">
            <wp:extent cx="984504" cy="335280"/>
            <wp:effectExtent l="0" t="0" r="0" b="0"/>
            <wp:docPr id="221804" name="Picture 221804"/>
            <wp:cNvGraphicFramePr/>
            <a:graphic xmlns:a="http://schemas.openxmlformats.org/drawingml/2006/main">
              <a:graphicData uri="http://schemas.openxmlformats.org/drawingml/2006/picture">
                <pic:pic xmlns:pic="http://schemas.openxmlformats.org/drawingml/2006/picture">
                  <pic:nvPicPr>
                    <pic:cNvPr id="221804" name="Picture 221804"/>
                    <pic:cNvPicPr/>
                  </pic:nvPicPr>
                  <pic:blipFill>
                    <a:blip r:embed="rId20"/>
                    <a:stretch>
                      <a:fillRect/>
                    </a:stretch>
                  </pic:blipFill>
                  <pic:spPr>
                    <a:xfrm>
                      <a:off x="0" y="0"/>
                      <a:ext cx="984504" cy="335280"/>
                    </a:xfrm>
                    <a:prstGeom prst="rect">
                      <a:avLst/>
                    </a:prstGeom>
                  </pic:spPr>
                </pic:pic>
              </a:graphicData>
            </a:graphic>
          </wp:inline>
        </w:drawing>
      </w:r>
      <w:r>
        <w:rPr>
          <w:rFonts w:ascii="Cambria" w:eastAsia="Cambria" w:hAnsi="Cambria" w:cs="Cambria"/>
        </w:rPr>
        <w:tab/>
        <w:t>(2)</w:t>
      </w:r>
    </w:p>
    <w:p w:rsidR="00EE13F6" w:rsidRDefault="002E5BC4">
      <w:pPr>
        <w:spacing w:after="15" w:line="264" w:lineRule="auto"/>
        <w:ind w:left="19" w:right="477" w:hanging="10"/>
        <w:jc w:val="both"/>
      </w:pPr>
      <w:r>
        <w:rPr>
          <w:rFonts w:ascii="Cambria" w:eastAsia="Cambria" w:hAnsi="Cambria" w:cs="Cambria"/>
        </w:rPr>
        <w:t>One can note immediately that the correction does not depend of the option’s time to maturity.</w:t>
      </w:r>
    </w:p>
    <w:p w:rsidR="00EE13F6" w:rsidRDefault="002E5BC4">
      <w:pPr>
        <w:spacing w:after="218" w:line="264" w:lineRule="auto"/>
        <w:ind w:left="19" w:right="477" w:hanging="10"/>
        <w:jc w:val="both"/>
      </w:pPr>
      <w:r>
        <w:rPr>
          <w:rFonts w:ascii="Cambria" w:eastAsia="Cambria" w:hAnsi="Cambria" w:cs="Cambria"/>
        </w:rPr>
        <w:t>The ∆</w:t>
      </w:r>
      <w:r>
        <w:rPr>
          <w:rFonts w:ascii="Cambria" w:eastAsia="Cambria" w:hAnsi="Cambria" w:cs="Cambria"/>
          <w:i/>
        </w:rPr>
        <w:t xml:space="preserve">s </w:t>
      </w:r>
      <w:r>
        <w:rPr>
          <w:rFonts w:ascii="Cambria" w:eastAsia="Cambria" w:hAnsi="Cambria" w:cs="Cambria"/>
        </w:rPr>
        <w:t>rule can made consistant with a ∆</w:t>
      </w:r>
      <w:r>
        <w:rPr>
          <w:rFonts w:ascii="Cambria" w:eastAsia="Cambria" w:hAnsi="Cambria" w:cs="Cambria"/>
          <w:i/>
        </w:rPr>
        <w:t xml:space="preserve">t </w:t>
      </w:r>
      <w:r>
        <w:rPr>
          <w:rFonts w:ascii="Cambria" w:eastAsia="Cambria" w:hAnsi="Cambria" w:cs="Cambria"/>
        </w:rPr>
        <w:t>rule by considering the specific following threshold:</w:t>
      </w:r>
    </w:p>
    <w:p w:rsidR="00EE13F6" w:rsidRDefault="002E5BC4">
      <w:pPr>
        <w:spacing w:after="0"/>
        <w:ind w:left="224"/>
        <w:jc w:val="center"/>
      </w:pPr>
      <w:r>
        <w:rPr>
          <w:rFonts w:ascii="Cambria" w:eastAsia="Cambria" w:hAnsi="Cambria" w:cs="Cambria"/>
        </w:rPr>
        <w:t>√</w:t>
      </w:r>
      <w:r>
        <w:rPr>
          <w:noProof/>
        </w:rPr>
        <mc:AlternateContent>
          <mc:Choice Requires="wpg">
            <w:drawing>
              <wp:inline distT="0" distB="0" distL="0" distR="0">
                <wp:extent cx="165481" cy="5537"/>
                <wp:effectExtent l="0" t="0" r="0" b="0"/>
                <wp:docPr id="158838" name="Group 158838"/>
                <wp:cNvGraphicFramePr/>
                <a:graphic xmlns:a="http://schemas.openxmlformats.org/drawingml/2006/main">
                  <a:graphicData uri="http://schemas.microsoft.com/office/word/2010/wordprocessingGroup">
                    <wpg:wgp>
                      <wpg:cNvGrpSpPr/>
                      <wpg:grpSpPr>
                        <a:xfrm>
                          <a:off x="0" y="0"/>
                          <a:ext cx="165481" cy="5537"/>
                          <a:chOff x="0" y="0"/>
                          <a:chExt cx="165481" cy="5537"/>
                        </a:xfrm>
                      </wpg:grpSpPr>
                      <wps:wsp>
                        <wps:cNvPr id="4740" name="Shape 4740"/>
                        <wps:cNvSpPr/>
                        <wps:spPr>
                          <a:xfrm>
                            <a:off x="0" y="0"/>
                            <a:ext cx="165481" cy="0"/>
                          </a:xfrm>
                          <a:custGeom>
                            <a:avLst/>
                            <a:gdLst/>
                            <a:ahLst/>
                            <a:cxnLst/>
                            <a:rect l="0" t="0" r="0" b="0"/>
                            <a:pathLst>
                              <a:path w="165481">
                                <a:moveTo>
                                  <a:pt x="0" y="0"/>
                                </a:moveTo>
                                <a:lnTo>
                                  <a:pt x="165481" y="0"/>
                                </a:lnTo>
                              </a:path>
                            </a:pathLst>
                          </a:custGeom>
                          <a:ln w="553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7487AA" id="Group 158838" o:spid="_x0000_s1026" style="width:13.05pt;height:.45pt;mso-position-horizontal-relative:char;mso-position-vertical-relative:line" coordsize="165481,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">
                <v:shape id="Shape 4740" o:spid="_x0000_s1027" style="position:absolute;width:165481;height:0;visibility:visible;mso-wrap-style:square;v-text-anchor:top" coordsize="165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968IA&#10;AADdAAAADwAAAGRycy9kb3ducmV2LnhtbERP3WrCMBS+H/gO4Qi7EU2VMqUapQiiDobM+QCH5tiW&#10;NiclibV7e3Mx2OXH97/ZDaYVPTlfW1YwnyUgiAuray4V3H4O0xUIH5A1tpZJwS952G1HbxvMtH3y&#10;N/XXUIoYwj5DBVUIXSalLyoy6Ge2I47c3TqDIUJXSu3wGcNNKxdJ8iEN1hwbKuxoX1HRXB9GwTDP&#10;86+T65tLs/y8yAmmk+M5Vep9PORrEIGG8C/+c5+0gnSZxv3xTXw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z3rwgAAAN0AAAAPAAAAAAAAAAAAAAAAAJgCAABkcnMvZG93&#10;bnJldi54bWxQSwUGAAAAAAQABAD1AAAAhwMAAAAA&#10;" path="m,l165481,e" filled="f" strokeweight=".15381mm">
                  <v:stroke miterlimit="83231f" joinstyle="miter"/>
                  <v:path arrowok="t" textboxrect="0,0,165481,0"/>
                </v:shape>
                <w10:anchorlock/>
              </v:group>
            </w:pict>
          </mc:Fallback>
        </mc:AlternateContent>
      </w:r>
    </w:p>
    <w:p w:rsidR="00EE13F6" w:rsidRDefault="002E5BC4">
      <w:pPr>
        <w:tabs>
          <w:tab w:val="center" w:pos="4455"/>
          <w:tab w:val="center" w:pos="5125"/>
        </w:tabs>
        <w:spacing w:after="263" w:line="262" w:lineRule="auto"/>
      </w:pPr>
      <w:r>
        <w:tab/>
      </w:r>
      <w:r>
        <w:rPr>
          <w:rFonts w:ascii="Cambria" w:eastAsia="Cambria" w:hAnsi="Cambria" w:cs="Cambria"/>
        </w:rPr>
        <w:t>∆</w:t>
      </w:r>
      <w:r>
        <w:rPr>
          <w:rFonts w:ascii="Cambria" w:eastAsia="Cambria" w:hAnsi="Cambria" w:cs="Cambria"/>
          <w:i/>
        </w:rPr>
        <w:t xml:space="preserve">s </w:t>
      </w:r>
      <w:r>
        <w:rPr>
          <w:rFonts w:ascii="Cambria" w:eastAsia="Cambria" w:hAnsi="Cambria" w:cs="Cambria"/>
        </w:rPr>
        <w:t xml:space="preserve">= </w:t>
      </w:r>
      <w:r>
        <w:rPr>
          <w:rFonts w:ascii="Cambria" w:eastAsia="Cambria" w:hAnsi="Cambria" w:cs="Cambria"/>
          <w:i/>
        </w:rPr>
        <w:t>σ</w:t>
      </w:r>
      <w:r>
        <w:rPr>
          <w:rFonts w:ascii="Cambria" w:eastAsia="Cambria" w:hAnsi="Cambria" w:cs="Cambria"/>
          <w:i/>
        </w:rPr>
        <w:tab/>
      </w:r>
      <w:r>
        <w:rPr>
          <w:rFonts w:ascii="Cambria" w:eastAsia="Cambria" w:hAnsi="Cambria" w:cs="Cambria"/>
        </w:rPr>
        <w:t>∆</w:t>
      </w:r>
      <w:r>
        <w:rPr>
          <w:rFonts w:ascii="Cambria" w:eastAsia="Cambria" w:hAnsi="Cambria" w:cs="Cambria"/>
          <w:i/>
        </w:rPr>
        <w:t>t</w:t>
      </w:r>
    </w:p>
    <w:p w:rsidR="00EE13F6" w:rsidRDefault="002E5BC4">
      <w:pPr>
        <w:spacing w:after="133" w:line="264" w:lineRule="auto"/>
        <w:ind w:left="19" w:right="477" w:hanging="10"/>
        <w:jc w:val="both"/>
      </w:pPr>
      <w:r>
        <w:rPr>
          <w:rFonts w:ascii="Cambria" w:eastAsia="Cambria" w:hAnsi="Cambria" w:cs="Cambria"/>
        </w:rPr>
        <w:t>Besides the fact that the ∆</w:t>
      </w:r>
      <w:r>
        <w:rPr>
          <w:rFonts w:ascii="Cambria" w:eastAsia="Cambria" w:hAnsi="Cambria" w:cs="Cambria"/>
          <w:i/>
        </w:rPr>
        <w:t xml:space="preserve">t </w:t>
      </w:r>
      <w:r>
        <w:rPr>
          <w:rFonts w:ascii="Cambria" w:eastAsia="Cambria" w:hAnsi="Cambria" w:cs="Cambria"/>
        </w:rPr>
        <w:t>rule is asymptotically incorrect without specific conditions on the transaction costs, authors such as Taleb (2005), find th</w:t>
      </w:r>
      <w:r>
        <w:rPr>
          <w:rFonts w:ascii="Cambria" w:eastAsia="Cambria" w:hAnsi="Cambria" w:cs="Cambria"/>
        </w:rPr>
        <w:t>at the ∆</w:t>
      </w:r>
      <w:r>
        <w:rPr>
          <w:rFonts w:ascii="Cambria" w:eastAsia="Cambria" w:hAnsi="Cambria" w:cs="Cambria"/>
          <w:i/>
        </w:rPr>
        <w:t xml:space="preserve">s </w:t>
      </w:r>
      <w:r>
        <w:rPr>
          <w:rFonts w:ascii="Cambria" w:eastAsia="Cambria" w:hAnsi="Cambria" w:cs="Cambria"/>
        </w:rPr>
        <w:t>rule is more efficient than the ∆</w:t>
      </w:r>
      <w:r>
        <w:rPr>
          <w:rFonts w:ascii="Cambria" w:eastAsia="Cambria" w:hAnsi="Cambria" w:cs="Cambria"/>
          <w:i/>
        </w:rPr>
        <w:t xml:space="preserve">t </w:t>
      </w:r>
      <w:r>
        <w:rPr>
          <w:rFonts w:ascii="Cambria" w:eastAsia="Cambria" w:hAnsi="Cambria" w:cs="Cambria"/>
        </w:rPr>
        <w:t>rule.</w:t>
      </w:r>
    </w:p>
    <w:p w:rsidR="00EE13F6" w:rsidRDefault="002E5BC4">
      <w:pPr>
        <w:spacing w:after="133" w:line="264" w:lineRule="auto"/>
        <w:ind w:left="19" w:right="477" w:hanging="10"/>
        <w:jc w:val="both"/>
      </w:pPr>
      <w:r>
        <w:rPr>
          <w:rFonts w:ascii="Cambria" w:eastAsia="Cambria" w:hAnsi="Cambria" w:cs="Cambria"/>
        </w:rPr>
        <w:t>Especially, it proves to be more conservative from a risk perspective and allows for better preservation of the market-maker’s capital and its impact on volatility is higher than for the ∆</w:t>
      </w:r>
      <w:r>
        <w:rPr>
          <w:rFonts w:ascii="Cambria" w:eastAsia="Cambria" w:hAnsi="Cambria" w:cs="Cambria"/>
          <w:i/>
        </w:rPr>
        <w:t>s</w:t>
      </w:r>
      <w:r>
        <w:rPr>
          <w:rFonts w:ascii="Cambria" w:eastAsia="Cambria" w:hAnsi="Cambria" w:cs="Cambria"/>
        </w:rPr>
        <w:t>.</w:t>
      </w:r>
    </w:p>
    <w:p w:rsidR="00EE13F6" w:rsidRDefault="002E5BC4">
      <w:pPr>
        <w:spacing w:after="133" w:line="264" w:lineRule="auto"/>
        <w:ind w:left="19" w:right="477" w:hanging="10"/>
        <w:jc w:val="both"/>
      </w:pPr>
      <w:r>
        <w:rPr>
          <w:rFonts w:ascii="Cambria" w:eastAsia="Cambria" w:hAnsi="Cambria" w:cs="Cambria"/>
        </w:rPr>
        <w:t>For a given le</w:t>
      </w:r>
      <w:r>
        <w:rPr>
          <w:rFonts w:ascii="Cambria" w:eastAsia="Cambria" w:hAnsi="Cambria" w:cs="Cambria"/>
        </w:rPr>
        <w:t>vel of volatility, this multiplier is constant. For instance assuming a volatility level of 40 percent per year the multiplier ratio between a daily re-hedging frequency and a 2 percent based re-hedging strategy amounts to 1.56.</w:t>
      </w:r>
    </w:p>
    <w:p w:rsidR="00EE13F6" w:rsidRDefault="002E5BC4">
      <w:pPr>
        <w:spacing w:after="133" w:line="264" w:lineRule="auto"/>
        <w:ind w:left="19" w:right="477" w:hanging="10"/>
        <w:jc w:val="both"/>
      </w:pPr>
      <w:r>
        <w:rPr>
          <w:rFonts w:ascii="Cambria" w:eastAsia="Cambria" w:hAnsi="Cambria" w:cs="Cambria"/>
        </w:rPr>
        <w:t>The variables to consider a</w:t>
      </w:r>
      <w:r>
        <w:rPr>
          <w:rFonts w:ascii="Cambria" w:eastAsia="Cambria" w:hAnsi="Cambria" w:cs="Cambria"/>
        </w:rPr>
        <w:t>re either the frequency of re-hedging(Leland, 1985) or the underlying asset variation threshold(Boyle and Vorst, 1992) triggering the rebalancing of the delta hedging portfolio. Both formulas consider the level of volatility as the other input. Assuming th</w:t>
      </w:r>
      <w:r>
        <w:rPr>
          <w:rFonts w:ascii="Cambria" w:eastAsia="Cambria" w:hAnsi="Cambria" w:cs="Cambria"/>
        </w:rPr>
        <w:t>at the FTT generates an additional 0.2 percent roundtrip transaction cost on both sales and purchases of the underlying cash equity, the application of both formulas gives the results displayed in Table 1 below in terms of volatility increase.</w:t>
      </w:r>
    </w:p>
    <w:p w:rsidR="00EE13F6" w:rsidRDefault="002E5BC4">
      <w:pPr>
        <w:spacing w:after="133" w:line="264" w:lineRule="auto"/>
        <w:ind w:left="19" w:right="477" w:hanging="10"/>
        <w:jc w:val="both"/>
      </w:pPr>
      <w:r>
        <w:rPr>
          <w:rFonts w:ascii="Cambria" w:eastAsia="Cambria" w:hAnsi="Cambria" w:cs="Cambria"/>
        </w:rPr>
        <w:lastRenderedPageBreak/>
        <w:t>This volatil</w:t>
      </w:r>
      <w:r>
        <w:rPr>
          <w:rFonts w:ascii="Cambria" w:eastAsia="Cambria" w:hAnsi="Cambria" w:cs="Cambria"/>
        </w:rPr>
        <w:t xml:space="preserve">ity increase is computed under the assumption that the option position sold by the market-maker will be held until the option maturity. As a result, this effect as computed below, is the maximum possible effect of the FTT that a market-maker will transmit </w:t>
      </w:r>
      <w:r>
        <w:rPr>
          <w:rFonts w:ascii="Cambria" w:eastAsia="Cambria" w:hAnsi="Cambria" w:cs="Cambria"/>
        </w:rPr>
        <w:t>to the market by an increase in the volatility of an option sold onto the market.</w:t>
      </w:r>
    </w:p>
    <w:p w:rsidR="00EE13F6" w:rsidRDefault="002E5BC4">
      <w:pPr>
        <w:spacing w:after="133" w:line="264" w:lineRule="auto"/>
        <w:ind w:left="19" w:right="477" w:hanging="10"/>
        <w:jc w:val="both"/>
      </w:pPr>
      <w:r>
        <w:rPr>
          <w:rFonts w:ascii="Cambria" w:eastAsia="Cambria" w:hAnsi="Cambria" w:cs="Cambria"/>
        </w:rPr>
        <w:t>Table 1 shows the increase in the implied volatility, solely for the replication costs, for a marketmaker selling an option on a cash equity, it will have to carry until matu</w:t>
      </w:r>
      <w:r>
        <w:rPr>
          <w:rFonts w:ascii="Cambria" w:eastAsia="Cambria" w:hAnsi="Cambria" w:cs="Cambria"/>
        </w:rPr>
        <w:t>rity. Conversely, a market-maker buying an option on cash equity and carrying the position until maturity, will have to decrease the volatility it will quote, by the same amount, to accommodate for the expected hedging costs.</w:t>
      </w:r>
    </w:p>
    <w:p w:rsidR="00EE13F6" w:rsidRDefault="002E5BC4">
      <w:pPr>
        <w:spacing w:after="795" w:line="264" w:lineRule="auto"/>
        <w:ind w:left="19" w:right="477" w:hanging="10"/>
        <w:jc w:val="both"/>
      </w:pPr>
      <w:r>
        <w:rPr>
          <w:rFonts w:ascii="Cambria" w:eastAsia="Cambria" w:hAnsi="Cambria" w:cs="Cambria"/>
        </w:rPr>
        <w:t>For index options, where we ca</w:t>
      </w:r>
      <w:r>
        <w:rPr>
          <w:rFonts w:ascii="Cambria" w:eastAsia="Cambria" w:hAnsi="Cambria" w:cs="Cambria"/>
        </w:rPr>
        <w:t>n assume a 0.02 percent roundtrip transaction cost, the magnitude of the impact will be 10 times lower as both the Leland and Boyle and Vorst formulas retain a volatility impact that is itself proportional to the rate of the roundtrip cost (Table 1).</w:t>
      </w:r>
    </w:p>
    <w:p w:rsidR="00EE13F6" w:rsidRDefault="002E5BC4">
      <w:pPr>
        <w:spacing w:after="2" w:line="261" w:lineRule="auto"/>
        <w:ind w:left="-5" w:right="468" w:hanging="10"/>
        <w:jc w:val="both"/>
      </w:pPr>
      <w:r>
        <w:rPr>
          <w:rFonts w:ascii="Cambria" w:eastAsia="Cambria" w:hAnsi="Cambria" w:cs="Cambria"/>
        </w:rPr>
        <w:t>Table</w:t>
      </w:r>
      <w:r>
        <w:rPr>
          <w:rFonts w:ascii="Cambria" w:eastAsia="Cambria" w:hAnsi="Cambria" w:cs="Cambria"/>
        </w:rPr>
        <w:t xml:space="preserve"> 1: </w:t>
      </w:r>
      <w:r>
        <w:rPr>
          <w:rFonts w:ascii="Cambria" w:eastAsia="Cambria" w:hAnsi="Cambria" w:cs="Cambria"/>
          <w:b/>
        </w:rPr>
        <w:t>Volatility Increase for a 3 year Short (cash) Call Equity Option Position</w:t>
      </w:r>
    </w:p>
    <w:p w:rsidR="00EE13F6" w:rsidRDefault="002E5BC4">
      <w:pPr>
        <w:spacing w:after="202" w:line="261" w:lineRule="auto"/>
        <w:ind w:left="-5" w:right="468" w:hanging="10"/>
        <w:jc w:val="both"/>
      </w:pPr>
      <w:r>
        <w:rPr>
          <w:rFonts w:ascii="Cambria" w:eastAsia="Cambria" w:hAnsi="Cambria" w:cs="Cambria"/>
          <w:b/>
        </w:rPr>
        <w:t>Depending Upon the Re-hedging Rules (Initial Volatility: 40 percent; S=K)</w:t>
      </w:r>
    </w:p>
    <w:tbl>
      <w:tblPr>
        <w:tblStyle w:val="TableGrid"/>
        <w:tblW w:w="7432" w:type="dxa"/>
        <w:tblInd w:w="964" w:type="dxa"/>
        <w:tblCellMar>
          <w:top w:w="40" w:type="dxa"/>
          <w:left w:w="124" w:type="dxa"/>
          <w:bottom w:w="0" w:type="dxa"/>
          <w:right w:w="123" w:type="dxa"/>
        </w:tblCellMar>
        <w:tblLook w:val="04A0" w:firstRow="1" w:lastRow="0" w:firstColumn="1" w:lastColumn="0" w:noHBand="0" w:noVBand="1"/>
      </w:tblPr>
      <w:tblGrid>
        <w:gridCol w:w="3126"/>
        <w:gridCol w:w="1523"/>
        <w:gridCol w:w="1177"/>
        <w:gridCol w:w="1606"/>
      </w:tblGrid>
      <w:tr w:rsidR="00EE13F6">
        <w:trPr>
          <w:trHeight w:val="279"/>
        </w:trPr>
        <w:tc>
          <w:tcPr>
            <w:tcW w:w="312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Hedging Rule</w:t>
            </w:r>
          </w:p>
        </w:tc>
        <w:tc>
          <w:tcPr>
            <w:tcW w:w="15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rPr>
              <w:t>No Repo Tax</w:t>
            </w:r>
          </w:p>
        </w:tc>
        <w:tc>
          <w:tcPr>
            <w:tcW w:w="117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rPr>
              <w:t>Repo Tax</w:t>
            </w:r>
          </w:p>
        </w:tc>
        <w:tc>
          <w:tcPr>
            <w:tcW w:w="1606"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Index Options</w:t>
            </w:r>
          </w:p>
        </w:tc>
      </w:tr>
      <w:tr w:rsidR="00EE13F6">
        <w:trPr>
          <w:trHeight w:val="279"/>
        </w:trPr>
        <w:tc>
          <w:tcPr>
            <w:tcW w:w="312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i/>
              </w:rPr>
              <w:t xml:space="preserve">s </w:t>
            </w:r>
            <w:r>
              <w:rPr>
                <w:rFonts w:ascii="Cambria" w:eastAsia="Cambria" w:hAnsi="Cambria" w:cs="Cambria"/>
              </w:rPr>
              <w:t>= 0</w:t>
            </w:r>
            <w:r>
              <w:rPr>
                <w:rFonts w:ascii="Cambria" w:eastAsia="Cambria" w:hAnsi="Cambria" w:cs="Cambria"/>
                <w:i/>
              </w:rPr>
              <w:t>.</w:t>
            </w:r>
            <w:r>
              <w:rPr>
                <w:rFonts w:ascii="Cambria" w:eastAsia="Cambria" w:hAnsi="Cambria" w:cs="Cambria"/>
              </w:rPr>
              <w:t>01</w:t>
            </w:r>
          </w:p>
        </w:tc>
        <w:tc>
          <w:tcPr>
            <w:tcW w:w="15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7</w:t>
            </w:r>
            <w:r>
              <w:rPr>
                <w:rFonts w:ascii="Cambria" w:eastAsia="Cambria" w:hAnsi="Cambria" w:cs="Cambria"/>
                <w:i/>
              </w:rPr>
              <w:t>.</w:t>
            </w:r>
            <w:r>
              <w:rPr>
                <w:rFonts w:ascii="Cambria" w:eastAsia="Cambria" w:hAnsi="Cambria" w:cs="Cambria"/>
              </w:rPr>
              <w:t>33</w:t>
            </w:r>
          </w:p>
        </w:tc>
        <w:tc>
          <w:tcPr>
            <w:tcW w:w="117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13</w:t>
            </w:r>
            <w:r>
              <w:rPr>
                <w:rFonts w:ascii="Cambria" w:eastAsia="Cambria" w:hAnsi="Cambria" w:cs="Cambria"/>
                <w:i/>
              </w:rPr>
              <w:t>.</w:t>
            </w:r>
            <w:r>
              <w:rPr>
                <w:rFonts w:ascii="Cambria" w:eastAsia="Cambria" w:hAnsi="Cambria" w:cs="Cambria"/>
              </w:rPr>
              <w:t>67</w:t>
            </w:r>
          </w:p>
        </w:tc>
        <w:tc>
          <w:tcPr>
            <w:tcW w:w="16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73</w:t>
            </w:r>
          </w:p>
        </w:tc>
      </w:tr>
      <w:tr w:rsidR="00EE13F6">
        <w:trPr>
          <w:trHeight w:val="288"/>
        </w:trPr>
        <w:tc>
          <w:tcPr>
            <w:tcW w:w="312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i/>
              </w:rPr>
              <w:t xml:space="preserve">s </w:t>
            </w:r>
            <w:r>
              <w:rPr>
                <w:rFonts w:ascii="Cambria" w:eastAsia="Cambria" w:hAnsi="Cambria" w:cs="Cambria"/>
              </w:rPr>
              <w:t>= 0</w:t>
            </w:r>
            <w:r>
              <w:rPr>
                <w:rFonts w:ascii="Cambria" w:eastAsia="Cambria" w:hAnsi="Cambria" w:cs="Cambria"/>
                <w:i/>
              </w:rPr>
              <w:t>.</w:t>
            </w:r>
            <w:r>
              <w:rPr>
                <w:rFonts w:ascii="Cambria" w:eastAsia="Cambria" w:hAnsi="Cambria" w:cs="Cambria"/>
              </w:rPr>
              <w:t>02</w:t>
            </w:r>
          </w:p>
        </w:tc>
        <w:tc>
          <w:tcPr>
            <w:tcW w:w="15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w:t>
            </w:r>
            <w:r>
              <w:rPr>
                <w:rFonts w:ascii="Cambria" w:eastAsia="Cambria" w:hAnsi="Cambria" w:cs="Cambria"/>
                <w:i/>
              </w:rPr>
              <w:t>.</w:t>
            </w:r>
            <w:r>
              <w:rPr>
                <w:rFonts w:ascii="Cambria" w:eastAsia="Cambria" w:hAnsi="Cambria" w:cs="Cambria"/>
              </w:rPr>
              <w:t>82</w:t>
            </w:r>
          </w:p>
        </w:tc>
        <w:tc>
          <w:tcPr>
            <w:tcW w:w="117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7</w:t>
            </w:r>
            <w:r>
              <w:rPr>
                <w:rFonts w:ascii="Cambria" w:eastAsia="Cambria" w:hAnsi="Cambria" w:cs="Cambria"/>
                <w:i/>
              </w:rPr>
              <w:t>.</w:t>
            </w:r>
            <w:r>
              <w:rPr>
                <w:rFonts w:ascii="Cambria" w:eastAsia="Cambria" w:hAnsi="Cambria" w:cs="Cambria"/>
              </w:rPr>
              <w:t>33</w:t>
            </w:r>
          </w:p>
        </w:tc>
        <w:tc>
          <w:tcPr>
            <w:tcW w:w="16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38</w:t>
            </w:r>
          </w:p>
        </w:tc>
      </w:tr>
      <w:tr w:rsidR="00EE13F6">
        <w:trPr>
          <w:trHeight w:val="285"/>
        </w:trPr>
        <w:tc>
          <w:tcPr>
            <w:tcW w:w="312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i/>
              </w:rPr>
              <w:t xml:space="preserve">s </w:t>
            </w:r>
            <w:r>
              <w:rPr>
                <w:rFonts w:ascii="Cambria" w:eastAsia="Cambria" w:hAnsi="Cambria" w:cs="Cambria"/>
              </w:rPr>
              <w:t xml:space="preserve">= </w:t>
            </w:r>
            <w:r>
              <w:rPr>
                <w:rFonts w:ascii="Cambria" w:eastAsia="Cambria" w:hAnsi="Cambria" w:cs="Cambria"/>
                <w:i/>
              </w:rPr>
              <w:t>σ</w:t>
            </w:r>
            <w:r>
              <w:rPr>
                <w:rFonts w:ascii="Cambria" w:eastAsia="Cambria" w:hAnsi="Cambria" w:cs="Cambria"/>
                <w:sz w:val="34"/>
                <w:vertAlign w:val="superscript"/>
              </w:rPr>
              <w:t>p</w:t>
            </w:r>
            <w:r>
              <w:rPr>
                <w:rFonts w:ascii="Cambria" w:eastAsia="Cambria" w:hAnsi="Cambria" w:cs="Cambria"/>
              </w:rPr>
              <w:t>(∆</w:t>
            </w:r>
            <w:r>
              <w:rPr>
                <w:rFonts w:ascii="Cambria" w:eastAsia="Cambria" w:hAnsi="Cambria" w:cs="Cambria"/>
                <w:i/>
              </w:rPr>
              <w:t>t</w:t>
            </w:r>
            <w:r>
              <w:rPr>
                <w:rFonts w:ascii="Cambria" w:eastAsia="Cambria" w:hAnsi="Cambria" w:cs="Cambria"/>
              </w:rPr>
              <w:t>)</w:t>
            </w:r>
          </w:p>
        </w:tc>
        <w:tc>
          <w:tcPr>
            <w:tcW w:w="15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w:t>
            </w:r>
            <w:r>
              <w:rPr>
                <w:rFonts w:ascii="Cambria" w:eastAsia="Cambria" w:hAnsi="Cambria" w:cs="Cambria"/>
                <w:i/>
              </w:rPr>
              <w:t>.</w:t>
            </w:r>
            <w:r>
              <w:rPr>
                <w:rFonts w:ascii="Cambria" w:eastAsia="Cambria" w:hAnsi="Cambria" w:cs="Cambria"/>
              </w:rPr>
              <w:t>26</w:t>
            </w:r>
          </w:p>
        </w:tc>
        <w:tc>
          <w:tcPr>
            <w:tcW w:w="117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8</w:t>
            </w:r>
            <w:r>
              <w:rPr>
                <w:rFonts w:ascii="Cambria" w:eastAsia="Cambria" w:hAnsi="Cambria" w:cs="Cambria"/>
                <w:i/>
              </w:rPr>
              <w:t>.</w:t>
            </w:r>
            <w:r>
              <w:rPr>
                <w:rFonts w:ascii="Cambria" w:eastAsia="Cambria" w:hAnsi="Cambria" w:cs="Cambria"/>
              </w:rPr>
              <w:t>15</w:t>
            </w:r>
          </w:p>
        </w:tc>
        <w:tc>
          <w:tcPr>
            <w:tcW w:w="16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43</w:t>
            </w:r>
          </w:p>
        </w:tc>
      </w:tr>
      <w:tr w:rsidR="00EE13F6">
        <w:trPr>
          <w:trHeight w:val="279"/>
        </w:trPr>
        <w:tc>
          <w:tcPr>
            <w:tcW w:w="312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i/>
              </w:rPr>
              <w:t xml:space="preserve">t </w:t>
            </w:r>
            <w:r>
              <w:rPr>
                <w:rFonts w:ascii="Cambria" w:eastAsia="Cambria" w:hAnsi="Cambria" w:cs="Cambria"/>
              </w:rPr>
              <w:t>= 1</w:t>
            </w:r>
            <w:r>
              <w:rPr>
                <w:rFonts w:ascii="Cambria" w:eastAsia="Cambria" w:hAnsi="Cambria" w:cs="Cambria"/>
                <w:i/>
              </w:rPr>
              <w:t>/</w:t>
            </w:r>
            <w:r>
              <w:rPr>
                <w:rFonts w:ascii="Cambria" w:eastAsia="Cambria" w:hAnsi="Cambria" w:cs="Cambria"/>
              </w:rPr>
              <w:t>252; Daily</w:t>
            </w:r>
          </w:p>
        </w:tc>
        <w:tc>
          <w:tcPr>
            <w:tcW w:w="15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w:t>
            </w:r>
            <w:r>
              <w:rPr>
                <w:rFonts w:ascii="Cambria" w:eastAsia="Cambria" w:hAnsi="Cambria" w:cs="Cambria"/>
                <w:i/>
              </w:rPr>
              <w:t>.</w:t>
            </w:r>
            <w:r>
              <w:rPr>
                <w:rFonts w:ascii="Cambria" w:eastAsia="Cambria" w:hAnsi="Cambria" w:cs="Cambria"/>
              </w:rPr>
              <w:t>46</w:t>
            </w:r>
          </w:p>
        </w:tc>
        <w:tc>
          <w:tcPr>
            <w:tcW w:w="117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w:t>
            </w:r>
            <w:r>
              <w:rPr>
                <w:rFonts w:ascii="Cambria" w:eastAsia="Cambria" w:hAnsi="Cambria" w:cs="Cambria"/>
                <w:i/>
              </w:rPr>
              <w:t>.</w:t>
            </w:r>
            <w:r>
              <w:rPr>
                <w:rFonts w:ascii="Cambria" w:eastAsia="Cambria" w:hAnsi="Cambria" w:cs="Cambria"/>
              </w:rPr>
              <w:t>78</w:t>
            </w:r>
          </w:p>
        </w:tc>
        <w:tc>
          <w:tcPr>
            <w:tcW w:w="16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25</w:t>
            </w:r>
          </w:p>
        </w:tc>
      </w:tr>
      <w:tr w:rsidR="00EE13F6">
        <w:trPr>
          <w:trHeight w:val="279"/>
        </w:trPr>
        <w:tc>
          <w:tcPr>
            <w:tcW w:w="3126"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w:t>
            </w:r>
            <w:r>
              <w:rPr>
                <w:rFonts w:ascii="Cambria" w:eastAsia="Cambria" w:hAnsi="Cambria" w:cs="Cambria"/>
                <w:i/>
              </w:rPr>
              <w:t xml:space="preserve">t </w:t>
            </w:r>
            <w:r>
              <w:rPr>
                <w:rFonts w:ascii="Cambria" w:eastAsia="Cambria" w:hAnsi="Cambria" w:cs="Cambria"/>
              </w:rPr>
              <w:t>= 1</w:t>
            </w:r>
            <w:r>
              <w:rPr>
                <w:rFonts w:ascii="Cambria" w:eastAsia="Cambria" w:hAnsi="Cambria" w:cs="Cambria"/>
                <w:i/>
              </w:rPr>
              <w:t>/</w:t>
            </w:r>
            <w:r>
              <w:rPr>
                <w:rFonts w:ascii="Cambria" w:eastAsia="Cambria" w:hAnsi="Cambria" w:cs="Cambria"/>
              </w:rPr>
              <w:t>(2 ∗ 252); Twice a day</w:t>
            </w:r>
          </w:p>
        </w:tc>
        <w:tc>
          <w:tcPr>
            <w:tcW w:w="15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w:t>
            </w:r>
            <w:r>
              <w:rPr>
                <w:rFonts w:ascii="Cambria" w:eastAsia="Cambria" w:hAnsi="Cambria" w:cs="Cambria"/>
                <w:i/>
              </w:rPr>
              <w:t>.</w:t>
            </w:r>
            <w:r>
              <w:rPr>
                <w:rFonts w:ascii="Cambria" w:eastAsia="Cambria" w:hAnsi="Cambria" w:cs="Cambria"/>
              </w:rPr>
              <w:t>44</w:t>
            </w:r>
          </w:p>
        </w:tc>
        <w:tc>
          <w:tcPr>
            <w:tcW w:w="117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6</w:t>
            </w:r>
            <w:r>
              <w:rPr>
                <w:rFonts w:ascii="Cambria" w:eastAsia="Cambria" w:hAnsi="Cambria" w:cs="Cambria"/>
                <w:i/>
              </w:rPr>
              <w:t>.</w:t>
            </w:r>
            <w:r>
              <w:rPr>
                <w:rFonts w:ascii="Cambria" w:eastAsia="Cambria" w:hAnsi="Cambria" w:cs="Cambria"/>
              </w:rPr>
              <w:t>62</w:t>
            </w:r>
          </w:p>
        </w:tc>
        <w:tc>
          <w:tcPr>
            <w:tcW w:w="16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34</w:t>
            </w:r>
          </w:p>
        </w:tc>
      </w:tr>
    </w:tbl>
    <w:p w:rsidR="00EE13F6" w:rsidRDefault="002E5BC4">
      <w:pPr>
        <w:pStyle w:val="Heading2"/>
        <w:ind w:left="598" w:right="302" w:hanging="613"/>
      </w:pPr>
      <w:r>
        <w:t>1.2</w:t>
      </w:r>
      <w:r>
        <w:tab/>
        <w:t>Total Costs Including Initial and Settlement Costs When The Volatility is Constant</w:t>
      </w:r>
    </w:p>
    <w:p w:rsidR="00EE13F6" w:rsidRDefault="002E5BC4">
      <w:pPr>
        <w:spacing w:after="133" w:line="264" w:lineRule="auto"/>
        <w:ind w:left="19" w:right="477" w:hanging="10"/>
        <w:jc w:val="both"/>
      </w:pPr>
      <w:r>
        <w:rPr>
          <w:rFonts w:ascii="Cambria" w:eastAsia="Cambria" w:hAnsi="Cambria" w:cs="Cambria"/>
        </w:rPr>
        <w:t xml:space="preserve">The original works from Leland, as well as Boyle and Vorst just consider the hedging costs attached to the rebalancing of the hedging portfolio. However, in the context of a FTT transaction, the market-maker will incur additional costs at trade inception. </w:t>
      </w:r>
      <w:r>
        <w:rPr>
          <w:rFonts w:ascii="Cambria" w:eastAsia="Cambria" w:hAnsi="Cambria" w:cs="Cambria"/>
        </w:rPr>
        <w:t>It will incur costs at option settlement, as well. A corrected formula to accommodate for the costs incurred at trade inception was proposed by Leland et al. (2007). However, we need to consider, in addition, all the costs borne by the marketmaker at deliv</w:t>
      </w:r>
      <w:r>
        <w:rPr>
          <w:rFonts w:ascii="Cambria" w:eastAsia="Cambria" w:hAnsi="Cambria" w:cs="Cambria"/>
        </w:rPr>
        <w:t xml:space="preserve">ery, in case the position is carried out till option maturity. Furthermore, we have to take into account the dynamic aspects of market-making, especially that only the inventory portion of the flow orders has to bear costs of replication. Also, we have to </w:t>
      </w:r>
      <w:r>
        <w:rPr>
          <w:rFonts w:ascii="Cambria" w:eastAsia="Cambria" w:hAnsi="Cambria" w:cs="Cambria"/>
        </w:rPr>
        <w:t>consider that only a portion of the option book is to be carried upon delivery.</w:t>
      </w:r>
    </w:p>
    <w:p w:rsidR="00EE13F6" w:rsidRDefault="002E5BC4">
      <w:pPr>
        <w:spacing w:after="133" w:line="264" w:lineRule="auto"/>
        <w:ind w:left="19" w:right="477" w:hanging="10"/>
        <w:jc w:val="both"/>
      </w:pPr>
      <w:r>
        <w:rPr>
          <w:rFonts w:ascii="Cambria" w:eastAsia="Cambria" w:hAnsi="Cambria" w:cs="Cambria"/>
        </w:rPr>
        <w:t>We make the assumption that before selling a new option, the market-maker owns a hedged equity portfolio as well an unhedged equity portfolio. Its market risk is within its tra</w:t>
      </w:r>
      <w:r>
        <w:rPr>
          <w:rFonts w:ascii="Cambria" w:eastAsia="Cambria" w:hAnsi="Cambria" w:cs="Cambria"/>
        </w:rPr>
        <w:t>ding limits. This allows the market maker to benefit from ”proprietary” directional positions it can take on both volatility and stock price level.</w:t>
      </w:r>
    </w:p>
    <w:p w:rsidR="00EE13F6" w:rsidRDefault="002E5BC4">
      <w:pPr>
        <w:spacing w:after="133" w:line="264" w:lineRule="auto"/>
        <w:ind w:left="19" w:right="477" w:hanging="10"/>
        <w:jc w:val="both"/>
      </w:pPr>
      <w:r>
        <w:rPr>
          <w:rFonts w:ascii="Cambria" w:eastAsia="Cambria" w:hAnsi="Cambria" w:cs="Cambria"/>
        </w:rPr>
        <w:t xml:space="preserve">When new trades arrive, the market-maker generally nets together matching orders of opposite interests, and </w:t>
      </w:r>
      <w:r>
        <w:rPr>
          <w:rFonts w:ascii="Cambria" w:eastAsia="Cambria" w:hAnsi="Cambria" w:cs="Cambria"/>
        </w:rPr>
        <w:t>chose either to hedge or non hedge the positions for which it acts as a principal.</w:t>
      </w:r>
    </w:p>
    <w:p w:rsidR="00EE13F6" w:rsidRDefault="002E5BC4">
      <w:pPr>
        <w:spacing w:after="159" w:line="264" w:lineRule="auto"/>
        <w:ind w:left="19" w:right="477" w:hanging="10"/>
        <w:jc w:val="both"/>
      </w:pPr>
      <w:r>
        <w:rPr>
          <w:rFonts w:ascii="Cambria" w:eastAsia="Cambria" w:hAnsi="Cambria" w:cs="Cambria"/>
        </w:rPr>
        <w:t>We consider the case of a market-maker selling a call option.</w:t>
      </w:r>
    </w:p>
    <w:p w:rsidR="00EE13F6" w:rsidRDefault="002E5BC4" w:rsidP="002E5BC4">
      <w:pPr>
        <w:numPr>
          <w:ilvl w:val="0"/>
          <w:numId w:val="10"/>
        </w:numPr>
        <w:spacing w:after="70" w:line="264" w:lineRule="auto"/>
        <w:ind w:right="477" w:hanging="145"/>
        <w:jc w:val="both"/>
      </w:pPr>
      <w:r>
        <w:rPr>
          <w:rFonts w:ascii="Cambria" w:eastAsia="Cambria" w:hAnsi="Cambria" w:cs="Cambria"/>
        </w:rPr>
        <w:lastRenderedPageBreak/>
        <w:t xml:space="preserve">At trade inception, the number </w:t>
      </w:r>
      <w:r>
        <w:rPr>
          <w:rFonts w:ascii="Cambria" w:eastAsia="Cambria" w:hAnsi="Cambria" w:cs="Cambria"/>
          <w:i/>
        </w:rPr>
        <w:t xml:space="preserve">δ </w:t>
      </w:r>
      <w:r>
        <w:rPr>
          <w:rFonts w:ascii="Cambria" w:eastAsia="Cambria" w:hAnsi="Cambria" w:cs="Cambria"/>
        </w:rPr>
        <w:t xml:space="preserve">of shares that the market-maker selling a call option has to buy is: </w:t>
      </w:r>
      <w:r>
        <w:rPr>
          <w:noProof/>
        </w:rPr>
        <w:drawing>
          <wp:inline distT="0" distB="0" distL="0" distR="0">
            <wp:extent cx="487680" cy="143256"/>
            <wp:effectExtent l="0" t="0" r="0" b="0"/>
            <wp:docPr id="221805" name="Picture 221805"/>
            <wp:cNvGraphicFramePr/>
            <a:graphic xmlns:a="http://schemas.openxmlformats.org/drawingml/2006/main">
              <a:graphicData uri="http://schemas.openxmlformats.org/drawingml/2006/picture">
                <pic:pic xmlns:pic="http://schemas.openxmlformats.org/drawingml/2006/picture">
                  <pic:nvPicPr>
                    <pic:cNvPr id="221805" name="Picture 221805"/>
                    <pic:cNvPicPr/>
                  </pic:nvPicPr>
                  <pic:blipFill>
                    <a:blip r:embed="rId21"/>
                    <a:stretch>
                      <a:fillRect/>
                    </a:stretch>
                  </pic:blipFill>
                  <pic:spPr>
                    <a:xfrm>
                      <a:off x="0" y="0"/>
                      <a:ext cx="487680" cy="143256"/>
                    </a:xfrm>
                    <a:prstGeom prst="rect">
                      <a:avLst/>
                    </a:prstGeom>
                  </pic:spPr>
                </pic:pic>
              </a:graphicData>
            </a:graphic>
          </wp:inline>
        </w:drawing>
      </w:r>
      <w:r>
        <w:rPr>
          <w:rFonts w:ascii="Cambria" w:eastAsia="Cambria" w:hAnsi="Cambria" w:cs="Cambria"/>
        </w:rPr>
        <w:t>), where Φ() designates the cumulative distribution of a standard gaussian random variable.</w:t>
      </w:r>
    </w:p>
    <w:p w:rsidR="00EE13F6" w:rsidRDefault="002E5BC4">
      <w:pPr>
        <w:spacing w:after="210" w:line="216" w:lineRule="auto"/>
        <w:ind w:left="19" w:right="477" w:hanging="10"/>
        <w:jc w:val="both"/>
      </w:pPr>
      <w:r>
        <w:rPr>
          <w:rFonts w:ascii="Cambria" w:eastAsia="Cambria" w:hAnsi="Cambria" w:cs="Cambria"/>
        </w:rPr>
        <w:t xml:space="preserve">It will therefore incur a cost of </w:t>
      </w:r>
      <w:r>
        <w:rPr>
          <w:noProof/>
        </w:rPr>
        <w:drawing>
          <wp:inline distT="0" distB="0" distL="0" distR="0">
            <wp:extent cx="566928" cy="179832"/>
            <wp:effectExtent l="0" t="0" r="0" b="0"/>
            <wp:docPr id="221806" name="Picture 221806"/>
            <wp:cNvGraphicFramePr/>
            <a:graphic xmlns:a="http://schemas.openxmlformats.org/drawingml/2006/main">
              <a:graphicData uri="http://schemas.openxmlformats.org/drawingml/2006/picture">
                <pic:pic xmlns:pic="http://schemas.openxmlformats.org/drawingml/2006/picture">
                  <pic:nvPicPr>
                    <pic:cNvPr id="221806" name="Picture 221806"/>
                    <pic:cNvPicPr/>
                  </pic:nvPicPr>
                  <pic:blipFill>
                    <a:blip r:embed="rId22"/>
                    <a:stretch>
                      <a:fillRect/>
                    </a:stretch>
                  </pic:blipFill>
                  <pic:spPr>
                    <a:xfrm>
                      <a:off x="0" y="0"/>
                      <a:ext cx="566928" cy="179832"/>
                    </a:xfrm>
                    <a:prstGeom prst="rect">
                      <a:avLst/>
                    </a:prstGeom>
                  </pic:spPr>
                </pic:pic>
              </a:graphicData>
            </a:graphic>
          </wp:inline>
        </w:drawing>
      </w:r>
      <w:r>
        <w:rPr>
          <w:rFonts w:ascii="Cambria" w:eastAsia="Cambria" w:hAnsi="Cambria" w:cs="Cambria"/>
        </w:rPr>
        <w:t xml:space="preserve">) which is stated in Leland et al. (2007), where </w:t>
      </w:r>
      <w:r>
        <w:rPr>
          <w:rFonts w:ascii="Cambria" w:eastAsia="Cambria" w:hAnsi="Cambria" w:cs="Cambria"/>
          <w:i/>
        </w:rPr>
        <w:t>S</w:t>
      </w:r>
      <w:r>
        <w:rPr>
          <w:rFonts w:ascii="Cambria" w:eastAsia="Cambria" w:hAnsi="Cambria" w:cs="Cambria"/>
          <w:vertAlign w:val="subscript"/>
        </w:rPr>
        <w:t xml:space="preserve">0 </w:t>
      </w:r>
      <w:r>
        <w:rPr>
          <w:rFonts w:ascii="Cambria" w:eastAsia="Cambria" w:hAnsi="Cambria" w:cs="Cambria"/>
        </w:rPr>
        <w:t>is the spot value of the stock.</w:t>
      </w:r>
    </w:p>
    <w:p w:rsidR="00EE13F6" w:rsidRDefault="002E5BC4">
      <w:pPr>
        <w:spacing w:after="133" w:line="264" w:lineRule="auto"/>
        <w:ind w:left="19" w:right="477" w:hanging="10"/>
        <w:jc w:val="both"/>
      </w:pPr>
      <w:r>
        <w:rPr>
          <w:rFonts w:ascii="Cambria" w:eastAsia="Cambria" w:hAnsi="Cambria" w:cs="Cambria"/>
        </w:rPr>
        <w:t>This cost will be quite different between opt</w:t>
      </w:r>
      <w:r>
        <w:rPr>
          <w:rFonts w:ascii="Cambria" w:eastAsia="Cambria" w:hAnsi="Cambria" w:cs="Cambria"/>
        </w:rPr>
        <w:t>ion on equity futures or forward (</w:t>
      </w:r>
      <w:r>
        <w:rPr>
          <w:rFonts w:ascii="Cambria" w:eastAsia="Cambria" w:hAnsi="Cambria" w:cs="Cambria"/>
          <w:i/>
        </w:rPr>
        <w:t xml:space="preserve">k </w:t>
      </w:r>
      <w:r>
        <w:rPr>
          <w:rFonts w:ascii="Cambria" w:eastAsia="Cambria" w:hAnsi="Cambria" w:cs="Cambria"/>
        </w:rPr>
        <w:t>= 0</w:t>
      </w:r>
      <w:r>
        <w:rPr>
          <w:rFonts w:ascii="Cambria" w:eastAsia="Cambria" w:hAnsi="Cambria" w:cs="Cambria"/>
          <w:i/>
        </w:rPr>
        <w:t>.</w:t>
      </w:r>
      <w:r>
        <w:rPr>
          <w:rFonts w:ascii="Cambria" w:eastAsia="Cambria" w:hAnsi="Cambria" w:cs="Cambria"/>
        </w:rPr>
        <w:t>02 percent) and option on cash stocks (</w:t>
      </w:r>
      <w:r>
        <w:rPr>
          <w:rFonts w:ascii="Cambria" w:eastAsia="Cambria" w:hAnsi="Cambria" w:cs="Cambria"/>
          <w:i/>
        </w:rPr>
        <w:t xml:space="preserve">k </w:t>
      </w:r>
      <w:r>
        <w:rPr>
          <w:rFonts w:ascii="Cambria" w:eastAsia="Cambria" w:hAnsi="Cambria" w:cs="Cambria"/>
        </w:rPr>
        <w:t>= 0</w:t>
      </w:r>
      <w:r>
        <w:rPr>
          <w:rFonts w:ascii="Cambria" w:eastAsia="Cambria" w:hAnsi="Cambria" w:cs="Cambria"/>
          <w:i/>
        </w:rPr>
        <w:t>.</w:t>
      </w:r>
      <w:r>
        <w:rPr>
          <w:rFonts w:ascii="Cambria" w:eastAsia="Cambria" w:hAnsi="Cambria" w:cs="Cambria"/>
        </w:rPr>
        <w:t xml:space="preserve">2 percent without funding; </w:t>
      </w:r>
      <w:r>
        <w:rPr>
          <w:rFonts w:ascii="Cambria" w:eastAsia="Cambria" w:hAnsi="Cambria" w:cs="Cambria"/>
          <w:i/>
        </w:rPr>
        <w:t xml:space="preserve">k </w:t>
      </w:r>
      <w:r>
        <w:rPr>
          <w:rFonts w:ascii="Cambria" w:eastAsia="Cambria" w:hAnsi="Cambria" w:cs="Cambria"/>
        </w:rPr>
        <w:t>= 0</w:t>
      </w:r>
      <w:r>
        <w:rPr>
          <w:rFonts w:ascii="Cambria" w:eastAsia="Cambria" w:hAnsi="Cambria" w:cs="Cambria"/>
          <w:i/>
        </w:rPr>
        <w:t>.</w:t>
      </w:r>
      <w:r>
        <w:rPr>
          <w:rFonts w:ascii="Cambria" w:eastAsia="Cambria" w:hAnsi="Cambria" w:cs="Cambria"/>
        </w:rPr>
        <w:t>4 percent if we consider the funding) .</w:t>
      </w:r>
    </w:p>
    <w:p w:rsidR="00EE13F6" w:rsidRDefault="002E5BC4">
      <w:pPr>
        <w:spacing w:line="264" w:lineRule="auto"/>
        <w:ind w:left="19" w:right="477" w:hanging="10"/>
        <w:jc w:val="both"/>
      </w:pPr>
      <w:r>
        <w:rPr>
          <w:rFonts w:ascii="Cambria" w:eastAsia="Cambria" w:hAnsi="Cambria" w:cs="Cambria"/>
        </w:rPr>
        <w:t>It will have to be weighed by the quantity of options which need effectively a replication portfol</w:t>
      </w:r>
      <w:r>
        <w:rPr>
          <w:rFonts w:ascii="Cambria" w:eastAsia="Cambria" w:hAnsi="Cambria" w:cs="Cambria"/>
        </w:rPr>
        <w:t>io to be hedged. In the Flow order addressed by the market-maker, this one can match and net purchase and sales orders from the market. Thus only a portion of the flow quoted by the market is going to need a replication portfolio.</w:t>
      </w:r>
    </w:p>
    <w:p w:rsidR="00EE13F6" w:rsidRDefault="002E5BC4" w:rsidP="002E5BC4">
      <w:pPr>
        <w:numPr>
          <w:ilvl w:val="0"/>
          <w:numId w:val="10"/>
        </w:numPr>
        <w:spacing w:after="133" w:line="216" w:lineRule="auto"/>
        <w:ind w:right="477" w:hanging="145"/>
        <w:jc w:val="both"/>
      </w:pPr>
      <w:r>
        <w:rPr>
          <w:rFonts w:ascii="Cambria" w:eastAsia="Cambria" w:hAnsi="Cambria" w:cs="Cambria"/>
        </w:rPr>
        <w:t>At trade settlement, in c</w:t>
      </w:r>
      <w:r>
        <w:rPr>
          <w:rFonts w:ascii="Cambria" w:eastAsia="Cambria" w:hAnsi="Cambria" w:cs="Cambria"/>
        </w:rPr>
        <w:t xml:space="preserve">ase the call option is in the money, this market-maker will sell the stock before tax at the strike price </w:t>
      </w:r>
      <w:r>
        <w:rPr>
          <w:rFonts w:ascii="Cambria" w:eastAsia="Cambria" w:hAnsi="Cambria" w:cs="Cambria"/>
          <w:i/>
        </w:rPr>
        <w:t xml:space="preserve">K </w:t>
      </w:r>
      <w:r>
        <w:rPr>
          <w:rFonts w:ascii="Cambria" w:eastAsia="Cambria" w:hAnsi="Cambria" w:cs="Cambria"/>
        </w:rPr>
        <w:t xml:space="preserve">and will receive (1 </w:t>
      </w:r>
      <w:r>
        <w:rPr>
          <w:noProof/>
        </w:rPr>
        <w:drawing>
          <wp:inline distT="0" distB="0" distL="0" distR="0">
            <wp:extent cx="399288" cy="179832"/>
            <wp:effectExtent l="0" t="0" r="0" b="0"/>
            <wp:docPr id="221807" name="Picture 221807"/>
            <wp:cNvGraphicFramePr/>
            <a:graphic xmlns:a="http://schemas.openxmlformats.org/drawingml/2006/main">
              <a:graphicData uri="http://schemas.openxmlformats.org/drawingml/2006/picture">
                <pic:pic xmlns:pic="http://schemas.openxmlformats.org/drawingml/2006/picture">
                  <pic:nvPicPr>
                    <pic:cNvPr id="221807" name="Picture 221807"/>
                    <pic:cNvPicPr/>
                  </pic:nvPicPr>
                  <pic:blipFill>
                    <a:blip r:embed="rId23"/>
                    <a:stretch>
                      <a:fillRect/>
                    </a:stretch>
                  </pic:blipFill>
                  <pic:spPr>
                    <a:xfrm>
                      <a:off x="0" y="0"/>
                      <a:ext cx="399288" cy="179832"/>
                    </a:xfrm>
                    <a:prstGeom prst="rect">
                      <a:avLst/>
                    </a:prstGeom>
                  </pic:spPr>
                </pic:pic>
              </a:graphicData>
            </a:graphic>
          </wp:inline>
        </w:drawing>
      </w:r>
      <w:r>
        <w:rPr>
          <w:rFonts w:ascii="Cambria" w:eastAsia="Cambria" w:hAnsi="Cambria" w:cs="Cambria"/>
        </w:rPr>
        <w:t xml:space="preserve"> after the FTT. It will buy the stock at a price before tax of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and (1 +</w:t>
      </w:r>
      <w:r>
        <w:rPr>
          <w:noProof/>
        </w:rPr>
        <w:drawing>
          <wp:inline distT="0" distB="0" distL="0" distR="0">
            <wp:extent cx="292608" cy="176785"/>
            <wp:effectExtent l="0" t="0" r="0" b="0"/>
            <wp:docPr id="221808" name="Picture 221808"/>
            <wp:cNvGraphicFramePr/>
            <a:graphic xmlns:a="http://schemas.openxmlformats.org/drawingml/2006/main">
              <a:graphicData uri="http://schemas.openxmlformats.org/drawingml/2006/picture">
                <pic:pic xmlns:pic="http://schemas.openxmlformats.org/drawingml/2006/picture">
                  <pic:nvPicPr>
                    <pic:cNvPr id="221808" name="Picture 221808"/>
                    <pic:cNvPicPr/>
                  </pic:nvPicPr>
                  <pic:blipFill>
                    <a:blip r:embed="rId24"/>
                    <a:stretch>
                      <a:fillRect/>
                    </a:stretch>
                  </pic:blipFill>
                  <pic:spPr>
                    <a:xfrm>
                      <a:off x="0" y="0"/>
                      <a:ext cx="292608" cy="176785"/>
                    </a:xfrm>
                    <a:prstGeom prst="rect">
                      <a:avLst/>
                    </a:prstGeom>
                  </pic:spPr>
                </pic:pic>
              </a:graphicData>
            </a:graphic>
          </wp:inline>
        </w:drawing>
      </w:r>
      <w:r>
        <w:rPr>
          <w:rFonts w:ascii="Cambria" w:eastAsia="Cambria" w:hAnsi="Cambria" w:cs="Cambria"/>
        </w:rPr>
        <w:t xml:space="preserve"> after paying the FTT.</w:t>
      </w:r>
    </w:p>
    <w:p w:rsidR="00EE13F6" w:rsidRDefault="002E5BC4">
      <w:pPr>
        <w:spacing w:after="62" w:line="264" w:lineRule="auto"/>
        <w:ind w:left="19" w:right="477" w:hanging="10"/>
        <w:jc w:val="both"/>
      </w:pPr>
      <w:r>
        <w:rPr>
          <w:rFonts w:ascii="Cambria" w:eastAsia="Cambria" w:hAnsi="Cambria" w:cs="Cambria"/>
        </w:rPr>
        <w:t>In our business model this se</w:t>
      </w:r>
      <w:r>
        <w:rPr>
          <w:rFonts w:ascii="Cambria" w:eastAsia="Cambria" w:hAnsi="Cambria" w:cs="Cambria"/>
        </w:rPr>
        <w:t xml:space="preserve">ttlement cost will only apply to the options for which the broker dealer entered into the market and acted as a principal. The settlement costs will only apply for those trades which represent a fraction </w:t>
      </w:r>
      <w:r>
        <w:rPr>
          <w:rFonts w:ascii="Cambria" w:eastAsia="Cambria" w:hAnsi="Cambria" w:cs="Cambria"/>
          <w:i/>
        </w:rPr>
        <w:t>IF</w:t>
      </w:r>
      <w:r>
        <w:rPr>
          <w:rFonts w:ascii="Cambria" w:eastAsia="Cambria" w:hAnsi="Cambria" w:cs="Cambria"/>
        </w:rPr>
        <w:t>(</w:t>
      </w:r>
      <w:r>
        <w:rPr>
          <w:rFonts w:ascii="Cambria" w:eastAsia="Cambria" w:hAnsi="Cambria" w:cs="Cambria"/>
          <w:i/>
        </w:rPr>
        <w:t>t</w:t>
      </w:r>
      <w:r>
        <w:rPr>
          <w:rFonts w:ascii="Cambria" w:eastAsia="Cambria" w:hAnsi="Cambria" w:cs="Cambria"/>
        </w:rPr>
        <w:t>) of the total Flow orders.</w:t>
      </w:r>
    </w:p>
    <w:p w:rsidR="00EE13F6" w:rsidRDefault="002E5BC4" w:rsidP="002E5BC4">
      <w:pPr>
        <w:numPr>
          <w:ilvl w:val="0"/>
          <w:numId w:val="10"/>
        </w:numPr>
        <w:spacing w:after="133" w:line="216" w:lineRule="auto"/>
        <w:ind w:right="477" w:hanging="145"/>
        <w:jc w:val="both"/>
      </w:pPr>
      <w:r>
        <w:rPr>
          <w:rFonts w:ascii="Cambria" w:eastAsia="Cambria" w:hAnsi="Cambria" w:cs="Cambria"/>
        </w:rPr>
        <w:t>On the stock sale, t</w:t>
      </w:r>
      <w:r>
        <w:rPr>
          <w:rFonts w:ascii="Cambria" w:eastAsia="Cambria" w:hAnsi="Cambria" w:cs="Cambria"/>
        </w:rPr>
        <w:t xml:space="preserve">he additional cost is, according to Black-Scholes framework [ </w:t>
      </w:r>
      <w:r>
        <w:rPr>
          <w:noProof/>
        </w:rPr>
        <w:drawing>
          <wp:inline distT="0" distB="0" distL="0" distR="0">
            <wp:extent cx="941832" cy="179832"/>
            <wp:effectExtent l="0" t="0" r="0" b="0"/>
            <wp:docPr id="221809" name="Picture 221809"/>
            <wp:cNvGraphicFramePr/>
            <a:graphic xmlns:a="http://schemas.openxmlformats.org/drawingml/2006/main">
              <a:graphicData uri="http://schemas.openxmlformats.org/drawingml/2006/picture">
                <pic:pic xmlns:pic="http://schemas.openxmlformats.org/drawingml/2006/picture">
                  <pic:nvPicPr>
                    <pic:cNvPr id="221809" name="Picture 221809"/>
                    <pic:cNvPicPr/>
                  </pic:nvPicPr>
                  <pic:blipFill>
                    <a:blip r:embed="rId25"/>
                    <a:stretch>
                      <a:fillRect/>
                    </a:stretch>
                  </pic:blipFill>
                  <pic:spPr>
                    <a:xfrm>
                      <a:off x="0" y="0"/>
                      <a:ext cx="941832" cy="179832"/>
                    </a:xfrm>
                    <a:prstGeom prst="rect">
                      <a:avLst/>
                    </a:prstGeom>
                  </pic:spPr>
                </pic:pic>
              </a:graphicData>
            </a:graphic>
          </wp:inline>
        </w:drawing>
      </w:r>
      <w:r>
        <w:rPr>
          <w:rFonts w:ascii="Cambria" w:eastAsia="Cambria" w:hAnsi="Cambria" w:cs="Cambria"/>
        </w:rPr>
        <w:t>which writes:</w:t>
      </w:r>
    </w:p>
    <w:p w:rsidR="00EE13F6" w:rsidRDefault="002E5BC4">
      <w:pPr>
        <w:spacing w:after="0"/>
        <w:ind w:left="4200"/>
      </w:pPr>
      <w:r>
        <w:rPr>
          <w:noProof/>
        </w:rPr>
        <w:drawing>
          <wp:inline distT="0" distB="0" distL="0" distR="0">
            <wp:extent cx="551688" cy="289560"/>
            <wp:effectExtent l="0" t="0" r="0" b="0"/>
            <wp:docPr id="221810" name="Picture 221810"/>
            <wp:cNvGraphicFramePr/>
            <a:graphic xmlns:a="http://schemas.openxmlformats.org/drawingml/2006/main">
              <a:graphicData uri="http://schemas.openxmlformats.org/drawingml/2006/picture">
                <pic:pic xmlns:pic="http://schemas.openxmlformats.org/drawingml/2006/picture">
                  <pic:nvPicPr>
                    <pic:cNvPr id="221810" name="Picture 221810"/>
                    <pic:cNvPicPr/>
                  </pic:nvPicPr>
                  <pic:blipFill>
                    <a:blip r:embed="rId26"/>
                    <a:stretch>
                      <a:fillRect/>
                    </a:stretch>
                  </pic:blipFill>
                  <pic:spPr>
                    <a:xfrm>
                      <a:off x="0" y="0"/>
                      <a:ext cx="551688" cy="289560"/>
                    </a:xfrm>
                    <a:prstGeom prst="rect">
                      <a:avLst/>
                    </a:prstGeom>
                  </pic:spPr>
                </pic:pic>
              </a:graphicData>
            </a:graphic>
          </wp:inline>
        </w:drawing>
      </w:r>
    </w:p>
    <w:p w:rsidR="00EE13F6" w:rsidRDefault="002E5BC4">
      <w:pPr>
        <w:spacing w:after="133" w:line="264" w:lineRule="auto"/>
        <w:ind w:left="19" w:right="477" w:hanging="10"/>
        <w:jc w:val="both"/>
      </w:pPr>
      <w:r>
        <w:rPr>
          <w:noProof/>
        </w:rPr>
        <w:drawing>
          <wp:inline distT="0" distB="0" distL="0" distR="0">
            <wp:extent cx="118872" cy="140208"/>
            <wp:effectExtent l="0" t="0" r="0" b="0"/>
            <wp:docPr id="221811" name="Picture 221811"/>
            <wp:cNvGraphicFramePr/>
            <a:graphic xmlns:a="http://schemas.openxmlformats.org/drawingml/2006/main">
              <a:graphicData uri="http://schemas.openxmlformats.org/drawingml/2006/picture">
                <pic:pic xmlns:pic="http://schemas.openxmlformats.org/drawingml/2006/picture">
                  <pic:nvPicPr>
                    <pic:cNvPr id="221811" name="Picture 221811"/>
                    <pic:cNvPicPr/>
                  </pic:nvPicPr>
                  <pic:blipFill>
                    <a:blip r:embed="rId27"/>
                    <a:stretch>
                      <a:fillRect/>
                    </a:stretch>
                  </pic:blipFill>
                  <pic:spPr>
                    <a:xfrm>
                      <a:off x="0" y="0"/>
                      <a:ext cx="118872" cy="140208"/>
                    </a:xfrm>
                    <a:prstGeom prst="rect">
                      <a:avLst/>
                    </a:prstGeom>
                  </pic:spPr>
                </pic:pic>
              </a:graphicData>
            </a:graphic>
          </wp:inline>
        </w:drawing>
      </w:r>
      <w:r>
        <w:rPr>
          <w:rFonts w:ascii="Cambria" w:eastAsia="Cambria" w:hAnsi="Cambria" w:cs="Cambria"/>
        </w:rPr>
        <w:t xml:space="preserve"> designates the quantity </w:t>
      </w:r>
      <w:r>
        <w:rPr>
          <w:rFonts w:ascii="Cambria" w:eastAsia="Cambria" w:hAnsi="Cambria" w:cs="Cambria"/>
          <w:i/>
        </w:rPr>
        <w:t>d</w:t>
      </w:r>
      <w:r>
        <w:rPr>
          <w:rFonts w:ascii="Cambria" w:eastAsia="Cambria" w:hAnsi="Cambria" w:cs="Cambria"/>
          <w:vertAlign w:val="subscript"/>
        </w:rPr>
        <w:t xml:space="preserve">2 </w:t>
      </w:r>
      <w:r>
        <w:rPr>
          <w:rFonts w:ascii="Cambria" w:eastAsia="Cambria" w:hAnsi="Cambria" w:cs="Cambria"/>
        </w:rPr>
        <w:t xml:space="preserve">using the modified volatility </w:t>
      </w:r>
      <w:r>
        <w:rPr>
          <w:rFonts w:ascii="Cambria" w:eastAsia="Cambria" w:hAnsi="Cambria" w:cs="Cambria"/>
          <w:i/>
        </w:rPr>
        <w:t>σ</w:t>
      </w:r>
      <w:r>
        <w:rPr>
          <w:rFonts w:ascii="Cambria" w:eastAsia="Cambria" w:hAnsi="Cambria" w:cs="Cambria"/>
          <w:vertAlign w:val="superscript"/>
        </w:rPr>
        <w:t>∗</w:t>
      </w:r>
      <w:r>
        <w:rPr>
          <w:rFonts w:ascii="Cambria" w:eastAsia="Cambria" w:hAnsi="Cambria" w:cs="Cambria"/>
        </w:rPr>
        <w:t>.</w:t>
      </w:r>
    </w:p>
    <w:p w:rsidR="00EE13F6" w:rsidRDefault="002E5BC4" w:rsidP="002E5BC4">
      <w:pPr>
        <w:numPr>
          <w:ilvl w:val="0"/>
          <w:numId w:val="10"/>
        </w:numPr>
        <w:spacing w:after="71" w:line="264" w:lineRule="auto"/>
        <w:ind w:right="477" w:hanging="145"/>
        <w:jc w:val="both"/>
      </w:pPr>
      <w:r>
        <w:rPr>
          <w:rFonts w:ascii="Cambria" w:eastAsia="Cambria" w:hAnsi="Cambria" w:cs="Cambria"/>
        </w:rPr>
        <w:t>On the stock purchase, the additional cost is:</w:t>
      </w:r>
    </w:p>
    <w:p w:rsidR="00EE13F6" w:rsidRDefault="002E5BC4">
      <w:pPr>
        <w:spacing w:after="320"/>
        <w:ind w:left="2440"/>
      </w:pPr>
      <w:r>
        <w:rPr>
          <w:noProof/>
        </w:rPr>
        <w:drawing>
          <wp:inline distT="0" distB="0" distL="0" distR="0">
            <wp:extent cx="2782824" cy="332232"/>
            <wp:effectExtent l="0" t="0" r="0" b="0"/>
            <wp:docPr id="221812" name="Picture 221812"/>
            <wp:cNvGraphicFramePr/>
            <a:graphic xmlns:a="http://schemas.openxmlformats.org/drawingml/2006/main">
              <a:graphicData uri="http://schemas.openxmlformats.org/drawingml/2006/picture">
                <pic:pic xmlns:pic="http://schemas.openxmlformats.org/drawingml/2006/picture">
                  <pic:nvPicPr>
                    <pic:cNvPr id="221812" name="Picture 221812"/>
                    <pic:cNvPicPr/>
                  </pic:nvPicPr>
                  <pic:blipFill>
                    <a:blip r:embed="rId28"/>
                    <a:stretch>
                      <a:fillRect/>
                    </a:stretch>
                  </pic:blipFill>
                  <pic:spPr>
                    <a:xfrm>
                      <a:off x="0" y="0"/>
                      <a:ext cx="2782824" cy="332232"/>
                    </a:xfrm>
                    <a:prstGeom prst="rect">
                      <a:avLst/>
                    </a:prstGeom>
                  </pic:spPr>
                </pic:pic>
              </a:graphicData>
            </a:graphic>
          </wp:inline>
        </w:drawing>
      </w:r>
    </w:p>
    <w:p w:rsidR="00EE13F6" w:rsidRDefault="002E5BC4">
      <w:pPr>
        <w:spacing w:after="195"/>
        <w:ind w:left="3240"/>
      </w:pPr>
      <w:r>
        <w:rPr>
          <w:noProof/>
        </w:rPr>
        <w:drawing>
          <wp:inline distT="0" distB="0" distL="0" distR="0">
            <wp:extent cx="1795272" cy="289560"/>
            <wp:effectExtent l="0" t="0" r="0" b="0"/>
            <wp:docPr id="221813" name="Picture 221813"/>
            <wp:cNvGraphicFramePr/>
            <a:graphic xmlns:a="http://schemas.openxmlformats.org/drawingml/2006/main">
              <a:graphicData uri="http://schemas.openxmlformats.org/drawingml/2006/picture">
                <pic:pic xmlns:pic="http://schemas.openxmlformats.org/drawingml/2006/picture">
                  <pic:nvPicPr>
                    <pic:cNvPr id="221813" name="Picture 221813"/>
                    <pic:cNvPicPr/>
                  </pic:nvPicPr>
                  <pic:blipFill>
                    <a:blip r:embed="rId29"/>
                    <a:stretch>
                      <a:fillRect/>
                    </a:stretch>
                  </pic:blipFill>
                  <pic:spPr>
                    <a:xfrm>
                      <a:off x="0" y="0"/>
                      <a:ext cx="1795272" cy="289560"/>
                    </a:xfrm>
                    <a:prstGeom prst="rect">
                      <a:avLst/>
                    </a:prstGeom>
                  </pic:spPr>
                </pic:pic>
              </a:graphicData>
            </a:graphic>
          </wp:inline>
        </w:drawing>
      </w:r>
    </w:p>
    <w:p w:rsidR="00EE13F6" w:rsidRDefault="002E5BC4">
      <w:pPr>
        <w:spacing w:after="174" w:line="264" w:lineRule="auto"/>
        <w:ind w:left="19" w:right="477" w:hanging="10"/>
        <w:jc w:val="both"/>
      </w:pPr>
      <w:r>
        <w:rPr>
          <w:rFonts w:ascii="Cambria" w:eastAsia="Cambria" w:hAnsi="Cambria" w:cs="Cambria"/>
        </w:rPr>
        <w:t>According to the definition of Φ(</w:t>
      </w:r>
      <w:r>
        <w:rPr>
          <w:noProof/>
        </w:rPr>
        <w:drawing>
          <wp:inline distT="0" distB="0" distL="0" distR="0">
            <wp:extent cx="121920" cy="137160"/>
            <wp:effectExtent l="0" t="0" r="0" b="0"/>
            <wp:docPr id="221814" name="Picture 221814"/>
            <wp:cNvGraphicFramePr/>
            <a:graphic xmlns:a="http://schemas.openxmlformats.org/drawingml/2006/main">
              <a:graphicData uri="http://schemas.openxmlformats.org/drawingml/2006/picture">
                <pic:pic xmlns:pic="http://schemas.openxmlformats.org/drawingml/2006/picture">
                  <pic:nvPicPr>
                    <pic:cNvPr id="221814" name="Picture 221814"/>
                    <pic:cNvPicPr/>
                  </pic:nvPicPr>
                  <pic:blipFill>
                    <a:blip r:embed="rId30"/>
                    <a:stretch>
                      <a:fillRect/>
                    </a:stretch>
                  </pic:blipFill>
                  <pic:spPr>
                    <a:xfrm>
                      <a:off x="0" y="0"/>
                      <a:ext cx="121920" cy="137160"/>
                    </a:xfrm>
                    <a:prstGeom prst="rect">
                      <a:avLst/>
                    </a:prstGeom>
                  </pic:spPr>
                </pic:pic>
              </a:graphicData>
            </a:graphic>
          </wp:inline>
        </w:drawing>
      </w:r>
      <w:r>
        <w:rPr>
          <w:rFonts w:ascii="Cambria" w:eastAsia="Cambria" w:hAnsi="Cambria" w:cs="Cambria"/>
        </w:rPr>
        <w:t xml:space="preserve">), where </w:t>
      </w:r>
      <w:r>
        <w:rPr>
          <w:noProof/>
        </w:rPr>
        <w:drawing>
          <wp:inline distT="0" distB="0" distL="0" distR="0">
            <wp:extent cx="118872" cy="137160"/>
            <wp:effectExtent l="0" t="0" r="0" b="0"/>
            <wp:docPr id="221815" name="Picture 221815"/>
            <wp:cNvGraphicFramePr/>
            <a:graphic xmlns:a="http://schemas.openxmlformats.org/drawingml/2006/main">
              <a:graphicData uri="http://schemas.openxmlformats.org/drawingml/2006/picture">
                <pic:pic xmlns:pic="http://schemas.openxmlformats.org/drawingml/2006/picture">
                  <pic:nvPicPr>
                    <pic:cNvPr id="221815" name="Picture 221815"/>
                    <pic:cNvPicPr/>
                  </pic:nvPicPr>
                  <pic:blipFill>
                    <a:blip r:embed="rId31"/>
                    <a:stretch>
                      <a:fillRect/>
                    </a:stretch>
                  </pic:blipFill>
                  <pic:spPr>
                    <a:xfrm>
                      <a:off x="0" y="0"/>
                      <a:ext cx="118872" cy="137160"/>
                    </a:xfrm>
                    <a:prstGeom prst="rect">
                      <a:avLst/>
                    </a:prstGeom>
                  </pic:spPr>
                </pic:pic>
              </a:graphicData>
            </a:graphic>
          </wp:inline>
        </w:drawing>
      </w:r>
      <w:r>
        <w:rPr>
          <w:rFonts w:ascii="Cambria" w:eastAsia="Cambria" w:hAnsi="Cambria" w:cs="Cambria"/>
        </w:rPr>
        <w:t xml:space="preserve"> designates the quantity </w:t>
      </w:r>
      <w:r>
        <w:rPr>
          <w:rFonts w:ascii="Cambria" w:eastAsia="Cambria" w:hAnsi="Cambria" w:cs="Cambria"/>
          <w:i/>
        </w:rPr>
        <w:t>d</w:t>
      </w:r>
      <w:r>
        <w:rPr>
          <w:rFonts w:ascii="Cambria" w:eastAsia="Cambria" w:hAnsi="Cambria" w:cs="Cambria"/>
          <w:vertAlign w:val="subscript"/>
        </w:rPr>
        <w:t xml:space="preserve">1 </w:t>
      </w:r>
      <w:r>
        <w:rPr>
          <w:rFonts w:ascii="Cambria" w:eastAsia="Cambria" w:hAnsi="Cambria" w:cs="Cambria"/>
        </w:rPr>
        <w:t xml:space="preserve">using the modified volatility </w:t>
      </w:r>
      <w:r>
        <w:rPr>
          <w:rFonts w:ascii="Cambria" w:eastAsia="Cambria" w:hAnsi="Cambria" w:cs="Cambria"/>
          <w:i/>
        </w:rPr>
        <w:t>σ</w:t>
      </w:r>
      <w:r>
        <w:rPr>
          <w:rFonts w:ascii="Cambria" w:eastAsia="Cambria" w:hAnsi="Cambria" w:cs="Cambria"/>
          <w:vertAlign w:val="superscript"/>
        </w:rPr>
        <w:t>∗</w:t>
      </w:r>
      <w:r>
        <w:rPr>
          <w:rFonts w:ascii="Cambria" w:eastAsia="Cambria" w:hAnsi="Cambria" w:cs="Cambria"/>
        </w:rPr>
        <w:t>.</w:t>
      </w:r>
    </w:p>
    <w:p w:rsidR="00EE13F6" w:rsidRDefault="002E5BC4">
      <w:pPr>
        <w:spacing w:after="68" w:line="264" w:lineRule="auto"/>
        <w:ind w:left="19" w:right="477" w:hanging="10"/>
        <w:jc w:val="both"/>
      </w:pPr>
      <w:r>
        <w:rPr>
          <w:rFonts w:ascii="Cambria" w:eastAsia="Cambria" w:hAnsi="Cambria" w:cs="Cambria"/>
        </w:rPr>
        <w:t xml:space="preserve">As a consequence, to consider the full impact of the FTT on the expected transaction costs incurred by the market-maker selling a call option, and carrying this position till option’s maturity, </w:t>
      </w:r>
      <w:r>
        <w:rPr>
          <w:rFonts w:ascii="Cambria" w:eastAsia="Cambria" w:hAnsi="Cambria" w:cs="Cambria"/>
        </w:rPr>
        <w:t>we have to consider the following additional cost:</w:t>
      </w:r>
    </w:p>
    <w:p w:rsidR="00EE13F6" w:rsidRDefault="002E5BC4">
      <w:pPr>
        <w:spacing w:after="309"/>
        <w:ind w:left="3040"/>
      </w:pPr>
      <w:r>
        <w:rPr>
          <w:noProof/>
        </w:rPr>
        <w:drawing>
          <wp:inline distT="0" distB="0" distL="0" distR="0">
            <wp:extent cx="1978152" cy="332232"/>
            <wp:effectExtent l="0" t="0" r="0" b="0"/>
            <wp:docPr id="221816" name="Picture 221816"/>
            <wp:cNvGraphicFramePr/>
            <a:graphic xmlns:a="http://schemas.openxmlformats.org/drawingml/2006/main">
              <a:graphicData uri="http://schemas.openxmlformats.org/drawingml/2006/picture">
                <pic:pic xmlns:pic="http://schemas.openxmlformats.org/drawingml/2006/picture">
                  <pic:nvPicPr>
                    <pic:cNvPr id="221816" name="Picture 221816"/>
                    <pic:cNvPicPr/>
                  </pic:nvPicPr>
                  <pic:blipFill>
                    <a:blip r:embed="rId32"/>
                    <a:stretch>
                      <a:fillRect/>
                    </a:stretch>
                  </pic:blipFill>
                  <pic:spPr>
                    <a:xfrm>
                      <a:off x="0" y="0"/>
                      <a:ext cx="1978152" cy="332232"/>
                    </a:xfrm>
                    <a:prstGeom prst="rect">
                      <a:avLst/>
                    </a:prstGeom>
                  </pic:spPr>
                </pic:pic>
              </a:graphicData>
            </a:graphic>
          </wp:inline>
        </w:drawing>
      </w:r>
    </w:p>
    <w:p w:rsidR="00EE13F6" w:rsidRDefault="002E5BC4">
      <w:pPr>
        <w:spacing w:after="133" w:line="264" w:lineRule="auto"/>
        <w:ind w:left="19" w:right="477" w:hanging="10"/>
        <w:jc w:val="both"/>
      </w:pPr>
      <w:r>
        <w:rPr>
          <w:rFonts w:ascii="Cambria" w:eastAsia="Cambria" w:hAnsi="Cambria" w:cs="Cambria"/>
        </w:rPr>
        <w:t xml:space="preserve">with </w:t>
      </w:r>
      <w:r>
        <w:rPr>
          <w:rFonts w:ascii="Cambria" w:eastAsia="Cambria" w:hAnsi="Cambria" w:cs="Cambria"/>
          <w:i/>
        </w:rPr>
        <w:t xml:space="preserve">r </w:t>
      </w:r>
      <w:r>
        <w:rPr>
          <w:rFonts w:ascii="Cambria" w:eastAsia="Cambria" w:hAnsi="Cambria" w:cs="Cambria"/>
        </w:rPr>
        <w:t>the risk free interest rate.</w:t>
      </w:r>
    </w:p>
    <w:p w:rsidR="00EE13F6" w:rsidRDefault="002E5BC4">
      <w:pPr>
        <w:spacing w:after="279" w:line="264" w:lineRule="auto"/>
        <w:ind w:left="19" w:right="477" w:hanging="10"/>
        <w:jc w:val="both"/>
      </w:pPr>
      <w:r>
        <w:rPr>
          <w:rFonts w:ascii="Cambria" w:eastAsia="Cambria" w:hAnsi="Cambria" w:cs="Cambria"/>
        </w:rPr>
        <w:t>This cost translates into an additional volatility ”bump” that the market maker will apply. The total additional cost to consider for trade inception and settlements c</w:t>
      </w:r>
      <w:r>
        <w:rPr>
          <w:rFonts w:ascii="Cambria" w:eastAsia="Cambria" w:hAnsi="Cambria" w:cs="Cambria"/>
        </w:rPr>
        <w:t>osts writes then:</w:t>
      </w:r>
    </w:p>
    <w:p w:rsidR="00EE13F6" w:rsidRDefault="002E5BC4">
      <w:pPr>
        <w:tabs>
          <w:tab w:val="center" w:pos="4718"/>
          <w:tab w:val="center" w:pos="9221"/>
        </w:tabs>
        <w:spacing w:after="187" w:line="265" w:lineRule="auto"/>
      </w:pPr>
      <w:r>
        <w:lastRenderedPageBreak/>
        <w:tab/>
      </w:r>
      <w:r>
        <w:rPr>
          <w:noProof/>
        </w:rPr>
        <w:drawing>
          <wp:inline distT="0" distB="0" distL="0" distR="0">
            <wp:extent cx="2292096" cy="359664"/>
            <wp:effectExtent l="0" t="0" r="0" b="0"/>
            <wp:docPr id="221817" name="Picture 221817"/>
            <wp:cNvGraphicFramePr/>
            <a:graphic xmlns:a="http://schemas.openxmlformats.org/drawingml/2006/main">
              <a:graphicData uri="http://schemas.openxmlformats.org/drawingml/2006/picture">
                <pic:pic xmlns:pic="http://schemas.openxmlformats.org/drawingml/2006/picture">
                  <pic:nvPicPr>
                    <pic:cNvPr id="221817" name="Picture 221817"/>
                    <pic:cNvPicPr/>
                  </pic:nvPicPr>
                  <pic:blipFill>
                    <a:blip r:embed="rId33"/>
                    <a:stretch>
                      <a:fillRect/>
                    </a:stretch>
                  </pic:blipFill>
                  <pic:spPr>
                    <a:xfrm>
                      <a:off x="0" y="0"/>
                      <a:ext cx="2292096" cy="359664"/>
                    </a:xfrm>
                    <a:prstGeom prst="rect">
                      <a:avLst/>
                    </a:prstGeom>
                  </pic:spPr>
                </pic:pic>
              </a:graphicData>
            </a:graphic>
          </wp:inline>
        </w:drawing>
      </w:r>
      <w:r>
        <w:rPr>
          <w:rFonts w:ascii="Cambria" w:eastAsia="Cambria" w:hAnsi="Cambria" w:cs="Cambria"/>
        </w:rPr>
        <w:tab/>
        <w:t>(3)</w:t>
      </w:r>
    </w:p>
    <w:p w:rsidR="00EE13F6" w:rsidRDefault="002E5BC4">
      <w:pPr>
        <w:spacing w:after="133" w:line="264" w:lineRule="auto"/>
        <w:ind w:left="19" w:right="477" w:hanging="10"/>
        <w:jc w:val="both"/>
      </w:pPr>
      <w:r>
        <w:rPr>
          <w:rFonts w:ascii="Cambria" w:eastAsia="Cambria" w:hAnsi="Cambria" w:cs="Cambria"/>
        </w:rPr>
        <w:t>One can remark that the volatility bump will depend upon both the probability of exercise for the European option (measured by Φ(</w:t>
      </w:r>
      <w:r>
        <w:rPr>
          <w:noProof/>
        </w:rPr>
        <w:drawing>
          <wp:inline distT="0" distB="0" distL="0" distR="0">
            <wp:extent cx="118872" cy="140208"/>
            <wp:effectExtent l="0" t="0" r="0" b="0"/>
            <wp:docPr id="221818" name="Picture 221818"/>
            <wp:cNvGraphicFramePr/>
            <a:graphic xmlns:a="http://schemas.openxmlformats.org/drawingml/2006/main">
              <a:graphicData uri="http://schemas.openxmlformats.org/drawingml/2006/picture">
                <pic:pic xmlns:pic="http://schemas.openxmlformats.org/drawingml/2006/picture">
                  <pic:nvPicPr>
                    <pic:cNvPr id="221818" name="Picture 221818"/>
                    <pic:cNvPicPr/>
                  </pic:nvPicPr>
                  <pic:blipFill>
                    <a:blip r:embed="rId34"/>
                    <a:stretch>
                      <a:fillRect/>
                    </a:stretch>
                  </pic:blipFill>
                  <pic:spPr>
                    <a:xfrm>
                      <a:off x="0" y="0"/>
                      <a:ext cx="118872" cy="140208"/>
                    </a:xfrm>
                    <a:prstGeom prst="rect">
                      <a:avLst/>
                    </a:prstGeom>
                  </pic:spPr>
                </pic:pic>
              </a:graphicData>
            </a:graphic>
          </wp:inline>
        </w:drawing>
      </w:r>
      <w:r>
        <w:rPr>
          <w:rFonts w:ascii="Cambria" w:eastAsia="Cambria" w:hAnsi="Cambria" w:cs="Cambria"/>
        </w:rPr>
        <w:t xml:space="preserve"> )) and the option maturity. It will be higher for ”In The Money” options and options with a shorter </w:t>
      </w:r>
      <w:r>
        <w:rPr>
          <w:rFonts w:ascii="Cambria" w:eastAsia="Cambria" w:hAnsi="Cambria" w:cs="Cambria"/>
        </w:rPr>
        <w:t>maturity.</w:t>
      </w:r>
    </w:p>
    <w:p w:rsidR="00EE13F6" w:rsidRDefault="002E5BC4">
      <w:pPr>
        <w:spacing w:after="133" w:line="264" w:lineRule="auto"/>
        <w:ind w:left="19" w:right="477" w:hanging="10"/>
        <w:jc w:val="both"/>
      </w:pPr>
      <w:r>
        <w:rPr>
          <w:rFonts w:ascii="Cambria" w:eastAsia="Cambria" w:hAnsi="Cambria" w:cs="Cambria"/>
        </w:rPr>
        <w:t>By considering the call put-parity relationship, this volatility ”bump” will also apply to the put volatility.</w:t>
      </w:r>
    </w:p>
    <w:p w:rsidR="00EE13F6" w:rsidRDefault="002E5BC4">
      <w:pPr>
        <w:spacing w:after="133" w:line="264" w:lineRule="auto"/>
        <w:ind w:left="19" w:right="477" w:hanging="10"/>
        <w:jc w:val="both"/>
      </w:pPr>
      <w:r>
        <w:rPr>
          <w:rFonts w:ascii="Cambria" w:eastAsia="Cambria" w:hAnsi="Cambria" w:cs="Cambria"/>
        </w:rPr>
        <w:t>Because those additional costs are applying to the hedging portfolio, which is considered the same way in both Leland and Boyle and Vor</w:t>
      </w:r>
      <w:r>
        <w:rPr>
          <w:rFonts w:ascii="Cambria" w:eastAsia="Cambria" w:hAnsi="Cambria" w:cs="Cambria"/>
        </w:rPr>
        <w:t>st work, this additional cost is the same in both frameworks.</w:t>
      </w:r>
    </w:p>
    <w:p w:rsidR="00EE13F6" w:rsidRDefault="002E5BC4">
      <w:pPr>
        <w:spacing w:after="133" w:line="264" w:lineRule="auto"/>
        <w:ind w:left="19" w:right="477" w:hanging="10"/>
        <w:jc w:val="both"/>
      </w:pPr>
      <w:r>
        <w:rPr>
          <w:rFonts w:ascii="Cambria" w:eastAsia="Cambria" w:hAnsi="Cambria" w:cs="Cambria"/>
        </w:rPr>
        <w:t>Finally, we obtain the full impact of transaction costs and FTT, by adding the effects from Table 1 and Table 2 for a cash equity option, and Table 1 and Table 3 for a future equity option.</w:t>
      </w:r>
    </w:p>
    <w:p w:rsidR="00EE13F6" w:rsidRDefault="002E5BC4">
      <w:pPr>
        <w:spacing w:after="202" w:line="261" w:lineRule="auto"/>
        <w:ind w:left="-5" w:right="468" w:hanging="10"/>
        <w:jc w:val="both"/>
      </w:pPr>
      <w:r>
        <w:rPr>
          <w:rFonts w:ascii="Cambria" w:eastAsia="Cambria" w:hAnsi="Cambria" w:cs="Cambria"/>
        </w:rPr>
        <w:t>Table</w:t>
      </w:r>
      <w:r>
        <w:rPr>
          <w:rFonts w:ascii="Times New Roman" w:eastAsia="Times New Roman" w:hAnsi="Times New Roman" w:cs="Times New Roman"/>
        </w:rPr>
        <w:t xml:space="preserve"> </w:t>
      </w:r>
      <w:r>
        <w:rPr>
          <w:rFonts w:ascii="Cambria" w:eastAsia="Cambria" w:hAnsi="Cambria" w:cs="Cambria"/>
        </w:rPr>
        <w:t>2:</w:t>
      </w:r>
      <w:r>
        <w:rPr>
          <w:rFonts w:ascii="Times New Roman" w:eastAsia="Times New Roman" w:hAnsi="Times New Roman" w:cs="Times New Roman"/>
        </w:rPr>
        <w:t xml:space="preserve"> </w:t>
      </w:r>
      <w:r>
        <w:rPr>
          <w:rFonts w:ascii="Cambria" w:eastAsia="Cambria" w:hAnsi="Cambria" w:cs="Cambria"/>
          <w:b/>
        </w:rPr>
        <w:t>Additional</w:t>
      </w:r>
      <w:r>
        <w:rPr>
          <w:rFonts w:ascii="Times New Roman" w:eastAsia="Times New Roman" w:hAnsi="Times New Roman" w:cs="Times New Roman"/>
        </w:rPr>
        <w:t xml:space="preserve"> </w:t>
      </w:r>
      <w:r>
        <w:rPr>
          <w:rFonts w:ascii="Cambria" w:eastAsia="Cambria" w:hAnsi="Cambria" w:cs="Cambria"/>
          <w:b/>
        </w:rPr>
        <w:t>Impact</w:t>
      </w:r>
      <w:r>
        <w:rPr>
          <w:rFonts w:ascii="Times New Roman" w:eastAsia="Times New Roman" w:hAnsi="Times New Roman" w:cs="Times New Roman"/>
        </w:rPr>
        <w:t xml:space="preserve"> </w:t>
      </w:r>
      <w:r>
        <w:rPr>
          <w:rFonts w:ascii="Cambria" w:eastAsia="Cambria" w:hAnsi="Cambria" w:cs="Cambria"/>
          <w:b/>
        </w:rPr>
        <w:t>of</w:t>
      </w:r>
      <w:r>
        <w:rPr>
          <w:rFonts w:ascii="Times New Roman" w:eastAsia="Times New Roman" w:hAnsi="Times New Roman" w:cs="Times New Roman"/>
        </w:rPr>
        <w:t xml:space="preserve"> </w:t>
      </w:r>
      <w:r>
        <w:rPr>
          <w:rFonts w:ascii="Cambria" w:eastAsia="Cambria" w:hAnsi="Cambria" w:cs="Cambria"/>
          <w:b/>
        </w:rPr>
        <w:t>Initial</w:t>
      </w:r>
      <w:r>
        <w:rPr>
          <w:rFonts w:ascii="Times New Roman" w:eastAsia="Times New Roman" w:hAnsi="Times New Roman" w:cs="Times New Roman"/>
        </w:rPr>
        <w:t xml:space="preserve"> </w:t>
      </w:r>
      <w:r>
        <w:rPr>
          <w:rFonts w:ascii="Cambria" w:eastAsia="Cambria" w:hAnsi="Cambria" w:cs="Cambria"/>
          <w:b/>
        </w:rPr>
        <w:t>Hedging</w:t>
      </w:r>
      <w:r>
        <w:rPr>
          <w:rFonts w:ascii="Times New Roman" w:eastAsia="Times New Roman" w:hAnsi="Times New Roman" w:cs="Times New Roman"/>
        </w:rPr>
        <w:t xml:space="preserve"> </w:t>
      </w:r>
      <w:r>
        <w:rPr>
          <w:rFonts w:ascii="Cambria" w:eastAsia="Cambria" w:hAnsi="Cambria" w:cs="Cambria"/>
          <w:b/>
        </w:rPr>
        <w:t>and</w:t>
      </w:r>
      <w:r>
        <w:rPr>
          <w:rFonts w:ascii="Times New Roman" w:eastAsia="Times New Roman" w:hAnsi="Times New Roman" w:cs="Times New Roman"/>
        </w:rPr>
        <w:t xml:space="preserve"> </w:t>
      </w:r>
      <w:r>
        <w:rPr>
          <w:rFonts w:ascii="Cambria" w:eastAsia="Cambria" w:hAnsi="Cambria" w:cs="Cambria"/>
          <w:b/>
        </w:rPr>
        <w:t>Terminal</w:t>
      </w:r>
      <w:r>
        <w:rPr>
          <w:rFonts w:ascii="Times New Roman" w:eastAsia="Times New Roman" w:hAnsi="Times New Roman" w:cs="Times New Roman"/>
        </w:rPr>
        <w:t xml:space="preserve"> </w:t>
      </w:r>
      <w:r>
        <w:rPr>
          <w:rFonts w:ascii="Cambria" w:eastAsia="Cambria" w:hAnsi="Cambria" w:cs="Cambria"/>
          <w:b/>
        </w:rPr>
        <w:t>Settlement</w:t>
      </w:r>
      <w:r>
        <w:rPr>
          <w:rFonts w:ascii="Times New Roman" w:eastAsia="Times New Roman" w:hAnsi="Times New Roman" w:cs="Times New Roman"/>
        </w:rPr>
        <w:t xml:space="preserve"> </w:t>
      </w:r>
      <w:r>
        <w:rPr>
          <w:rFonts w:ascii="Cambria" w:eastAsia="Cambria" w:hAnsi="Cambria" w:cs="Cambria"/>
          <w:b/>
        </w:rPr>
        <w:t>Costs</w:t>
      </w:r>
      <w:r>
        <w:rPr>
          <w:rFonts w:ascii="Times New Roman" w:eastAsia="Times New Roman" w:hAnsi="Times New Roman" w:cs="Times New Roman"/>
        </w:rPr>
        <w:t xml:space="preserve"> </w:t>
      </w:r>
      <w:r>
        <w:rPr>
          <w:rFonts w:ascii="Cambria" w:eastAsia="Cambria" w:hAnsi="Cambria" w:cs="Cambria"/>
          <w:b/>
        </w:rPr>
        <w:t>on</w:t>
      </w:r>
      <w:r>
        <w:rPr>
          <w:rFonts w:ascii="Times New Roman" w:eastAsia="Times New Roman" w:hAnsi="Times New Roman" w:cs="Times New Roman"/>
        </w:rPr>
        <w:t xml:space="preserve"> </w:t>
      </w:r>
      <w:r>
        <w:rPr>
          <w:rFonts w:ascii="Cambria" w:eastAsia="Cambria" w:hAnsi="Cambria" w:cs="Cambria"/>
          <w:b/>
        </w:rPr>
        <w:t>Implied</w:t>
      </w:r>
      <w:r>
        <w:rPr>
          <w:rFonts w:ascii="Times New Roman" w:eastAsia="Times New Roman" w:hAnsi="Times New Roman" w:cs="Times New Roman"/>
        </w:rPr>
        <w:t xml:space="preserve"> </w:t>
      </w:r>
      <w:r>
        <w:rPr>
          <w:rFonts w:ascii="Cambria" w:eastAsia="Cambria" w:hAnsi="Cambria" w:cs="Cambria"/>
          <w:b/>
        </w:rPr>
        <w:t>Volatility</w:t>
      </w:r>
      <w:r>
        <w:rPr>
          <w:rFonts w:ascii="Times New Roman" w:eastAsia="Times New Roman" w:hAnsi="Times New Roman" w:cs="Times New Roman"/>
        </w:rPr>
        <w:t xml:space="preserve"> </w:t>
      </w:r>
      <w:r>
        <w:rPr>
          <w:rFonts w:ascii="Cambria" w:eastAsia="Cambria" w:hAnsi="Cambria" w:cs="Cambria"/>
          <w:b/>
        </w:rPr>
        <w:t>in</w:t>
      </w:r>
      <w:r>
        <w:rPr>
          <w:rFonts w:ascii="Times New Roman" w:eastAsia="Times New Roman" w:hAnsi="Times New Roman" w:cs="Times New Roman"/>
        </w:rPr>
        <w:t xml:space="preserve"> </w:t>
      </w:r>
      <w:r>
        <w:rPr>
          <w:rFonts w:ascii="Cambria" w:eastAsia="Cambria" w:hAnsi="Cambria" w:cs="Cambria"/>
          <w:b/>
        </w:rPr>
        <w:t>percentage,</w:t>
      </w:r>
      <w:r>
        <w:rPr>
          <w:rFonts w:ascii="Times New Roman" w:eastAsia="Times New Roman" w:hAnsi="Times New Roman" w:cs="Times New Roman"/>
        </w:rPr>
        <w:t xml:space="preserve"> </w:t>
      </w:r>
      <w:r>
        <w:rPr>
          <w:rFonts w:ascii="Cambria" w:eastAsia="Cambria" w:hAnsi="Cambria" w:cs="Cambria"/>
          <w:b/>
        </w:rPr>
        <w:t>Depending</w:t>
      </w:r>
      <w:r>
        <w:rPr>
          <w:rFonts w:ascii="Times New Roman" w:eastAsia="Times New Roman" w:hAnsi="Times New Roman" w:cs="Times New Roman"/>
        </w:rPr>
        <w:t xml:space="preserve"> </w:t>
      </w:r>
      <w:r>
        <w:rPr>
          <w:rFonts w:ascii="Cambria" w:eastAsia="Cambria" w:hAnsi="Cambria" w:cs="Cambria"/>
          <w:b/>
        </w:rPr>
        <w:t>Upon</w:t>
      </w:r>
      <w:r>
        <w:rPr>
          <w:rFonts w:ascii="Times New Roman" w:eastAsia="Times New Roman" w:hAnsi="Times New Roman" w:cs="Times New Roman"/>
        </w:rPr>
        <w:t xml:space="preserve"> </w:t>
      </w:r>
      <w:r>
        <w:rPr>
          <w:rFonts w:ascii="Cambria" w:eastAsia="Cambria" w:hAnsi="Cambria" w:cs="Cambria"/>
          <w:b/>
        </w:rPr>
        <w:t>Option</w:t>
      </w:r>
      <w:r>
        <w:rPr>
          <w:rFonts w:ascii="Times New Roman" w:eastAsia="Times New Roman" w:hAnsi="Times New Roman" w:cs="Times New Roman"/>
        </w:rPr>
        <w:t xml:space="preserve"> </w:t>
      </w:r>
      <w:r>
        <w:rPr>
          <w:rFonts w:ascii="Cambria" w:eastAsia="Cambria" w:hAnsi="Cambria" w:cs="Cambria"/>
          <w:b/>
        </w:rPr>
        <w:t>Strike</w:t>
      </w:r>
      <w:r>
        <w:rPr>
          <w:rFonts w:ascii="Times New Roman" w:eastAsia="Times New Roman" w:hAnsi="Times New Roman" w:cs="Times New Roman"/>
        </w:rPr>
        <w:t xml:space="preserve"> </w:t>
      </w:r>
      <w:r>
        <w:rPr>
          <w:rFonts w:ascii="Cambria" w:eastAsia="Cambria" w:hAnsi="Cambria" w:cs="Cambria"/>
          <w:b/>
        </w:rPr>
        <w:t>and</w:t>
      </w:r>
      <w:r>
        <w:rPr>
          <w:rFonts w:ascii="Times New Roman" w:eastAsia="Times New Roman" w:hAnsi="Times New Roman" w:cs="Times New Roman"/>
        </w:rPr>
        <w:t xml:space="preserve"> </w:t>
      </w:r>
      <w:r>
        <w:rPr>
          <w:rFonts w:ascii="Cambria" w:eastAsia="Cambria" w:hAnsi="Cambria" w:cs="Cambria"/>
          <w:b/>
        </w:rPr>
        <w:t>Maturity</w:t>
      </w:r>
      <w:r>
        <w:rPr>
          <w:rFonts w:ascii="Times New Roman" w:eastAsia="Times New Roman" w:hAnsi="Times New Roman" w:cs="Times New Roman"/>
        </w:rPr>
        <w:t xml:space="preserve"> </w:t>
      </w:r>
      <w:r>
        <w:rPr>
          <w:rFonts w:ascii="Cambria" w:eastAsia="Cambria" w:hAnsi="Cambria" w:cs="Cambria"/>
          <w:b/>
        </w:rPr>
        <w:t>in</w:t>
      </w:r>
      <w:r>
        <w:rPr>
          <w:rFonts w:ascii="Times New Roman" w:eastAsia="Times New Roman" w:hAnsi="Times New Roman" w:cs="Times New Roman"/>
        </w:rPr>
        <w:t xml:space="preserve"> </w:t>
      </w:r>
      <w:r>
        <w:rPr>
          <w:rFonts w:ascii="Cambria" w:eastAsia="Cambria" w:hAnsi="Cambria" w:cs="Cambria"/>
          <w:b/>
        </w:rPr>
        <w:t>Fractional</w:t>
      </w:r>
      <w:r>
        <w:rPr>
          <w:rFonts w:ascii="Times New Roman" w:eastAsia="Times New Roman" w:hAnsi="Times New Roman" w:cs="Times New Roman"/>
        </w:rPr>
        <w:t xml:space="preserve"> </w:t>
      </w:r>
      <w:r>
        <w:rPr>
          <w:rFonts w:ascii="Cambria" w:eastAsia="Cambria" w:hAnsi="Cambria" w:cs="Cambria"/>
          <w:b/>
        </w:rPr>
        <w:t>Years</w:t>
      </w:r>
      <w:r>
        <w:rPr>
          <w:rFonts w:ascii="Times New Roman" w:eastAsia="Times New Roman" w:hAnsi="Times New Roman" w:cs="Times New Roman"/>
        </w:rPr>
        <w:t xml:space="preserve"> </w:t>
      </w:r>
      <w:r>
        <w:rPr>
          <w:rFonts w:ascii="Cambria" w:eastAsia="Cambria" w:hAnsi="Cambria" w:cs="Cambria"/>
          <w:b/>
        </w:rPr>
        <w:t>for</w:t>
      </w:r>
      <w:r>
        <w:rPr>
          <w:rFonts w:ascii="Times New Roman" w:eastAsia="Times New Roman" w:hAnsi="Times New Roman" w:cs="Times New Roman"/>
        </w:rPr>
        <w:t xml:space="preserve"> </w:t>
      </w:r>
      <w:r>
        <w:rPr>
          <w:rFonts w:ascii="Cambria" w:eastAsia="Cambria" w:hAnsi="Cambria" w:cs="Cambria"/>
          <w:b/>
        </w:rPr>
        <w:t>a</w:t>
      </w:r>
      <w:r>
        <w:rPr>
          <w:rFonts w:ascii="Times New Roman" w:eastAsia="Times New Roman" w:hAnsi="Times New Roman" w:cs="Times New Roman"/>
        </w:rPr>
        <w:t xml:space="preserve"> </w:t>
      </w:r>
      <w:r>
        <w:rPr>
          <w:rFonts w:ascii="Cambria" w:eastAsia="Cambria" w:hAnsi="Cambria" w:cs="Cambria"/>
          <w:b/>
        </w:rPr>
        <w:t>Cash</w:t>
      </w:r>
      <w:r>
        <w:rPr>
          <w:rFonts w:ascii="Times New Roman" w:eastAsia="Times New Roman" w:hAnsi="Times New Roman" w:cs="Times New Roman"/>
        </w:rPr>
        <w:t xml:space="preserve"> </w:t>
      </w:r>
      <w:r>
        <w:rPr>
          <w:rFonts w:ascii="Cambria" w:eastAsia="Cambria" w:hAnsi="Cambria" w:cs="Cambria"/>
          <w:b/>
        </w:rPr>
        <w:t>Equity</w:t>
      </w:r>
      <w:r>
        <w:rPr>
          <w:rFonts w:ascii="Times New Roman" w:eastAsia="Times New Roman" w:hAnsi="Times New Roman" w:cs="Times New Roman"/>
        </w:rPr>
        <w:t xml:space="preserve"> </w:t>
      </w:r>
      <w:r>
        <w:rPr>
          <w:rFonts w:ascii="Cambria" w:eastAsia="Cambria" w:hAnsi="Cambria" w:cs="Cambria"/>
          <w:b/>
        </w:rPr>
        <w:t>Option;S=100;</w:t>
      </w:r>
      <w:r>
        <w:rPr>
          <w:rFonts w:ascii="Times New Roman" w:eastAsia="Times New Roman" w:hAnsi="Times New Roman" w:cs="Times New Roman"/>
        </w:rPr>
        <w:t xml:space="preserve"> </w:t>
      </w:r>
      <w:r>
        <w:rPr>
          <w:rFonts w:ascii="Cambria" w:eastAsia="Cambria" w:hAnsi="Cambria" w:cs="Cambria"/>
          <w:i/>
        </w:rPr>
        <w:t>σ</w:t>
      </w:r>
      <w:r>
        <w:rPr>
          <w:rFonts w:ascii="Times New Roman" w:eastAsia="Times New Roman" w:hAnsi="Times New Roman" w:cs="Times New Roman"/>
        </w:rPr>
        <w:t xml:space="preserve"> </w:t>
      </w:r>
      <w:r>
        <w:rPr>
          <w:rFonts w:ascii="Cambria" w:eastAsia="Cambria" w:hAnsi="Cambria" w:cs="Cambria"/>
        </w:rPr>
        <w:t>=</w:t>
      </w:r>
      <w:r>
        <w:rPr>
          <w:rFonts w:ascii="Times New Roman" w:eastAsia="Times New Roman" w:hAnsi="Times New Roman" w:cs="Times New Roman"/>
        </w:rPr>
        <w:t xml:space="preserve"> </w:t>
      </w:r>
      <w:r>
        <w:rPr>
          <w:rFonts w:ascii="Cambria" w:eastAsia="Cambria" w:hAnsi="Cambria" w:cs="Cambria"/>
        </w:rPr>
        <w:t>0</w:t>
      </w:r>
      <w:r>
        <w:rPr>
          <w:rFonts w:ascii="Cambria" w:eastAsia="Cambria" w:hAnsi="Cambria" w:cs="Cambria"/>
          <w:i/>
        </w:rPr>
        <w:t>.</w:t>
      </w:r>
      <w:r>
        <w:rPr>
          <w:rFonts w:ascii="Times New Roman" w:eastAsia="Times New Roman" w:hAnsi="Times New Roman" w:cs="Times New Roman"/>
        </w:rPr>
        <w:t>40</w:t>
      </w:r>
    </w:p>
    <w:tbl>
      <w:tblPr>
        <w:tblStyle w:val="TableGrid"/>
        <w:tblW w:w="5193" w:type="dxa"/>
        <w:tblInd w:w="2083" w:type="dxa"/>
        <w:tblCellMar>
          <w:top w:w="42" w:type="dxa"/>
          <w:left w:w="124" w:type="dxa"/>
          <w:bottom w:w="0" w:type="dxa"/>
          <w:right w:w="115" w:type="dxa"/>
        </w:tblCellMar>
        <w:tblLook w:val="04A0" w:firstRow="1" w:lastRow="0" w:firstColumn="1" w:lastColumn="0" w:noHBand="0" w:noVBand="1"/>
      </w:tblPr>
      <w:tblGrid>
        <w:gridCol w:w="1101"/>
        <w:gridCol w:w="772"/>
        <w:gridCol w:w="650"/>
        <w:gridCol w:w="650"/>
        <w:gridCol w:w="650"/>
        <w:gridCol w:w="1370"/>
      </w:tblGrid>
      <w:tr w:rsidR="00EE13F6">
        <w:trPr>
          <w:trHeight w:val="279"/>
        </w:trPr>
        <w:tc>
          <w:tcPr>
            <w:tcW w:w="1105" w:type="dxa"/>
            <w:tcBorders>
              <w:top w:val="single" w:sz="3" w:space="0" w:color="000000"/>
              <w:left w:val="single" w:sz="3" w:space="0" w:color="000000"/>
              <w:bottom w:val="single" w:sz="3" w:space="0" w:color="000000"/>
              <w:right w:val="single" w:sz="6" w:space="0" w:color="000000"/>
            </w:tcBorders>
            <w:vAlign w:val="bottom"/>
          </w:tcPr>
          <w:p w:rsidR="00EE13F6" w:rsidRDefault="00EE13F6"/>
        </w:tc>
        <w:tc>
          <w:tcPr>
            <w:tcW w:w="4088" w:type="dxa"/>
            <w:gridSpan w:val="5"/>
            <w:tcBorders>
              <w:top w:val="single" w:sz="3" w:space="0" w:color="000000"/>
              <w:left w:val="single" w:sz="6" w:space="0" w:color="000000"/>
              <w:bottom w:val="single" w:sz="3" w:space="0" w:color="000000"/>
              <w:right w:val="single" w:sz="3" w:space="0" w:color="000000"/>
            </w:tcBorders>
          </w:tcPr>
          <w:p w:rsidR="00EE13F6" w:rsidRDefault="002E5BC4">
            <w:pPr>
              <w:spacing w:after="0"/>
              <w:ind w:left="5"/>
            </w:pPr>
            <w:r>
              <w:rPr>
                <w:rFonts w:ascii="Cambria" w:eastAsia="Cambria" w:hAnsi="Cambria" w:cs="Cambria"/>
                <w:sz w:val="20"/>
              </w:rPr>
              <w:t>Moneyness defined as strike divided by spot</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Maturity</w:t>
            </w:r>
          </w:p>
        </w:tc>
        <w:tc>
          <w:tcPr>
            <w:tcW w:w="74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5"/>
            </w:pPr>
            <w:r>
              <w:rPr>
                <w:rFonts w:ascii="Cambria" w:eastAsia="Cambria" w:hAnsi="Cambria" w:cs="Cambria"/>
                <w:b/>
              </w:rPr>
              <w:t>0.8</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4"/>
            </w:pPr>
            <w:r>
              <w:rPr>
                <w:rFonts w:ascii="Cambria" w:eastAsia="Cambria" w:hAnsi="Cambria" w:cs="Cambria"/>
                <w:b/>
              </w:rPr>
              <w:t>0.9</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4"/>
            </w:pPr>
            <w:r>
              <w:rPr>
                <w:rFonts w:ascii="Cambria" w:eastAsia="Cambria" w:hAnsi="Cambria" w:cs="Cambria"/>
                <w:b/>
              </w:rPr>
              <w:t>1.0</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4"/>
            </w:pPr>
            <w:r>
              <w:rPr>
                <w:rFonts w:ascii="Cambria" w:eastAsia="Cambria" w:hAnsi="Cambria" w:cs="Cambria"/>
                <w:b/>
              </w:rPr>
              <w:t>1.1</w:t>
            </w:r>
          </w:p>
        </w:tc>
        <w:tc>
          <w:tcPr>
            <w:tcW w:w="1442"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1.2</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0.08</w:t>
            </w:r>
          </w:p>
        </w:tc>
        <w:tc>
          <w:tcPr>
            <w:tcW w:w="741"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34.36</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6.65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2.65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1.52</w:t>
            </w:r>
          </w:p>
        </w:tc>
        <w:tc>
          <w:tcPr>
            <w:tcW w:w="1442"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1.05</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0.25</w:t>
            </w:r>
          </w:p>
        </w:tc>
        <w:tc>
          <w:tcPr>
            <w:tcW w:w="74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5.15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2.53</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1.55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1.10</w:t>
            </w:r>
          </w:p>
        </w:tc>
        <w:tc>
          <w:tcPr>
            <w:tcW w:w="1442"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17"/>
              <w:jc w:val="center"/>
            </w:pPr>
            <w:r>
              <w:rPr>
                <w:rFonts w:ascii="Cambria" w:eastAsia="Cambria" w:hAnsi="Cambria" w:cs="Cambria"/>
              </w:rPr>
              <w:t>0.8</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0.5</w:t>
            </w:r>
          </w:p>
        </w:tc>
        <w:tc>
          <w:tcPr>
            <w:tcW w:w="74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2.46</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1.56</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1.12</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0.86</w:t>
            </w:r>
          </w:p>
        </w:tc>
        <w:tc>
          <w:tcPr>
            <w:tcW w:w="1442"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0.70</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w:t>
            </w:r>
          </w:p>
        </w:tc>
        <w:tc>
          <w:tcPr>
            <w:tcW w:w="74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1.39</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1.03</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0.81</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0.67</w:t>
            </w:r>
          </w:p>
        </w:tc>
        <w:tc>
          <w:tcPr>
            <w:tcW w:w="1442"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0.58</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2</w:t>
            </w:r>
          </w:p>
        </w:tc>
        <w:tc>
          <w:tcPr>
            <w:tcW w:w="74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0.88</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0.71</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0.60</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0.52</w:t>
            </w:r>
          </w:p>
        </w:tc>
        <w:tc>
          <w:tcPr>
            <w:tcW w:w="1442"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0.46</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3</w:t>
            </w:r>
          </w:p>
        </w:tc>
        <w:tc>
          <w:tcPr>
            <w:tcW w:w="74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0.70</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0.59</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0.51</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0.45</w:t>
            </w:r>
          </w:p>
        </w:tc>
        <w:tc>
          <w:tcPr>
            <w:tcW w:w="1442"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0.41</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4</w:t>
            </w:r>
          </w:p>
        </w:tc>
        <w:tc>
          <w:tcPr>
            <w:tcW w:w="74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0.60</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0.52</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0.46</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0.41</w:t>
            </w:r>
          </w:p>
        </w:tc>
        <w:tc>
          <w:tcPr>
            <w:tcW w:w="1442"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0.38</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5</w:t>
            </w:r>
          </w:p>
        </w:tc>
        <w:tc>
          <w:tcPr>
            <w:tcW w:w="74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0.55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0.48</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0.43</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0.39</w:t>
            </w:r>
          </w:p>
        </w:tc>
        <w:tc>
          <w:tcPr>
            <w:tcW w:w="1442"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0.36</w:t>
            </w:r>
          </w:p>
        </w:tc>
      </w:tr>
    </w:tbl>
    <w:p w:rsidR="00EE13F6" w:rsidRDefault="002E5BC4">
      <w:pPr>
        <w:spacing w:after="202" w:line="261" w:lineRule="auto"/>
        <w:ind w:left="-5" w:right="468" w:hanging="10"/>
        <w:jc w:val="both"/>
      </w:pPr>
      <w:r>
        <w:rPr>
          <w:rFonts w:ascii="Cambria" w:eastAsia="Cambria" w:hAnsi="Cambria" w:cs="Cambria"/>
        </w:rPr>
        <w:t xml:space="preserve">Table 3: </w:t>
      </w:r>
      <w:r>
        <w:rPr>
          <w:rFonts w:ascii="Cambria" w:eastAsia="Cambria" w:hAnsi="Cambria" w:cs="Cambria"/>
          <w:b/>
        </w:rPr>
        <w:t xml:space="preserve">Additional Impact of Initial Hedging and Terminal Settlement Costs on Implied Volatility in percentage, Depending Upon Options’ Strike and Maturity in Fractional Years for a Future Index Option. S=100; </w:t>
      </w:r>
      <w:r>
        <w:rPr>
          <w:rFonts w:ascii="Cambria" w:eastAsia="Cambria" w:hAnsi="Cambria" w:cs="Cambria"/>
          <w:i/>
        </w:rPr>
        <w:t xml:space="preserve">σ </w:t>
      </w:r>
      <w:r>
        <w:rPr>
          <w:rFonts w:ascii="Cambria" w:eastAsia="Cambria" w:hAnsi="Cambria" w:cs="Cambria"/>
        </w:rPr>
        <w:t>= 0</w:t>
      </w:r>
      <w:r>
        <w:rPr>
          <w:rFonts w:ascii="Cambria" w:eastAsia="Cambria" w:hAnsi="Cambria" w:cs="Cambria"/>
          <w:i/>
        </w:rPr>
        <w:t>.</w:t>
      </w:r>
      <w:r>
        <w:rPr>
          <w:rFonts w:ascii="Cambria" w:eastAsia="Cambria" w:hAnsi="Cambria" w:cs="Cambria"/>
        </w:rPr>
        <w:t>25</w:t>
      </w:r>
    </w:p>
    <w:tbl>
      <w:tblPr>
        <w:tblStyle w:val="TableGrid"/>
        <w:tblW w:w="5193" w:type="dxa"/>
        <w:tblInd w:w="2083" w:type="dxa"/>
        <w:tblCellMar>
          <w:top w:w="42" w:type="dxa"/>
          <w:left w:w="121" w:type="dxa"/>
          <w:bottom w:w="0" w:type="dxa"/>
          <w:right w:w="115" w:type="dxa"/>
        </w:tblCellMar>
        <w:tblLook w:val="04A0" w:firstRow="1" w:lastRow="0" w:firstColumn="1" w:lastColumn="0" w:noHBand="0" w:noVBand="1"/>
      </w:tblPr>
      <w:tblGrid>
        <w:gridCol w:w="1102"/>
        <w:gridCol w:w="647"/>
        <w:gridCol w:w="650"/>
        <w:gridCol w:w="650"/>
        <w:gridCol w:w="650"/>
        <w:gridCol w:w="1494"/>
      </w:tblGrid>
      <w:tr w:rsidR="00EE13F6">
        <w:trPr>
          <w:trHeight w:val="279"/>
        </w:trPr>
        <w:tc>
          <w:tcPr>
            <w:tcW w:w="1105" w:type="dxa"/>
            <w:tcBorders>
              <w:top w:val="single" w:sz="3" w:space="0" w:color="000000"/>
              <w:left w:val="single" w:sz="3" w:space="0" w:color="000000"/>
              <w:bottom w:val="single" w:sz="3" w:space="0" w:color="000000"/>
              <w:right w:val="single" w:sz="6" w:space="0" w:color="000000"/>
            </w:tcBorders>
            <w:vAlign w:val="center"/>
          </w:tcPr>
          <w:p w:rsidR="00EE13F6" w:rsidRDefault="00EE13F6"/>
        </w:tc>
        <w:tc>
          <w:tcPr>
            <w:tcW w:w="4088" w:type="dxa"/>
            <w:gridSpan w:val="5"/>
            <w:tcBorders>
              <w:top w:val="single" w:sz="3" w:space="0" w:color="000000"/>
              <w:left w:val="single" w:sz="6" w:space="0" w:color="000000"/>
              <w:bottom w:val="single" w:sz="3" w:space="0" w:color="000000"/>
              <w:right w:val="single" w:sz="3" w:space="0" w:color="000000"/>
            </w:tcBorders>
          </w:tcPr>
          <w:p w:rsidR="00EE13F6" w:rsidRDefault="002E5BC4">
            <w:pPr>
              <w:spacing w:after="0"/>
              <w:ind w:left="8"/>
            </w:pPr>
            <w:r>
              <w:rPr>
                <w:rFonts w:ascii="Cambria" w:eastAsia="Cambria" w:hAnsi="Cambria" w:cs="Cambria"/>
                <w:sz w:val="20"/>
              </w:rPr>
              <w:t>Moneyness defined as strike divided by spot</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Maturity</w:t>
            </w:r>
          </w:p>
        </w:tc>
        <w:tc>
          <w:tcPr>
            <w:tcW w:w="632"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4"/>
            </w:pPr>
            <w:r>
              <w:rPr>
                <w:rFonts w:ascii="Cambria" w:eastAsia="Cambria" w:hAnsi="Cambria" w:cs="Cambria"/>
                <w:b/>
              </w:rPr>
              <w:t>0.8</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7"/>
            </w:pPr>
            <w:r>
              <w:rPr>
                <w:rFonts w:ascii="Cambria" w:eastAsia="Cambria" w:hAnsi="Cambria" w:cs="Cambria"/>
                <w:b/>
              </w:rPr>
              <w:t>0.9</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7"/>
            </w:pPr>
            <w:r>
              <w:rPr>
                <w:rFonts w:ascii="Cambria" w:eastAsia="Cambria" w:hAnsi="Cambria" w:cs="Cambria"/>
                <w:b/>
              </w:rPr>
              <w:t>1.0</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7"/>
            </w:pPr>
            <w:r>
              <w:rPr>
                <w:rFonts w:ascii="Cambria" w:eastAsia="Cambria" w:hAnsi="Cambria" w:cs="Cambria"/>
                <w:b/>
              </w:rPr>
              <w:t>1.1</w:t>
            </w:r>
          </w:p>
        </w:tc>
        <w:tc>
          <w:tcPr>
            <w:tcW w:w="15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5"/>
              <w:jc w:val="center"/>
            </w:pPr>
            <w:r>
              <w:rPr>
                <w:rFonts w:ascii="Cambria" w:eastAsia="Cambria" w:hAnsi="Cambria" w:cs="Cambria"/>
                <w:b/>
              </w:rPr>
              <w:t>1.2</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0.08</w:t>
            </w:r>
          </w:p>
        </w:tc>
        <w:tc>
          <w:tcPr>
            <w:tcW w:w="632"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0.35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0.67</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0.26</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0.15</w:t>
            </w:r>
          </w:p>
        </w:tc>
        <w:tc>
          <w:tcPr>
            <w:tcW w:w="15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5"/>
              <w:jc w:val="center"/>
            </w:pPr>
            <w:r>
              <w:rPr>
                <w:rFonts w:ascii="Cambria" w:eastAsia="Cambria" w:hAnsi="Cambria" w:cs="Cambria"/>
              </w:rPr>
              <w:t>0.10</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0.25</w:t>
            </w:r>
          </w:p>
        </w:tc>
        <w:tc>
          <w:tcPr>
            <w:tcW w:w="632"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5.15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0.25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0.16</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0.11</w:t>
            </w:r>
          </w:p>
        </w:tc>
        <w:tc>
          <w:tcPr>
            <w:tcW w:w="15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5"/>
              <w:jc w:val="center"/>
            </w:pPr>
            <w:r>
              <w:rPr>
                <w:rFonts w:ascii="Cambria" w:eastAsia="Cambria" w:hAnsi="Cambria" w:cs="Cambria"/>
              </w:rPr>
              <w:t>0.08</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0.5</w:t>
            </w:r>
          </w:p>
        </w:tc>
        <w:tc>
          <w:tcPr>
            <w:tcW w:w="632"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0.25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0.16</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1.12</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0.86</w:t>
            </w:r>
          </w:p>
        </w:tc>
        <w:tc>
          <w:tcPr>
            <w:tcW w:w="15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5"/>
              <w:jc w:val="center"/>
            </w:pPr>
            <w:r>
              <w:rPr>
                <w:rFonts w:ascii="Cambria" w:eastAsia="Cambria" w:hAnsi="Cambria" w:cs="Cambria"/>
              </w:rPr>
              <w:t>0.70</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w:t>
            </w:r>
          </w:p>
        </w:tc>
        <w:tc>
          <w:tcPr>
            <w:tcW w:w="632"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0.14</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0.10</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0.08</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0.07</w:t>
            </w:r>
          </w:p>
        </w:tc>
        <w:tc>
          <w:tcPr>
            <w:tcW w:w="15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5"/>
              <w:jc w:val="center"/>
            </w:pPr>
            <w:r>
              <w:rPr>
                <w:rFonts w:ascii="Cambria" w:eastAsia="Cambria" w:hAnsi="Cambria" w:cs="Cambria"/>
              </w:rPr>
              <w:t>0.06</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2</w:t>
            </w:r>
          </w:p>
        </w:tc>
        <w:tc>
          <w:tcPr>
            <w:tcW w:w="632"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0.09</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0.07</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0.06</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0.05</w:t>
            </w:r>
          </w:p>
        </w:tc>
        <w:tc>
          <w:tcPr>
            <w:tcW w:w="15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5"/>
              <w:jc w:val="center"/>
            </w:pPr>
            <w:r>
              <w:rPr>
                <w:rFonts w:ascii="Cambria" w:eastAsia="Cambria" w:hAnsi="Cambria" w:cs="Cambria"/>
              </w:rPr>
              <w:t>0.05</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3</w:t>
            </w:r>
          </w:p>
        </w:tc>
        <w:tc>
          <w:tcPr>
            <w:tcW w:w="632"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0.07</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0.06</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0.05</w:t>
            </w:r>
          </w:p>
        </w:tc>
        <w:tc>
          <w:tcPr>
            <w:tcW w:w="15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5"/>
              <w:jc w:val="center"/>
            </w:pPr>
            <w:r>
              <w:rPr>
                <w:rFonts w:ascii="Cambria" w:eastAsia="Cambria" w:hAnsi="Cambria" w:cs="Cambria"/>
              </w:rPr>
              <w:t>0.04</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4</w:t>
            </w:r>
          </w:p>
        </w:tc>
        <w:tc>
          <w:tcPr>
            <w:tcW w:w="632"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0.06</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0.04</w:t>
            </w:r>
          </w:p>
        </w:tc>
        <w:tc>
          <w:tcPr>
            <w:tcW w:w="15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5"/>
              <w:jc w:val="center"/>
            </w:pPr>
            <w:r>
              <w:rPr>
                <w:rFonts w:ascii="Cambria" w:eastAsia="Cambria" w:hAnsi="Cambria" w:cs="Cambria"/>
              </w:rPr>
              <w:t>0.04</w:t>
            </w:r>
          </w:p>
        </w:tc>
      </w:tr>
      <w:tr w:rsidR="00EE13F6">
        <w:trPr>
          <w:trHeight w:val="279"/>
        </w:trPr>
        <w:tc>
          <w:tcPr>
            <w:tcW w:w="110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5</w:t>
            </w:r>
          </w:p>
        </w:tc>
        <w:tc>
          <w:tcPr>
            <w:tcW w:w="632"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0.05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0.04</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0.04</w:t>
            </w:r>
          </w:p>
        </w:tc>
        <w:tc>
          <w:tcPr>
            <w:tcW w:w="15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5"/>
              <w:jc w:val="center"/>
            </w:pPr>
            <w:r>
              <w:rPr>
                <w:rFonts w:ascii="Cambria" w:eastAsia="Cambria" w:hAnsi="Cambria" w:cs="Cambria"/>
              </w:rPr>
              <w:t>0.04</w:t>
            </w:r>
          </w:p>
        </w:tc>
      </w:tr>
    </w:tbl>
    <w:p w:rsidR="00EE13F6" w:rsidRDefault="002E5BC4">
      <w:pPr>
        <w:pStyle w:val="Heading2"/>
        <w:ind w:left="598" w:right="302" w:hanging="613"/>
      </w:pPr>
      <w:r>
        <w:lastRenderedPageBreak/>
        <w:t>1.3 The Impact of Transaction Costs on Implied Volatility when The Volatility is itself Not Constant</w:t>
      </w:r>
    </w:p>
    <w:p w:rsidR="00EE13F6" w:rsidRDefault="002E5BC4">
      <w:pPr>
        <w:spacing w:after="133" w:line="264" w:lineRule="auto"/>
        <w:ind w:left="19" w:right="477" w:hanging="10"/>
        <w:jc w:val="both"/>
      </w:pPr>
      <w:r>
        <w:rPr>
          <w:rFonts w:ascii="Cambria" w:eastAsia="Cambria" w:hAnsi="Cambria" w:cs="Cambria"/>
        </w:rPr>
        <w:t>The original papers from Leland or Boyle and Vorst do consider a constant volatility. They do not consider either put or call spread positions. In the real world, volatility is itself stochastic and market makers have to hedge against it, sometimes using p</w:t>
      </w:r>
      <w:r>
        <w:rPr>
          <w:rFonts w:ascii="Cambria" w:eastAsia="Cambria" w:hAnsi="Cambria" w:cs="Cambria"/>
        </w:rPr>
        <w:t>ut or call spread positions.</w:t>
      </w:r>
    </w:p>
    <w:p w:rsidR="00EE13F6" w:rsidRDefault="002E5BC4">
      <w:pPr>
        <w:spacing w:after="133" w:line="264" w:lineRule="auto"/>
        <w:ind w:left="19" w:right="477" w:hanging="10"/>
        <w:jc w:val="both"/>
      </w:pPr>
      <w:r>
        <w:rPr>
          <w:rFonts w:ascii="Cambria" w:eastAsia="Cambria" w:hAnsi="Cambria" w:cs="Cambria"/>
        </w:rPr>
        <w:t>In fact, the only way to hedge against the volatility risk is to take an opposite position on an instrument depending upon the volatility (in short, an option or an other instrument based on options such as a Variance or a vola</w:t>
      </w:r>
      <w:r>
        <w:rPr>
          <w:rFonts w:ascii="Cambria" w:eastAsia="Cambria" w:hAnsi="Cambria" w:cs="Cambria"/>
        </w:rPr>
        <w:t>tility swap) of the same underlying instrument.</w:t>
      </w:r>
    </w:p>
    <w:p w:rsidR="00EE13F6" w:rsidRDefault="002E5BC4">
      <w:pPr>
        <w:spacing w:after="133" w:line="264" w:lineRule="auto"/>
        <w:ind w:left="19" w:right="477" w:hanging="10"/>
        <w:jc w:val="both"/>
      </w:pPr>
      <w:r>
        <w:rPr>
          <w:rFonts w:ascii="Cambria" w:eastAsia="Cambria" w:hAnsi="Cambria" w:cs="Cambria"/>
        </w:rPr>
        <w:t>Because we make the assumption that the option market can be illiquid, we have to consider that, in that case, it might be impossible for the market-maker to hedge against the volatility by entering into an o</w:t>
      </w:r>
      <w:r>
        <w:rPr>
          <w:rFonts w:ascii="Cambria" w:eastAsia="Cambria" w:hAnsi="Cambria" w:cs="Cambria"/>
        </w:rPr>
        <w:t>pposite position on an other option.Therefore, the market maker is going to be exposed to the risk of holding an option hedged with a replication portfolio consisting only of cash and shares.</w:t>
      </w:r>
    </w:p>
    <w:p w:rsidR="00EE13F6" w:rsidRDefault="002E5BC4">
      <w:pPr>
        <w:spacing w:after="133" w:line="264" w:lineRule="auto"/>
        <w:ind w:left="19" w:right="477" w:hanging="10"/>
        <w:jc w:val="both"/>
      </w:pPr>
      <w:r>
        <w:rPr>
          <w:rFonts w:ascii="Cambria" w:eastAsia="Cambria" w:hAnsi="Cambria" w:cs="Cambria"/>
        </w:rPr>
        <w:t>Such situation carries the risk of having a realized stock varia</w:t>
      </w:r>
      <w:r>
        <w:rPr>
          <w:rFonts w:ascii="Cambria" w:eastAsia="Cambria" w:hAnsi="Cambria" w:cs="Cambria"/>
        </w:rPr>
        <w:t>nce higher than the variance for which it sold the option. This risk, related to what market practitioners call ”Dollar Gamma”, is path dependent and cannot be estimated with a closed formula. Instead, the best practice consists in measuring this hedging r</w:t>
      </w:r>
      <w:r>
        <w:rPr>
          <w:rFonts w:ascii="Cambria" w:eastAsia="Cambria" w:hAnsi="Cambria" w:cs="Cambria"/>
        </w:rPr>
        <w:t>isk through a ”Monte-Carlo” simulation of the possible paths followed by the underlying asset.</w:t>
      </w:r>
    </w:p>
    <w:p w:rsidR="00EE13F6" w:rsidRDefault="002E5BC4">
      <w:pPr>
        <w:spacing w:after="133" w:line="264" w:lineRule="auto"/>
        <w:ind w:left="19" w:right="477" w:hanging="10"/>
        <w:jc w:val="both"/>
      </w:pPr>
      <w:r>
        <w:rPr>
          <w:rFonts w:ascii="Cambria" w:eastAsia="Cambria" w:hAnsi="Cambria" w:cs="Cambria"/>
        </w:rPr>
        <w:t>We need to be able to consider that the variance (and therefore the volatility) is itself non constant. Therefore, we have to consider a model of both volatility</w:t>
      </w:r>
      <w:r>
        <w:rPr>
          <w:rFonts w:ascii="Cambria" w:eastAsia="Cambria" w:hAnsi="Cambria" w:cs="Cambria"/>
        </w:rPr>
        <w:t xml:space="preserve"> and underlying equity. Such models are very well known today.</w:t>
      </w:r>
    </w:p>
    <w:p w:rsidR="00EE13F6" w:rsidRDefault="002E5BC4">
      <w:pPr>
        <w:spacing w:after="133" w:line="264" w:lineRule="auto"/>
        <w:ind w:left="19" w:right="477" w:hanging="10"/>
        <w:jc w:val="both"/>
      </w:pPr>
      <w:r>
        <w:rPr>
          <w:rFonts w:ascii="Cambria" w:eastAsia="Cambria" w:hAnsi="Cambria" w:cs="Cambria"/>
        </w:rPr>
        <w:t>One possible candidate is the ”Heston Model” which retains a stochastic volatility following a random path correlated with the level of the underlying asset, as follows:</w:t>
      </w:r>
    </w:p>
    <w:p w:rsidR="00EE13F6" w:rsidRDefault="002E5BC4">
      <w:pPr>
        <w:spacing w:after="133" w:line="264" w:lineRule="auto"/>
        <w:ind w:left="19" w:right="477" w:hanging="10"/>
        <w:jc w:val="both"/>
      </w:pPr>
      <w:r>
        <w:rPr>
          <w:rFonts w:ascii="Cambria" w:eastAsia="Cambria" w:hAnsi="Cambria" w:cs="Cambria"/>
        </w:rPr>
        <w:t xml:space="preserve">Such model in order to </w:t>
      </w:r>
      <w:r>
        <w:rPr>
          <w:rFonts w:ascii="Cambria" w:eastAsia="Cambria" w:hAnsi="Cambria" w:cs="Cambria"/>
        </w:rPr>
        <w:t>give positive values for the variance has to respect a few constraints, ’apriori’ on its parameters known as the ”Feller” conditions. It can be calibrated in the market, as it is possible to use ”Heston based” closed formulas for the option prices to be co</w:t>
      </w:r>
      <w:r>
        <w:rPr>
          <w:rFonts w:ascii="Cambria" w:eastAsia="Cambria" w:hAnsi="Cambria" w:cs="Cambria"/>
        </w:rPr>
        <w:t xml:space="preserve">mpared to market prices. However, such model calibration is very sensitive to the market data. It is not unusual to then calibrate Heston models which do not satisfy the Feller-conditions. This is not very practical in Monte-Carlo simulations, and several </w:t>
      </w:r>
      <w:r>
        <w:rPr>
          <w:rFonts w:ascii="Cambria" w:eastAsia="Cambria" w:hAnsi="Cambria" w:cs="Cambria"/>
        </w:rPr>
        <w:t>methods of correction can be used. For all those reasons, we will explore an other route.</w:t>
      </w:r>
    </w:p>
    <w:p w:rsidR="00EE13F6" w:rsidRDefault="002E5BC4">
      <w:pPr>
        <w:spacing w:after="703" w:line="264" w:lineRule="auto"/>
        <w:ind w:left="19" w:right="477" w:hanging="10"/>
        <w:jc w:val="both"/>
      </w:pPr>
      <w:r>
        <w:rPr>
          <w:rFonts w:ascii="Cambria" w:eastAsia="Cambria" w:hAnsi="Cambria" w:cs="Cambria"/>
        </w:rPr>
        <w:t>An other approach is to consider a modified Black-Scholes model where the concept of (local) volatility is used. The local volatility is itself a deterministic functi</w:t>
      </w:r>
      <w:r>
        <w:rPr>
          <w:rFonts w:ascii="Cambria" w:eastAsia="Cambria" w:hAnsi="Cambria" w:cs="Cambria"/>
        </w:rPr>
        <w:t>on of both underlying asset level and residual maturity of the option. It can be calibrated through a Partial Differential Equation (PDE), by using the market prices of options with different strike prices and maturities. It is possible to estimate using t</w:t>
      </w:r>
      <w:r>
        <w:rPr>
          <w:rFonts w:ascii="Cambria" w:eastAsia="Cambria" w:hAnsi="Cambria" w:cs="Cambria"/>
        </w:rPr>
        <w:t>he existing market data. Estimations of such models are available through various software vendors, and especially on Bloomberg terminals.</w:t>
      </w:r>
    </w:p>
    <w:p w:rsidR="00EE13F6" w:rsidRDefault="002E5BC4">
      <w:pPr>
        <w:spacing w:after="276" w:line="261" w:lineRule="auto"/>
        <w:ind w:left="752" w:right="468" w:hanging="767"/>
        <w:jc w:val="both"/>
      </w:pPr>
      <w:r>
        <w:rPr>
          <w:rFonts w:ascii="Cambria" w:eastAsia="Cambria" w:hAnsi="Cambria" w:cs="Cambria"/>
          <w:b/>
        </w:rPr>
        <w:t>1.3.1 Dollar Gamma, Path Dependency and Monte-Carlo Simulation of the Marketmaker’s Hedging Program When Volatility i</w:t>
      </w:r>
      <w:r>
        <w:rPr>
          <w:rFonts w:ascii="Cambria" w:eastAsia="Cambria" w:hAnsi="Cambria" w:cs="Cambria"/>
          <w:b/>
        </w:rPr>
        <w:t>s not Constant</w:t>
      </w:r>
    </w:p>
    <w:p w:rsidR="00EE13F6" w:rsidRDefault="002E5BC4">
      <w:pPr>
        <w:spacing w:after="133" w:line="264" w:lineRule="auto"/>
        <w:ind w:left="19" w:right="477" w:hanging="10"/>
        <w:jc w:val="both"/>
      </w:pPr>
      <w:r>
        <w:rPr>
          <w:rFonts w:ascii="Cambria" w:eastAsia="Cambria" w:hAnsi="Cambria" w:cs="Cambria"/>
        </w:rPr>
        <w:lastRenderedPageBreak/>
        <w:t xml:space="preserve">We consider know a sample of 5 corporate companies. For each stock, we use the existing market data on the corresponding option prices for various strikes, and maturities, as of September 30, 2016. We calibrate a local volatility surface to </w:t>
      </w:r>
      <w:r>
        <w:rPr>
          <w:rFonts w:ascii="Cambria" w:eastAsia="Cambria" w:hAnsi="Cambria" w:cs="Cambria"/>
        </w:rPr>
        <w:t>available market data. Such process is standard and available through Bloomberg terminals.</w:t>
      </w:r>
    </w:p>
    <w:p w:rsidR="00EE13F6" w:rsidRDefault="002E5BC4">
      <w:pPr>
        <w:spacing w:after="133" w:line="264" w:lineRule="auto"/>
        <w:ind w:left="19" w:right="477" w:hanging="10"/>
        <w:jc w:val="both"/>
      </w:pPr>
      <w:r>
        <w:rPr>
          <w:rFonts w:ascii="Cambria" w:eastAsia="Cambria" w:hAnsi="Cambria" w:cs="Cambria"/>
        </w:rPr>
        <w:t>We then build up a specific dedicated library in Visual Basic and Excel allowing to replicate the Delta neutral hedging program followed by the option market-maker.</w:t>
      </w:r>
    </w:p>
    <w:p w:rsidR="00EE13F6" w:rsidRDefault="002E5BC4">
      <w:pPr>
        <w:spacing w:line="264" w:lineRule="auto"/>
        <w:ind w:left="19" w:right="477" w:hanging="10"/>
        <w:jc w:val="both"/>
      </w:pPr>
      <w:r>
        <w:rPr>
          <w:rFonts w:ascii="Cambria" w:eastAsia="Cambria" w:hAnsi="Cambria" w:cs="Cambria"/>
        </w:rPr>
        <w:t>This is done through a Monte-Carlo simulation of the path followed by the underlying equity price using the calibrated local volatility surface. We estimate the impact of the FTT by applying for each business day of the simulated path the additional hedgin</w:t>
      </w:r>
      <w:r>
        <w:rPr>
          <w:rFonts w:ascii="Cambria" w:eastAsia="Cambria" w:hAnsi="Cambria" w:cs="Cambria"/>
        </w:rPr>
        <w:t>g costs due to the FTT, when purchasing or selling shares. We suppose at this stage that the underlying stock path is not affected by the FTT. We compute then the profit and loss of a market-maker selling a european call option and deduct the additional im</w:t>
      </w:r>
      <w:r>
        <w:rPr>
          <w:rFonts w:ascii="Cambria" w:eastAsia="Cambria" w:hAnsi="Cambria" w:cs="Cambria"/>
        </w:rPr>
        <w:t>pact of transaction costs due to the implementation of the FTT.</w:t>
      </w:r>
    </w:p>
    <w:p w:rsidR="00EE13F6" w:rsidRDefault="002E5BC4">
      <w:pPr>
        <w:spacing w:after="133" w:line="264" w:lineRule="auto"/>
        <w:ind w:left="19" w:right="477" w:hanging="10"/>
        <w:jc w:val="both"/>
      </w:pPr>
      <w:r>
        <w:rPr>
          <w:rFonts w:ascii="Cambria" w:eastAsia="Cambria" w:hAnsi="Cambria" w:cs="Cambria"/>
        </w:rPr>
        <w:t>This corresponds to a calculation based on a daily frequency of re-hedging and a ∆</w:t>
      </w:r>
      <w:r>
        <w:rPr>
          <w:rFonts w:ascii="Cambria" w:eastAsia="Cambria" w:hAnsi="Cambria" w:cs="Cambria"/>
          <w:i/>
        </w:rPr>
        <w:t xml:space="preserve">t </w:t>
      </w:r>
      <w:r>
        <w:rPr>
          <w:rFonts w:ascii="Cambria" w:eastAsia="Cambria" w:hAnsi="Cambria" w:cs="Cambria"/>
        </w:rPr>
        <w:t>rule. We then derive the corresponding impact to a ∆</w:t>
      </w:r>
      <w:r>
        <w:rPr>
          <w:rFonts w:ascii="Cambria" w:eastAsia="Cambria" w:hAnsi="Cambria" w:cs="Cambria"/>
          <w:i/>
        </w:rPr>
        <w:t xml:space="preserve">s </w:t>
      </w:r>
      <w:r>
        <w:rPr>
          <w:rFonts w:ascii="Cambria" w:eastAsia="Cambria" w:hAnsi="Cambria" w:cs="Cambria"/>
        </w:rPr>
        <w:t xml:space="preserve">rule, by applying a coefficient computed as described </w:t>
      </w:r>
      <w:r>
        <w:rPr>
          <w:rFonts w:ascii="Cambria" w:eastAsia="Cambria" w:hAnsi="Cambria" w:cs="Cambria"/>
        </w:rPr>
        <w:t xml:space="preserve">above (cf paragraph 1.1). We are assuming that the FTT will apply on a roundtrip basis on repurchase agreements as well as purchase and sales of securities. Both parties will pay their FTT due but will not charge it to their counterpart. This results into </w:t>
      </w:r>
      <w:r>
        <w:rPr>
          <w:rFonts w:ascii="Cambria" w:eastAsia="Cambria" w:hAnsi="Cambria" w:cs="Cambria"/>
        </w:rPr>
        <w:t>an increase in the roundtrip transaction costs which amounts, for our market-maker to 0</w:t>
      </w:r>
      <w:r>
        <w:rPr>
          <w:rFonts w:ascii="Cambria" w:eastAsia="Cambria" w:hAnsi="Cambria" w:cs="Cambria"/>
          <w:i/>
        </w:rPr>
        <w:t>.</w:t>
      </w:r>
      <w:r>
        <w:rPr>
          <w:rFonts w:ascii="Cambria" w:eastAsia="Cambria" w:hAnsi="Cambria" w:cs="Cambria"/>
        </w:rPr>
        <w:t>4 percent of the notional value of the trade.</w:t>
      </w:r>
    </w:p>
    <w:p w:rsidR="00EE13F6" w:rsidRDefault="002E5BC4">
      <w:pPr>
        <w:spacing w:after="133" w:line="264" w:lineRule="auto"/>
        <w:ind w:left="19" w:right="477" w:hanging="10"/>
        <w:jc w:val="both"/>
      </w:pPr>
      <w:r>
        <w:rPr>
          <w:rFonts w:ascii="Cambria" w:eastAsia="Cambria" w:hAnsi="Cambria" w:cs="Cambria"/>
        </w:rPr>
        <w:t>Finally, we compute the necessary increase in the volatility level to offset the expected transaction costs by dividing th</w:t>
      </w:r>
      <w:r>
        <w:rPr>
          <w:rFonts w:ascii="Cambria" w:eastAsia="Cambria" w:hAnsi="Cambria" w:cs="Cambria"/>
        </w:rPr>
        <w:t>e amount of additional transaction costs by the option vega at trade inception.</w:t>
      </w:r>
    </w:p>
    <w:p w:rsidR="00EE13F6" w:rsidRDefault="002E5BC4">
      <w:pPr>
        <w:spacing w:after="783" w:line="264" w:lineRule="auto"/>
        <w:ind w:left="19" w:right="477" w:hanging="10"/>
        <w:jc w:val="both"/>
      </w:pPr>
      <w:r>
        <w:rPr>
          <w:rFonts w:ascii="Cambria" w:eastAsia="Cambria" w:hAnsi="Cambria" w:cs="Cambria"/>
        </w:rPr>
        <w:t xml:space="preserve">Under these assumptions, we find that taking into account a non constant volatility leads to a significant increase of the FTT’s impact on the implied volatility quoted by the </w:t>
      </w:r>
      <w:r>
        <w:rPr>
          <w:rFonts w:ascii="Cambria" w:eastAsia="Cambria" w:hAnsi="Cambria" w:cs="Cambria"/>
        </w:rPr>
        <w:t>option marketmaker. This increase can amount to several additional points of implied volatility as evidenced when comparing Table 4 to Table 5.</w:t>
      </w:r>
    </w:p>
    <w:p w:rsidR="00EE13F6" w:rsidRDefault="002E5BC4">
      <w:pPr>
        <w:spacing w:after="202" w:line="261" w:lineRule="auto"/>
        <w:ind w:left="-5" w:right="468" w:hanging="10"/>
        <w:jc w:val="both"/>
      </w:pPr>
      <w:r>
        <w:rPr>
          <w:rFonts w:ascii="Cambria" w:eastAsia="Cambria" w:hAnsi="Cambria" w:cs="Cambria"/>
        </w:rPr>
        <w:t xml:space="preserve">Table 4: </w:t>
      </w:r>
      <w:r>
        <w:rPr>
          <w:rFonts w:ascii="Cambria" w:eastAsia="Cambria" w:hAnsi="Cambria" w:cs="Cambria"/>
          <w:b/>
        </w:rPr>
        <w:t>Volatility Increase for a Short (cash) Equity Option Position 3 years when Volatility Is not Constant)</w:t>
      </w:r>
    </w:p>
    <w:tbl>
      <w:tblPr>
        <w:tblStyle w:val="TableGrid"/>
        <w:tblW w:w="7507" w:type="dxa"/>
        <w:tblInd w:w="927" w:type="dxa"/>
        <w:tblCellMar>
          <w:top w:w="42" w:type="dxa"/>
          <w:left w:w="124" w:type="dxa"/>
          <w:bottom w:w="0" w:type="dxa"/>
          <w:right w:w="123" w:type="dxa"/>
        </w:tblCellMar>
        <w:tblLook w:val="04A0" w:firstRow="1" w:lastRow="0" w:firstColumn="1" w:lastColumn="0" w:noHBand="0" w:noVBand="1"/>
      </w:tblPr>
      <w:tblGrid>
        <w:gridCol w:w="1835"/>
        <w:gridCol w:w="1323"/>
        <w:gridCol w:w="1517"/>
        <w:gridCol w:w="1416"/>
        <w:gridCol w:w="1416"/>
      </w:tblGrid>
      <w:tr w:rsidR="00EE13F6">
        <w:trPr>
          <w:trHeight w:val="279"/>
        </w:trPr>
        <w:tc>
          <w:tcPr>
            <w:tcW w:w="183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Company</w:t>
            </w:r>
          </w:p>
        </w:tc>
        <w:tc>
          <w:tcPr>
            <w:tcW w:w="13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rPr>
              <w:t>ATM Level</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w:t>
            </w:r>
            <w:r>
              <w:rPr>
                <w:rFonts w:ascii="Cambria" w:eastAsia="Cambria" w:hAnsi="Cambria" w:cs="Cambria"/>
                <w:i/>
              </w:rPr>
              <w:t xml:space="preserve">t </w:t>
            </w:r>
            <w:r>
              <w:rPr>
                <w:rFonts w:ascii="Cambria" w:eastAsia="Cambria" w:hAnsi="Cambria" w:cs="Cambria"/>
              </w:rPr>
              <w:t>Daily/Vol</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w:t>
            </w:r>
            <w:r>
              <w:rPr>
                <w:rFonts w:ascii="Cambria" w:eastAsia="Cambria" w:hAnsi="Cambria" w:cs="Cambria"/>
                <w:i/>
              </w:rPr>
              <w:t>s</w:t>
            </w:r>
            <w:r>
              <w:rPr>
                <w:rFonts w:ascii="Cambria" w:eastAsia="Cambria" w:hAnsi="Cambria" w:cs="Cambria"/>
              </w:rPr>
              <w:t>/Vol 0.02</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w:t>
            </w:r>
            <w:r>
              <w:rPr>
                <w:rFonts w:ascii="Cambria" w:eastAsia="Cambria" w:hAnsi="Cambria" w:cs="Cambria"/>
                <w:i/>
              </w:rPr>
              <w:t>s</w:t>
            </w:r>
            <w:r>
              <w:rPr>
                <w:rFonts w:ascii="Cambria" w:eastAsia="Cambria" w:hAnsi="Cambria" w:cs="Cambria"/>
              </w:rPr>
              <w:t>/Vol 0.01</w:t>
            </w:r>
          </w:p>
        </w:tc>
      </w:tr>
      <w:tr w:rsidR="00EE13F6">
        <w:trPr>
          <w:trHeight w:val="279"/>
        </w:trPr>
        <w:tc>
          <w:tcPr>
            <w:tcW w:w="183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Michelin</w:t>
            </w:r>
          </w:p>
        </w:tc>
        <w:tc>
          <w:tcPr>
            <w:tcW w:w="13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23</w:t>
            </w:r>
            <w:r>
              <w:rPr>
                <w:rFonts w:ascii="Cambria" w:eastAsia="Cambria" w:hAnsi="Cambria" w:cs="Cambria"/>
                <w:i/>
              </w:rPr>
              <w:t>.</w:t>
            </w:r>
            <w:r>
              <w:rPr>
                <w:rFonts w:ascii="Cambria" w:eastAsia="Cambria" w:hAnsi="Cambria" w:cs="Cambria"/>
              </w:rPr>
              <w:t>05</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6</w:t>
            </w:r>
            <w:r>
              <w:rPr>
                <w:rFonts w:ascii="Cambria" w:eastAsia="Cambria" w:hAnsi="Cambria" w:cs="Cambria"/>
                <w:i/>
              </w:rPr>
              <w:t>.</w:t>
            </w:r>
            <w:r>
              <w:rPr>
                <w:rFonts w:ascii="Cambria" w:eastAsia="Cambria" w:hAnsi="Cambria" w:cs="Cambria"/>
              </w:rPr>
              <w:t>75</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w:t>
            </w:r>
            <w:r>
              <w:rPr>
                <w:rFonts w:ascii="Cambria" w:eastAsia="Cambria" w:hAnsi="Cambria" w:cs="Cambria"/>
                <w:i/>
              </w:rPr>
              <w:t>.</w:t>
            </w:r>
            <w:r>
              <w:rPr>
                <w:rFonts w:ascii="Cambria" w:eastAsia="Cambria" w:hAnsi="Cambria" w:cs="Cambria"/>
              </w:rPr>
              <w:t>48</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w:t>
            </w:r>
            <w:r>
              <w:rPr>
                <w:rFonts w:ascii="Cambria" w:eastAsia="Cambria" w:hAnsi="Cambria" w:cs="Cambria"/>
                <w:i/>
              </w:rPr>
              <w:t>.</w:t>
            </w:r>
            <w:r>
              <w:rPr>
                <w:rFonts w:ascii="Cambria" w:eastAsia="Cambria" w:hAnsi="Cambria" w:cs="Cambria"/>
              </w:rPr>
              <w:t>07</w:t>
            </w:r>
          </w:p>
        </w:tc>
      </w:tr>
      <w:tr w:rsidR="00EE13F6">
        <w:trPr>
          <w:trHeight w:val="279"/>
        </w:trPr>
        <w:tc>
          <w:tcPr>
            <w:tcW w:w="183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Alsthom</w:t>
            </w:r>
          </w:p>
        </w:tc>
        <w:tc>
          <w:tcPr>
            <w:tcW w:w="13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26</w:t>
            </w:r>
            <w:r>
              <w:rPr>
                <w:rFonts w:ascii="Cambria" w:eastAsia="Cambria" w:hAnsi="Cambria" w:cs="Cambria"/>
                <w:i/>
              </w:rPr>
              <w:t>.</w:t>
            </w:r>
            <w:r>
              <w:rPr>
                <w:rFonts w:ascii="Cambria" w:eastAsia="Cambria" w:hAnsi="Cambria" w:cs="Cambria"/>
              </w:rPr>
              <w:t>12</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6</w:t>
            </w:r>
            <w:r>
              <w:rPr>
                <w:rFonts w:ascii="Cambria" w:eastAsia="Cambria" w:hAnsi="Cambria" w:cs="Cambria"/>
                <w:i/>
              </w:rPr>
              <w:t>.</w:t>
            </w:r>
            <w:r>
              <w:rPr>
                <w:rFonts w:ascii="Cambria" w:eastAsia="Cambria" w:hAnsi="Cambria" w:cs="Cambria"/>
              </w:rPr>
              <w:t>09</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9</w:t>
            </w:r>
            <w:r>
              <w:rPr>
                <w:rFonts w:ascii="Cambria" w:eastAsia="Cambria" w:hAnsi="Cambria" w:cs="Cambria"/>
                <w:i/>
              </w:rPr>
              <w:t>.</w:t>
            </w:r>
            <w:r>
              <w:rPr>
                <w:rFonts w:ascii="Cambria" w:eastAsia="Cambria" w:hAnsi="Cambria" w:cs="Cambria"/>
              </w:rPr>
              <w:t>454</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18</w:t>
            </w:r>
            <w:r>
              <w:rPr>
                <w:rFonts w:ascii="Cambria" w:eastAsia="Cambria" w:hAnsi="Cambria" w:cs="Cambria"/>
                <w:i/>
              </w:rPr>
              <w:t>.</w:t>
            </w:r>
            <w:r>
              <w:rPr>
                <w:rFonts w:ascii="Cambria" w:eastAsia="Cambria" w:hAnsi="Cambria" w:cs="Cambria"/>
              </w:rPr>
              <w:t>12</w:t>
            </w:r>
          </w:p>
        </w:tc>
      </w:tr>
      <w:tr w:rsidR="00EE13F6">
        <w:trPr>
          <w:trHeight w:val="279"/>
        </w:trPr>
        <w:tc>
          <w:tcPr>
            <w:tcW w:w="183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Arcelor</w:t>
            </w:r>
          </w:p>
        </w:tc>
        <w:tc>
          <w:tcPr>
            <w:tcW w:w="13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39</w:t>
            </w:r>
            <w:r>
              <w:rPr>
                <w:rFonts w:ascii="Cambria" w:eastAsia="Cambria" w:hAnsi="Cambria" w:cs="Cambria"/>
                <w:i/>
              </w:rPr>
              <w:t>.</w:t>
            </w:r>
            <w:r>
              <w:rPr>
                <w:rFonts w:ascii="Cambria" w:eastAsia="Cambria" w:hAnsi="Cambria" w:cs="Cambria"/>
              </w:rPr>
              <w:t>05</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6</w:t>
            </w:r>
            <w:r>
              <w:rPr>
                <w:rFonts w:ascii="Cambria" w:eastAsia="Cambria" w:hAnsi="Cambria" w:cs="Cambria"/>
                <w:i/>
              </w:rPr>
              <w:t>.</w:t>
            </w:r>
            <w:r>
              <w:rPr>
                <w:rFonts w:ascii="Cambria" w:eastAsia="Cambria" w:hAnsi="Cambria" w:cs="Cambria"/>
              </w:rPr>
              <w:t>29</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9</w:t>
            </w:r>
            <w:r>
              <w:rPr>
                <w:rFonts w:ascii="Cambria" w:eastAsia="Cambria" w:hAnsi="Cambria" w:cs="Cambria"/>
                <w:i/>
              </w:rPr>
              <w:t>.</w:t>
            </w:r>
            <w:r>
              <w:rPr>
                <w:rFonts w:ascii="Cambria" w:eastAsia="Cambria" w:hAnsi="Cambria" w:cs="Cambria"/>
              </w:rPr>
              <w:t>77</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18</w:t>
            </w:r>
            <w:r>
              <w:rPr>
                <w:rFonts w:ascii="Cambria" w:eastAsia="Cambria" w:hAnsi="Cambria" w:cs="Cambria"/>
                <w:i/>
              </w:rPr>
              <w:t>.</w:t>
            </w:r>
            <w:r>
              <w:rPr>
                <w:rFonts w:ascii="Cambria" w:eastAsia="Cambria" w:hAnsi="Cambria" w:cs="Cambria"/>
              </w:rPr>
              <w:t>71</w:t>
            </w:r>
          </w:p>
        </w:tc>
      </w:tr>
      <w:tr w:rsidR="00EE13F6">
        <w:trPr>
          <w:trHeight w:val="279"/>
        </w:trPr>
        <w:tc>
          <w:tcPr>
            <w:tcW w:w="183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Axa</w:t>
            </w:r>
          </w:p>
        </w:tc>
        <w:tc>
          <w:tcPr>
            <w:tcW w:w="13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28</w:t>
            </w:r>
            <w:r>
              <w:rPr>
                <w:rFonts w:ascii="Cambria" w:eastAsia="Cambria" w:hAnsi="Cambria" w:cs="Cambria"/>
                <w:i/>
              </w:rPr>
              <w:t>.</w:t>
            </w:r>
            <w:r>
              <w:rPr>
                <w:rFonts w:ascii="Cambria" w:eastAsia="Cambria" w:hAnsi="Cambria" w:cs="Cambria"/>
              </w:rPr>
              <w:t>44</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r>
              <w:rPr>
                <w:rFonts w:ascii="Cambria" w:eastAsia="Cambria" w:hAnsi="Cambria" w:cs="Cambria"/>
                <w:i/>
              </w:rPr>
              <w:t>.</w:t>
            </w:r>
            <w:r>
              <w:rPr>
                <w:rFonts w:ascii="Cambria" w:eastAsia="Cambria" w:hAnsi="Cambria" w:cs="Cambria"/>
              </w:rPr>
              <w:t>56</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8</w:t>
            </w:r>
            <w:r>
              <w:rPr>
                <w:rFonts w:ascii="Cambria" w:eastAsia="Cambria" w:hAnsi="Cambria" w:cs="Cambria"/>
                <w:i/>
              </w:rPr>
              <w:t>.</w:t>
            </w:r>
            <w:r>
              <w:rPr>
                <w:rFonts w:ascii="Cambria" w:eastAsia="Cambria" w:hAnsi="Cambria" w:cs="Cambria"/>
              </w:rPr>
              <w:t>63</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16</w:t>
            </w:r>
            <w:r>
              <w:rPr>
                <w:rFonts w:ascii="Cambria" w:eastAsia="Cambria" w:hAnsi="Cambria" w:cs="Cambria"/>
                <w:i/>
              </w:rPr>
              <w:t>.</w:t>
            </w:r>
            <w:r>
              <w:rPr>
                <w:rFonts w:ascii="Cambria" w:eastAsia="Cambria" w:hAnsi="Cambria" w:cs="Cambria"/>
              </w:rPr>
              <w:t>54</w:t>
            </w:r>
          </w:p>
        </w:tc>
      </w:tr>
      <w:tr w:rsidR="00EE13F6">
        <w:trPr>
          <w:trHeight w:val="279"/>
        </w:trPr>
        <w:tc>
          <w:tcPr>
            <w:tcW w:w="183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Commerzbank</w:t>
            </w:r>
          </w:p>
        </w:tc>
        <w:tc>
          <w:tcPr>
            <w:tcW w:w="13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38</w:t>
            </w:r>
            <w:r>
              <w:rPr>
                <w:rFonts w:ascii="Cambria" w:eastAsia="Cambria" w:hAnsi="Cambria" w:cs="Cambria"/>
                <w:i/>
              </w:rPr>
              <w:t>.</w:t>
            </w:r>
            <w:r>
              <w:rPr>
                <w:rFonts w:ascii="Cambria" w:eastAsia="Cambria" w:hAnsi="Cambria" w:cs="Cambria"/>
              </w:rPr>
              <w:t>19</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r>
              <w:rPr>
                <w:rFonts w:ascii="Cambria" w:eastAsia="Cambria" w:hAnsi="Cambria" w:cs="Cambria"/>
                <w:i/>
              </w:rPr>
              <w:t>.</w:t>
            </w:r>
            <w:r>
              <w:rPr>
                <w:rFonts w:ascii="Cambria" w:eastAsia="Cambria" w:hAnsi="Cambria" w:cs="Cambria"/>
              </w:rPr>
              <w:t>28</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8</w:t>
            </w:r>
            <w:r>
              <w:rPr>
                <w:rFonts w:ascii="Cambria" w:eastAsia="Cambria" w:hAnsi="Cambria" w:cs="Cambria"/>
                <w:i/>
              </w:rPr>
              <w:t>.</w:t>
            </w:r>
            <w:r>
              <w:rPr>
                <w:rFonts w:ascii="Cambria" w:eastAsia="Cambria" w:hAnsi="Cambria" w:cs="Cambria"/>
              </w:rPr>
              <w:t>21</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15</w:t>
            </w:r>
            <w:r>
              <w:rPr>
                <w:rFonts w:ascii="Cambria" w:eastAsia="Cambria" w:hAnsi="Cambria" w:cs="Cambria"/>
                <w:i/>
              </w:rPr>
              <w:t>.</w:t>
            </w:r>
            <w:r>
              <w:rPr>
                <w:rFonts w:ascii="Cambria" w:eastAsia="Cambria" w:hAnsi="Cambria" w:cs="Cambria"/>
              </w:rPr>
              <w:t>73</w:t>
            </w:r>
          </w:p>
        </w:tc>
      </w:tr>
    </w:tbl>
    <w:p w:rsidR="00EE13F6" w:rsidRDefault="002E5BC4">
      <w:pPr>
        <w:spacing w:after="133" w:line="264" w:lineRule="auto"/>
        <w:ind w:left="19" w:right="477" w:hanging="10"/>
        <w:jc w:val="both"/>
      </w:pPr>
      <w:r>
        <w:rPr>
          <w:rFonts w:ascii="Cambria" w:eastAsia="Cambria" w:hAnsi="Cambria" w:cs="Cambria"/>
        </w:rPr>
        <w:t>Those values are to be compared to the ones computed under the assumption that the volatility is constant.</w:t>
      </w:r>
    </w:p>
    <w:p w:rsidR="00EE13F6" w:rsidRDefault="002E5BC4">
      <w:pPr>
        <w:spacing w:after="202" w:line="261" w:lineRule="auto"/>
        <w:ind w:left="-5" w:right="468" w:hanging="10"/>
        <w:jc w:val="both"/>
      </w:pPr>
      <w:r>
        <w:rPr>
          <w:rFonts w:ascii="Cambria" w:eastAsia="Cambria" w:hAnsi="Cambria" w:cs="Cambria"/>
        </w:rPr>
        <w:t xml:space="preserve">Table 5: </w:t>
      </w:r>
      <w:r>
        <w:rPr>
          <w:rFonts w:ascii="Cambria" w:eastAsia="Cambria" w:hAnsi="Cambria" w:cs="Cambria"/>
          <w:b/>
        </w:rPr>
        <w:t>Volatility Increase for a Short (cash) Equity Option Position 3 years when Volatility Is Constant)</w:t>
      </w:r>
    </w:p>
    <w:tbl>
      <w:tblPr>
        <w:tblStyle w:val="TableGrid"/>
        <w:tblW w:w="7507" w:type="dxa"/>
        <w:tblInd w:w="927" w:type="dxa"/>
        <w:tblCellMar>
          <w:top w:w="42" w:type="dxa"/>
          <w:left w:w="124" w:type="dxa"/>
          <w:bottom w:w="0" w:type="dxa"/>
          <w:right w:w="123" w:type="dxa"/>
        </w:tblCellMar>
        <w:tblLook w:val="04A0" w:firstRow="1" w:lastRow="0" w:firstColumn="1" w:lastColumn="0" w:noHBand="0" w:noVBand="1"/>
      </w:tblPr>
      <w:tblGrid>
        <w:gridCol w:w="1835"/>
        <w:gridCol w:w="1323"/>
        <w:gridCol w:w="1517"/>
        <w:gridCol w:w="1416"/>
        <w:gridCol w:w="1416"/>
      </w:tblGrid>
      <w:tr w:rsidR="00EE13F6">
        <w:trPr>
          <w:trHeight w:val="279"/>
        </w:trPr>
        <w:tc>
          <w:tcPr>
            <w:tcW w:w="183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Company</w:t>
            </w:r>
          </w:p>
        </w:tc>
        <w:tc>
          <w:tcPr>
            <w:tcW w:w="13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rPr>
              <w:t>ATM Level</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w:t>
            </w:r>
            <w:r>
              <w:rPr>
                <w:rFonts w:ascii="Cambria" w:eastAsia="Cambria" w:hAnsi="Cambria" w:cs="Cambria"/>
                <w:i/>
              </w:rPr>
              <w:t xml:space="preserve">t </w:t>
            </w:r>
            <w:r>
              <w:rPr>
                <w:rFonts w:ascii="Cambria" w:eastAsia="Cambria" w:hAnsi="Cambria" w:cs="Cambria"/>
              </w:rPr>
              <w:t>Daily/Vol</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w:t>
            </w:r>
            <w:r>
              <w:rPr>
                <w:rFonts w:ascii="Cambria" w:eastAsia="Cambria" w:hAnsi="Cambria" w:cs="Cambria"/>
                <w:i/>
              </w:rPr>
              <w:t>s</w:t>
            </w:r>
            <w:r>
              <w:rPr>
                <w:rFonts w:ascii="Cambria" w:eastAsia="Cambria" w:hAnsi="Cambria" w:cs="Cambria"/>
              </w:rPr>
              <w:t>/Vol 0.02</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w:t>
            </w:r>
            <w:r>
              <w:rPr>
                <w:rFonts w:ascii="Cambria" w:eastAsia="Cambria" w:hAnsi="Cambria" w:cs="Cambria"/>
                <w:i/>
              </w:rPr>
              <w:t>s</w:t>
            </w:r>
            <w:r>
              <w:rPr>
                <w:rFonts w:ascii="Cambria" w:eastAsia="Cambria" w:hAnsi="Cambria" w:cs="Cambria"/>
              </w:rPr>
              <w:t>/Vol 0.01</w:t>
            </w:r>
          </w:p>
        </w:tc>
      </w:tr>
      <w:tr w:rsidR="00EE13F6">
        <w:trPr>
          <w:trHeight w:val="279"/>
        </w:trPr>
        <w:tc>
          <w:tcPr>
            <w:tcW w:w="183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lastRenderedPageBreak/>
              <w:t>Michelin</w:t>
            </w:r>
          </w:p>
        </w:tc>
        <w:tc>
          <w:tcPr>
            <w:tcW w:w="13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23</w:t>
            </w:r>
            <w:r>
              <w:rPr>
                <w:rFonts w:ascii="Cambria" w:eastAsia="Cambria" w:hAnsi="Cambria" w:cs="Cambria"/>
                <w:i/>
              </w:rPr>
              <w:t>.</w:t>
            </w:r>
            <w:r>
              <w:rPr>
                <w:rFonts w:ascii="Cambria" w:eastAsia="Cambria" w:hAnsi="Cambria" w:cs="Cambria"/>
              </w:rPr>
              <w:t>05</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w:t>
            </w:r>
            <w:r>
              <w:rPr>
                <w:rFonts w:ascii="Cambria" w:eastAsia="Cambria" w:hAnsi="Cambria" w:cs="Cambria"/>
                <w:i/>
              </w:rPr>
              <w:t>.</w:t>
            </w:r>
            <w:r>
              <w:rPr>
                <w:rFonts w:ascii="Cambria" w:eastAsia="Cambria" w:hAnsi="Cambria" w:cs="Cambria"/>
              </w:rPr>
              <w:t>6</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w:t>
            </w:r>
            <w:r>
              <w:rPr>
                <w:rFonts w:ascii="Cambria" w:eastAsia="Cambria" w:hAnsi="Cambria" w:cs="Cambria"/>
                <w:i/>
              </w:rPr>
              <w:t>.</w:t>
            </w:r>
            <w:r>
              <w:rPr>
                <w:rFonts w:ascii="Cambria" w:eastAsia="Cambria" w:hAnsi="Cambria" w:cs="Cambria"/>
              </w:rPr>
              <w:t>22</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7</w:t>
            </w:r>
            <w:r>
              <w:rPr>
                <w:rFonts w:ascii="Cambria" w:eastAsia="Cambria" w:hAnsi="Cambria" w:cs="Cambria"/>
                <w:i/>
              </w:rPr>
              <w:t>.</w:t>
            </w:r>
            <w:r>
              <w:rPr>
                <w:rFonts w:ascii="Cambria" w:eastAsia="Cambria" w:hAnsi="Cambria" w:cs="Cambria"/>
              </w:rPr>
              <w:t>875</w:t>
            </w:r>
          </w:p>
        </w:tc>
      </w:tr>
      <w:tr w:rsidR="00EE13F6">
        <w:trPr>
          <w:trHeight w:val="279"/>
        </w:trPr>
        <w:tc>
          <w:tcPr>
            <w:tcW w:w="183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Alsthom</w:t>
            </w:r>
          </w:p>
        </w:tc>
        <w:tc>
          <w:tcPr>
            <w:tcW w:w="13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26</w:t>
            </w:r>
            <w:r>
              <w:rPr>
                <w:rFonts w:ascii="Cambria" w:eastAsia="Cambria" w:hAnsi="Cambria" w:cs="Cambria"/>
                <w:i/>
              </w:rPr>
              <w:t>.</w:t>
            </w:r>
            <w:r>
              <w:rPr>
                <w:rFonts w:ascii="Cambria" w:eastAsia="Cambria" w:hAnsi="Cambria" w:cs="Cambria"/>
              </w:rPr>
              <w:t>12</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w:t>
            </w:r>
            <w:r>
              <w:rPr>
                <w:rFonts w:ascii="Cambria" w:eastAsia="Cambria" w:hAnsi="Cambria" w:cs="Cambria"/>
                <w:i/>
              </w:rPr>
              <w:t>.</w:t>
            </w:r>
            <w:r>
              <w:rPr>
                <w:rFonts w:ascii="Cambria" w:eastAsia="Cambria" w:hAnsi="Cambria" w:cs="Cambria"/>
              </w:rPr>
              <w:t>65</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w:t>
            </w:r>
            <w:r>
              <w:rPr>
                <w:rFonts w:ascii="Cambria" w:eastAsia="Cambria" w:hAnsi="Cambria" w:cs="Cambria"/>
                <w:i/>
              </w:rPr>
              <w:t>.</w:t>
            </w:r>
            <w:r>
              <w:rPr>
                <w:rFonts w:ascii="Cambria" w:eastAsia="Cambria" w:hAnsi="Cambria" w:cs="Cambria"/>
              </w:rPr>
              <w:t>79</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8</w:t>
            </w:r>
            <w:r>
              <w:rPr>
                <w:rFonts w:ascii="Cambria" w:eastAsia="Cambria" w:hAnsi="Cambria" w:cs="Cambria"/>
                <w:i/>
              </w:rPr>
              <w:t>.</w:t>
            </w:r>
            <w:r>
              <w:rPr>
                <w:rFonts w:ascii="Cambria" w:eastAsia="Cambria" w:hAnsi="Cambria" w:cs="Cambria"/>
              </w:rPr>
              <w:t>92</w:t>
            </w:r>
          </w:p>
        </w:tc>
      </w:tr>
      <w:tr w:rsidR="00EE13F6">
        <w:trPr>
          <w:trHeight w:val="279"/>
        </w:trPr>
        <w:tc>
          <w:tcPr>
            <w:tcW w:w="183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Arcelor</w:t>
            </w:r>
          </w:p>
        </w:tc>
        <w:tc>
          <w:tcPr>
            <w:tcW w:w="13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39</w:t>
            </w:r>
            <w:r>
              <w:rPr>
                <w:rFonts w:ascii="Cambria" w:eastAsia="Cambria" w:hAnsi="Cambria" w:cs="Cambria"/>
                <w:i/>
              </w:rPr>
              <w:t>.</w:t>
            </w:r>
            <w:r>
              <w:rPr>
                <w:rFonts w:ascii="Cambria" w:eastAsia="Cambria" w:hAnsi="Cambria" w:cs="Cambria"/>
              </w:rPr>
              <w:t>05</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w:t>
            </w:r>
            <w:r>
              <w:rPr>
                <w:rFonts w:ascii="Cambria" w:eastAsia="Cambria" w:hAnsi="Cambria" w:cs="Cambria"/>
                <w:i/>
              </w:rPr>
              <w:t>.</w:t>
            </w:r>
            <w:r>
              <w:rPr>
                <w:rFonts w:ascii="Cambria" w:eastAsia="Cambria" w:hAnsi="Cambria" w:cs="Cambria"/>
              </w:rPr>
              <w:t>78</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7</w:t>
            </w:r>
            <w:r>
              <w:rPr>
                <w:rFonts w:ascii="Cambria" w:eastAsia="Cambria" w:hAnsi="Cambria" w:cs="Cambria"/>
                <w:i/>
              </w:rPr>
              <w:t>.</w:t>
            </w:r>
            <w:r>
              <w:rPr>
                <w:rFonts w:ascii="Cambria" w:eastAsia="Cambria" w:hAnsi="Cambria" w:cs="Cambria"/>
              </w:rPr>
              <w:t>16</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13</w:t>
            </w:r>
            <w:r>
              <w:rPr>
                <w:rFonts w:ascii="Cambria" w:eastAsia="Cambria" w:hAnsi="Cambria" w:cs="Cambria"/>
                <w:i/>
              </w:rPr>
              <w:t>.</w:t>
            </w:r>
            <w:r>
              <w:rPr>
                <w:rFonts w:ascii="Cambria" w:eastAsia="Cambria" w:hAnsi="Cambria" w:cs="Cambria"/>
              </w:rPr>
              <w:t>34</w:t>
            </w:r>
          </w:p>
        </w:tc>
      </w:tr>
      <w:tr w:rsidR="00EE13F6">
        <w:trPr>
          <w:trHeight w:val="279"/>
        </w:trPr>
        <w:tc>
          <w:tcPr>
            <w:tcW w:w="183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Axa</w:t>
            </w:r>
          </w:p>
        </w:tc>
        <w:tc>
          <w:tcPr>
            <w:tcW w:w="13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28</w:t>
            </w:r>
            <w:r>
              <w:rPr>
                <w:rFonts w:ascii="Cambria" w:eastAsia="Cambria" w:hAnsi="Cambria" w:cs="Cambria"/>
                <w:i/>
              </w:rPr>
              <w:t>.</w:t>
            </w:r>
            <w:r>
              <w:rPr>
                <w:rFonts w:ascii="Cambria" w:eastAsia="Cambria" w:hAnsi="Cambria" w:cs="Cambria"/>
              </w:rPr>
              <w:t>44</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w:t>
            </w:r>
            <w:r>
              <w:rPr>
                <w:rFonts w:ascii="Cambria" w:eastAsia="Cambria" w:hAnsi="Cambria" w:cs="Cambria"/>
                <w:i/>
              </w:rPr>
              <w:t>.</w:t>
            </w:r>
            <w:r>
              <w:rPr>
                <w:rFonts w:ascii="Cambria" w:eastAsia="Cambria" w:hAnsi="Cambria" w:cs="Cambria"/>
              </w:rPr>
              <w:t>68</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r>
              <w:rPr>
                <w:rFonts w:ascii="Cambria" w:eastAsia="Cambria" w:hAnsi="Cambria" w:cs="Cambria"/>
                <w:i/>
              </w:rPr>
              <w:t>.</w:t>
            </w:r>
            <w:r>
              <w:rPr>
                <w:rFonts w:ascii="Cambria" w:eastAsia="Cambria" w:hAnsi="Cambria" w:cs="Cambria"/>
              </w:rPr>
              <w:t>21</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9</w:t>
            </w:r>
            <w:r>
              <w:rPr>
                <w:rFonts w:ascii="Cambria" w:eastAsia="Cambria" w:hAnsi="Cambria" w:cs="Cambria"/>
                <w:i/>
              </w:rPr>
              <w:t>.</w:t>
            </w:r>
            <w:r>
              <w:rPr>
                <w:rFonts w:ascii="Cambria" w:eastAsia="Cambria" w:hAnsi="Cambria" w:cs="Cambria"/>
              </w:rPr>
              <w:t>71</w:t>
            </w:r>
          </w:p>
        </w:tc>
      </w:tr>
      <w:tr w:rsidR="00EE13F6">
        <w:trPr>
          <w:trHeight w:val="279"/>
        </w:trPr>
        <w:tc>
          <w:tcPr>
            <w:tcW w:w="183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Commerzbank</w:t>
            </w:r>
          </w:p>
        </w:tc>
        <w:tc>
          <w:tcPr>
            <w:tcW w:w="13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38</w:t>
            </w:r>
            <w:r>
              <w:rPr>
                <w:rFonts w:ascii="Cambria" w:eastAsia="Cambria" w:hAnsi="Cambria" w:cs="Cambria"/>
                <w:i/>
              </w:rPr>
              <w:t>.</w:t>
            </w:r>
            <w:r>
              <w:rPr>
                <w:rFonts w:ascii="Cambria" w:eastAsia="Cambria" w:hAnsi="Cambria" w:cs="Cambria"/>
              </w:rPr>
              <w:t>19</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w:t>
            </w:r>
            <w:r>
              <w:rPr>
                <w:rFonts w:ascii="Cambria" w:eastAsia="Cambria" w:hAnsi="Cambria" w:cs="Cambria"/>
                <w:i/>
              </w:rPr>
              <w:t>.</w:t>
            </w:r>
            <w:r>
              <w:rPr>
                <w:rFonts w:ascii="Cambria" w:eastAsia="Cambria" w:hAnsi="Cambria" w:cs="Cambria"/>
              </w:rPr>
              <w:t>77</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7</w:t>
            </w:r>
            <w:r>
              <w:rPr>
                <w:rFonts w:ascii="Cambria" w:eastAsia="Cambria" w:hAnsi="Cambria" w:cs="Cambria"/>
                <w:i/>
              </w:rPr>
              <w:t>.</w:t>
            </w:r>
            <w:r>
              <w:rPr>
                <w:rFonts w:ascii="Cambria" w:eastAsia="Cambria" w:hAnsi="Cambria" w:cs="Cambria"/>
              </w:rPr>
              <w:t>00</w:t>
            </w:r>
          </w:p>
        </w:tc>
        <w:tc>
          <w:tcPr>
            <w:tcW w:w="141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13</w:t>
            </w:r>
            <w:r>
              <w:rPr>
                <w:rFonts w:ascii="Cambria" w:eastAsia="Cambria" w:hAnsi="Cambria" w:cs="Cambria"/>
                <w:i/>
              </w:rPr>
              <w:t>.</w:t>
            </w:r>
            <w:r>
              <w:rPr>
                <w:rFonts w:ascii="Cambria" w:eastAsia="Cambria" w:hAnsi="Cambria" w:cs="Cambria"/>
              </w:rPr>
              <w:t>05</w:t>
            </w:r>
          </w:p>
        </w:tc>
      </w:tr>
    </w:tbl>
    <w:p w:rsidR="00EE13F6" w:rsidRDefault="002E5BC4">
      <w:pPr>
        <w:tabs>
          <w:tab w:val="center" w:pos="4426"/>
        </w:tabs>
        <w:spacing w:after="287" w:line="261" w:lineRule="auto"/>
        <w:ind w:left="-15"/>
      </w:pPr>
      <w:r>
        <w:rPr>
          <w:rFonts w:ascii="Cambria" w:eastAsia="Cambria" w:hAnsi="Cambria" w:cs="Cambria"/>
          <w:b/>
        </w:rPr>
        <w:t>1.3.2</w:t>
      </w:r>
      <w:r>
        <w:rPr>
          <w:rFonts w:ascii="Cambria" w:eastAsia="Cambria" w:hAnsi="Cambria" w:cs="Cambria"/>
          <w:b/>
        </w:rPr>
        <w:tab/>
        <w:t>Call and Put Spreads. Application to Delta Neutral Hedging Rule</w:t>
      </w:r>
    </w:p>
    <w:p w:rsidR="00EE13F6" w:rsidRDefault="002E5BC4">
      <w:pPr>
        <w:spacing w:after="133" w:line="264" w:lineRule="auto"/>
        <w:ind w:left="19" w:right="477" w:hanging="10"/>
        <w:jc w:val="both"/>
      </w:pPr>
      <w:r>
        <w:rPr>
          <w:rFonts w:ascii="Cambria" w:eastAsia="Cambria" w:hAnsi="Cambria" w:cs="Cambria"/>
        </w:rPr>
        <w:t>In option market’s real life, market-makers, instead of holding a position till maturity, in case they do not find an offsetting trade, will hedge their option positions with available options, regardless of the strike. Generally speaking, this is the case</w:t>
      </w:r>
      <w:r>
        <w:rPr>
          <w:rFonts w:ascii="Cambria" w:eastAsia="Cambria" w:hAnsi="Cambria" w:cs="Cambria"/>
        </w:rPr>
        <w:t xml:space="preserve"> for ”Out of the Money” (OTM) equity options which are not very liquid, and are hedged with ”At The Money” (ATM) options which are more abundant. Consequently, it is interesting to measure the impact of the FTT in such configurations. As we saw before, the</w:t>
      </w:r>
      <w:r>
        <w:rPr>
          <w:rFonts w:ascii="Cambria" w:eastAsia="Cambria" w:hAnsi="Cambria" w:cs="Cambria"/>
        </w:rPr>
        <w:t xml:space="preserve"> calculation of the FTT full impact has to consider a non constant volatility and is based on Monte-Carlo simulations as it is path-dependent.</w:t>
      </w:r>
    </w:p>
    <w:p w:rsidR="00EE13F6" w:rsidRDefault="002E5BC4">
      <w:pPr>
        <w:spacing w:after="133" w:line="264" w:lineRule="auto"/>
        <w:ind w:left="19" w:right="477" w:hanging="10"/>
        <w:jc w:val="both"/>
      </w:pPr>
      <w:r>
        <w:rPr>
          <w:rFonts w:ascii="Cambria" w:eastAsia="Cambria" w:hAnsi="Cambria" w:cs="Cambria"/>
        </w:rPr>
        <w:t>Table 6 shows the impact of the FTT in terms of Volatility for an OTM equity option which is statically hedged wi</w:t>
      </w:r>
      <w:r>
        <w:rPr>
          <w:rFonts w:ascii="Cambria" w:eastAsia="Cambria" w:hAnsi="Cambria" w:cs="Cambria"/>
        </w:rPr>
        <w:t>th an ATM option. The ratio between the number of OTM options and ATM options is such that the overall Call-spread position is Delta neutral at inception(</w:t>
      </w:r>
      <w:r>
        <w:rPr>
          <w:rFonts w:ascii="Cambria" w:eastAsia="Cambria" w:hAnsi="Cambria" w:cs="Cambria"/>
          <w:i/>
        </w:rPr>
        <w:t>δ</w:t>
      </w:r>
      <w:r>
        <w:rPr>
          <w:rFonts w:ascii="Cambria" w:eastAsia="Cambria" w:hAnsi="Cambria" w:cs="Cambria"/>
        </w:rPr>
        <w:t>=0).</w:t>
      </w:r>
    </w:p>
    <w:p w:rsidR="00EE13F6" w:rsidRDefault="002E5BC4">
      <w:pPr>
        <w:spacing w:after="783" w:line="264" w:lineRule="auto"/>
        <w:ind w:left="19" w:right="477" w:hanging="10"/>
        <w:jc w:val="both"/>
      </w:pPr>
      <w:r>
        <w:rPr>
          <w:rFonts w:ascii="Cambria" w:eastAsia="Cambria" w:hAnsi="Cambria" w:cs="Cambria"/>
        </w:rPr>
        <w:t>We can see, in the particular case of Michelin, that the FTT’s impact increases with the distanc</w:t>
      </w:r>
      <w:r>
        <w:rPr>
          <w:rFonts w:ascii="Cambria" w:eastAsia="Cambria" w:hAnsi="Cambria" w:cs="Cambria"/>
        </w:rPr>
        <w:t xml:space="preserve">e of the OTM option to the Money. Put more simply, the FTT’s impact increases with the difference between the option strike and the spot value. Practically, we can see also that the FTT’s impact is lessened for OTM options whose strike is in a range of up </w:t>
      </w:r>
      <w:r>
        <w:rPr>
          <w:rFonts w:ascii="Cambria" w:eastAsia="Cambria" w:hAnsi="Cambria" w:cs="Cambria"/>
        </w:rPr>
        <w:t>to 200 percent of the spot price.</w:t>
      </w:r>
    </w:p>
    <w:p w:rsidR="00EE13F6" w:rsidRDefault="002E5BC4">
      <w:pPr>
        <w:spacing w:after="29" w:line="261" w:lineRule="auto"/>
        <w:ind w:left="-5" w:right="468" w:hanging="10"/>
        <w:jc w:val="both"/>
      </w:pPr>
      <w:r>
        <w:rPr>
          <w:rFonts w:ascii="Cambria" w:eastAsia="Cambria" w:hAnsi="Cambria" w:cs="Cambria"/>
        </w:rPr>
        <w:t xml:space="preserve">Table 6: </w:t>
      </w:r>
      <w:r>
        <w:rPr>
          <w:rFonts w:ascii="Cambria" w:eastAsia="Cambria" w:hAnsi="Cambria" w:cs="Cambria"/>
          <w:b/>
        </w:rPr>
        <w:t>Volatility Increase for a Call Spread Position on an Equity Option Position</w:t>
      </w:r>
    </w:p>
    <w:p w:rsidR="00EE13F6" w:rsidRDefault="002E5BC4">
      <w:pPr>
        <w:spacing w:after="202" w:line="261" w:lineRule="auto"/>
        <w:ind w:left="-5" w:right="468" w:hanging="10"/>
        <w:jc w:val="both"/>
      </w:pPr>
      <w:r>
        <w:rPr>
          <w:rFonts w:ascii="Cambria" w:eastAsia="Cambria" w:hAnsi="Cambria" w:cs="Cambria"/>
          <w:b/>
        </w:rPr>
        <w:t>3 years depending Upon The Moneyness (Constant Volatility): The Case of Michelin Stock as of 30/09/2016)</w:t>
      </w:r>
    </w:p>
    <w:tbl>
      <w:tblPr>
        <w:tblStyle w:val="TableGrid"/>
        <w:tblW w:w="2587" w:type="dxa"/>
        <w:tblInd w:w="3386" w:type="dxa"/>
        <w:tblCellMar>
          <w:top w:w="42" w:type="dxa"/>
          <w:left w:w="124" w:type="dxa"/>
          <w:bottom w:w="0" w:type="dxa"/>
          <w:right w:w="115" w:type="dxa"/>
        </w:tblCellMar>
        <w:tblLook w:val="04A0" w:firstRow="1" w:lastRow="0" w:firstColumn="1" w:lastColumn="0" w:noHBand="0" w:noVBand="1"/>
      </w:tblPr>
      <w:tblGrid>
        <w:gridCol w:w="1296"/>
        <w:gridCol w:w="1291"/>
      </w:tblGrid>
      <w:tr w:rsidR="00EE13F6">
        <w:trPr>
          <w:trHeight w:val="550"/>
        </w:trPr>
        <w:tc>
          <w:tcPr>
            <w:tcW w:w="1280"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Moneyness</w:t>
            </w:r>
          </w:p>
        </w:tc>
        <w:tc>
          <w:tcPr>
            <w:tcW w:w="1308"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Vol Impact</w:t>
            </w:r>
          </w:p>
        </w:tc>
      </w:tr>
      <w:tr w:rsidR="00EE13F6">
        <w:trPr>
          <w:trHeight w:val="279"/>
        </w:trPr>
        <w:tc>
          <w:tcPr>
            <w:tcW w:w="1280"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250</w:t>
            </w:r>
          </w:p>
        </w:tc>
        <w:tc>
          <w:tcPr>
            <w:tcW w:w="130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w:t>
            </w:r>
            <w:r>
              <w:rPr>
                <w:rFonts w:ascii="Cambria" w:eastAsia="Cambria" w:hAnsi="Cambria" w:cs="Cambria"/>
                <w:i/>
              </w:rPr>
              <w:t>.</w:t>
            </w:r>
            <w:r>
              <w:rPr>
                <w:rFonts w:ascii="Cambria" w:eastAsia="Cambria" w:hAnsi="Cambria" w:cs="Cambria"/>
              </w:rPr>
              <w:t>8</w:t>
            </w:r>
          </w:p>
        </w:tc>
      </w:tr>
      <w:tr w:rsidR="00EE13F6">
        <w:trPr>
          <w:trHeight w:val="279"/>
        </w:trPr>
        <w:tc>
          <w:tcPr>
            <w:tcW w:w="1280"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200</w:t>
            </w:r>
          </w:p>
        </w:tc>
        <w:tc>
          <w:tcPr>
            <w:tcW w:w="130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w:t>
            </w:r>
            <w:r>
              <w:rPr>
                <w:rFonts w:ascii="Cambria" w:eastAsia="Cambria" w:hAnsi="Cambria" w:cs="Cambria"/>
                <w:i/>
              </w:rPr>
              <w:t>.</w:t>
            </w:r>
            <w:r>
              <w:rPr>
                <w:rFonts w:ascii="Cambria" w:eastAsia="Cambria" w:hAnsi="Cambria" w:cs="Cambria"/>
              </w:rPr>
              <w:t>6</w:t>
            </w:r>
          </w:p>
        </w:tc>
      </w:tr>
      <w:tr w:rsidR="00EE13F6">
        <w:trPr>
          <w:trHeight w:val="279"/>
        </w:trPr>
        <w:tc>
          <w:tcPr>
            <w:tcW w:w="1280"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140</w:t>
            </w:r>
          </w:p>
        </w:tc>
        <w:tc>
          <w:tcPr>
            <w:tcW w:w="130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w:t>
            </w:r>
            <w:r>
              <w:rPr>
                <w:rFonts w:ascii="Cambria" w:eastAsia="Cambria" w:hAnsi="Cambria" w:cs="Cambria"/>
                <w:i/>
              </w:rPr>
              <w:t>.</w:t>
            </w:r>
            <w:r>
              <w:rPr>
                <w:rFonts w:ascii="Cambria" w:eastAsia="Cambria" w:hAnsi="Cambria" w:cs="Cambria"/>
              </w:rPr>
              <w:t>5</w:t>
            </w:r>
          </w:p>
        </w:tc>
      </w:tr>
      <w:tr w:rsidR="00EE13F6">
        <w:trPr>
          <w:trHeight w:val="279"/>
        </w:trPr>
        <w:tc>
          <w:tcPr>
            <w:tcW w:w="1280"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120</w:t>
            </w:r>
          </w:p>
        </w:tc>
        <w:tc>
          <w:tcPr>
            <w:tcW w:w="130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w:t>
            </w:r>
            <w:r>
              <w:rPr>
                <w:rFonts w:ascii="Cambria" w:eastAsia="Cambria" w:hAnsi="Cambria" w:cs="Cambria"/>
                <w:i/>
              </w:rPr>
              <w:t>.</w:t>
            </w:r>
            <w:r>
              <w:rPr>
                <w:rFonts w:ascii="Cambria" w:eastAsia="Cambria" w:hAnsi="Cambria" w:cs="Cambria"/>
              </w:rPr>
              <w:t>0</w:t>
            </w:r>
          </w:p>
        </w:tc>
      </w:tr>
    </w:tbl>
    <w:p w:rsidR="00EE13F6" w:rsidRDefault="002E5BC4">
      <w:pPr>
        <w:spacing w:after="133" w:line="264" w:lineRule="auto"/>
        <w:ind w:left="19" w:right="477" w:hanging="10"/>
        <w:jc w:val="both"/>
      </w:pPr>
      <w:r>
        <w:rPr>
          <w:rFonts w:ascii="Cambria" w:eastAsia="Cambria" w:hAnsi="Cambria" w:cs="Cambria"/>
          <w:b/>
        </w:rPr>
        <w:t xml:space="preserve">Remark: </w:t>
      </w:r>
      <w:r>
        <w:rPr>
          <w:rFonts w:ascii="Cambria" w:eastAsia="Cambria" w:hAnsi="Cambria" w:cs="Cambria"/>
        </w:rPr>
        <w:t>Going forward, we will consider in the next sections, for simplicity sake that the volatility is constant. This will allow us to avoid the additional consideration of volatility randomness in our quantitative estimations.</w:t>
      </w:r>
    </w:p>
    <w:p w:rsidR="00EE13F6" w:rsidRDefault="002E5BC4">
      <w:pPr>
        <w:tabs>
          <w:tab w:val="center" w:pos="3562"/>
        </w:tabs>
        <w:spacing w:after="287" w:line="261" w:lineRule="auto"/>
        <w:ind w:left="-15"/>
      </w:pPr>
      <w:r>
        <w:rPr>
          <w:rFonts w:ascii="Cambria" w:eastAsia="Cambria" w:hAnsi="Cambria" w:cs="Cambria"/>
          <w:b/>
        </w:rPr>
        <w:t>1.3.3</w:t>
      </w:r>
      <w:r>
        <w:rPr>
          <w:rFonts w:ascii="Cambria" w:eastAsia="Cambria" w:hAnsi="Cambria" w:cs="Cambria"/>
          <w:b/>
        </w:rPr>
        <w:tab/>
        <w:t>Impact of the FTT on Expected Realized Variance</w:t>
      </w:r>
    </w:p>
    <w:p w:rsidR="00EE13F6" w:rsidRDefault="002E5BC4">
      <w:pPr>
        <w:spacing w:after="133" w:line="264" w:lineRule="auto"/>
        <w:ind w:left="19" w:right="477" w:hanging="10"/>
        <w:jc w:val="both"/>
      </w:pPr>
      <w:r>
        <w:rPr>
          <w:rFonts w:ascii="Cambria" w:eastAsia="Cambria" w:hAnsi="Cambria" w:cs="Cambria"/>
        </w:rPr>
        <w:t>We consider now the variance which is the square of the volatility. We focus on the expected realized variance, under the risk neutral mesure induced by the random process followed by the stock. We can</w:t>
      </w:r>
      <w:r>
        <w:rPr>
          <w:rFonts w:ascii="Cambria" w:eastAsia="Cambria" w:hAnsi="Cambria" w:cs="Cambria"/>
        </w:rPr>
        <w:t xml:space="preserve"> extend to the expected realized variance the Leland results which stand for the implied volatility. We consider only the cost of hedging of a Variance swap.</w:t>
      </w:r>
    </w:p>
    <w:p w:rsidR="00EE13F6" w:rsidRDefault="002E5BC4">
      <w:pPr>
        <w:spacing w:after="133" w:line="264" w:lineRule="auto"/>
        <w:ind w:left="19" w:right="477" w:hanging="10"/>
        <w:jc w:val="both"/>
      </w:pPr>
      <w:r>
        <w:rPr>
          <w:rFonts w:ascii="Cambria" w:eastAsia="Cambria" w:hAnsi="Cambria" w:cs="Cambria"/>
        </w:rPr>
        <w:lastRenderedPageBreak/>
        <w:t>In fact, we have the following proposal, which also proves that the Leland calculation for fixed r</w:t>
      </w:r>
      <w:r>
        <w:rPr>
          <w:rFonts w:ascii="Cambria" w:eastAsia="Cambria" w:hAnsi="Cambria" w:cs="Cambria"/>
        </w:rPr>
        <w:t>e-hedging period still holds. Finally, this formulation allows to consider a formulation which is not dependant upon the Dollar-Gamma thanks to the properties of variance swaps.</w:t>
      </w:r>
    </w:p>
    <w:p w:rsidR="00EE13F6" w:rsidRDefault="002E5BC4">
      <w:pPr>
        <w:spacing w:after="135" w:line="261" w:lineRule="auto"/>
        <w:ind w:left="-5" w:right="468" w:hanging="10"/>
        <w:jc w:val="both"/>
      </w:pPr>
      <w:r>
        <w:rPr>
          <w:rFonts w:ascii="Cambria" w:eastAsia="Cambria" w:hAnsi="Cambria" w:cs="Cambria"/>
          <w:b/>
        </w:rPr>
        <w:t>Proposition Impact of Transaction Costs on Expected Realized Variance</w:t>
      </w:r>
    </w:p>
    <w:p w:rsidR="00EE13F6" w:rsidRDefault="002E5BC4">
      <w:pPr>
        <w:spacing w:after="175" w:line="261" w:lineRule="auto"/>
        <w:ind w:left="-5" w:right="468" w:hanging="10"/>
        <w:jc w:val="both"/>
      </w:pPr>
      <w:r>
        <w:rPr>
          <w:rFonts w:ascii="Cambria" w:eastAsia="Cambria" w:hAnsi="Cambria" w:cs="Cambria"/>
          <w:b/>
        </w:rPr>
        <w:t>Hypothesis</w:t>
      </w:r>
    </w:p>
    <w:p w:rsidR="00EE13F6" w:rsidRDefault="002E5BC4" w:rsidP="002E5BC4">
      <w:pPr>
        <w:numPr>
          <w:ilvl w:val="0"/>
          <w:numId w:val="11"/>
        </w:numPr>
        <w:spacing w:after="133" w:line="264" w:lineRule="auto"/>
        <w:ind w:right="477" w:hanging="10"/>
        <w:jc w:val="both"/>
      </w:pPr>
      <w:r>
        <w:rPr>
          <w:rFonts w:ascii="Cambria" w:eastAsia="Cambria" w:hAnsi="Cambria" w:cs="Cambria"/>
        </w:rPr>
        <w:t xml:space="preserve">We consider a Variance swap whose expected realized variance and strike price is </w:t>
      </w:r>
      <w:r>
        <w:rPr>
          <w:rFonts w:ascii="Cambria" w:eastAsia="Cambria" w:hAnsi="Cambria" w:cs="Cambria"/>
          <w:i/>
        </w:rPr>
        <w:t>K</w:t>
      </w:r>
      <w:r>
        <w:rPr>
          <w:rFonts w:ascii="Cambria" w:eastAsia="Cambria" w:hAnsi="Cambria" w:cs="Cambria"/>
          <w:i/>
          <w:vertAlign w:val="subscript"/>
        </w:rPr>
        <w:t xml:space="preserve">V ar </w:t>
      </w:r>
      <w:r>
        <w:rPr>
          <w:rFonts w:ascii="Cambria" w:eastAsia="Cambria" w:hAnsi="Cambria" w:cs="Cambria"/>
        </w:rPr>
        <w:t xml:space="preserve">= </w:t>
      </w:r>
      <w:r>
        <w:rPr>
          <w:rFonts w:ascii="Cambria" w:eastAsia="Cambria" w:hAnsi="Cambria" w:cs="Cambria"/>
          <w:i/>
        </w:rPr>
        <w:t>σ</w:t>
      </w:r>
      <w:r>
        <w:rPr>
          <w:rFonts w:ascii="Cambria" w:eastAsia="Cambria" w:hAnsi="Cambria" w:cs="Cambria"/>
          <w:vertAlign w:val="superscript"/>
        </w:rPr>
        <w:t xml:space="preserve">2 </w:t>
      </w:r>
      <w:r>
        <w:rPr>
          <w:rFonts w:ascii="Cambria" w:eastAsia="Cambria" w:hAnsi="Cambria" w:cs="Cambria"/>
        </w:rPr>
        <w:t>under the classic Black-Scholes assumption of zero transaction costs.</w:t>
      </w:r>
    </w:p>
    <w:p w:rsidR="00EE13F6" w:rsidRDefault="002E5BC4" w:rsidP="002E5BC4">
      <w:pPr>
        <w:numPr>
          <w:ilvl w:val="0"/>
          <w:numId w:val="11"/>
        </w:numPr>
        <w:spacing w:after="166" w:line="264" w:lineRule="auto"/>
        <w:ind w:right="477" w:hanging="10"/>
        <w:jc w:val="both"/>
      </w:pPr>
      <w:r>
        <w:rPr>
          <w:rFonts w:ascii="Cambria" w:eastAsia="Cambria" w:hAnsi="Cambria" w:cs="Cambria"/>
        </w:rPr>
        <w:t xml:space="preserve">We consider there is a roundtrip transaction cost affecting both purchases and sales of shareswhose rate </w:t>
      </w:r>
      <w:r>
        <w:rPr>
          <w:rFonts w:ascii="Cambria" w:eastAsia="Cambria" w:hAnsi="Cambria" w:cs="Cambria"/>
          <w:i/>
        </w:rPr>
        <w:t xml:space="preserve">k </w:t>
      </w:r>
      <w:r>
        <w:rPr>
          <w:rFonts w:ascii="Cambria" w:eastAsia="Cambria" w:hAnsi="Cambria" w:cs="Cambria"/>
        </w:rPr>
        <w:t>is expressed as a percentage of the share value.</w:t>
      </w:r>
    </w:p>
    <w:p w:rsidR="00EE13F6" w:rsidRDefault="002E5BC4">
      <w:pPr>
        <w:spacing w:after="292" w:line="264" w:lineRule="auto"/>
        <w:ind w:left="19" w:right="477" w:hanging="10"/>
        <w:jc w:val="both"/>
      </w:pPr>
      <w:r>
        <w:rPr>
          <w:rFonts w:ascii="Cambria" w:eastAsia="Cambria" w:hAnsi="Cambria" w:cs="Cambria"/>
          <w:b/>
        </w:rPr>
        <w:t xml:space="preserve">Conclusion </w:t>
      </w:r>
      <w:r>
        <w:rPr>
          <w:rFonts w:ascii="Cambria" w:eastAsia="Cambria" w:hAnsi="Cambria" w:cs="Cambria"/>
        </w:rPr>
        <w:t xml:space="preserve">(i) in order to achieve the same pay-off the strike price of the variance swap has to be </w:t>
      </w:r>
      <w:r>
        <w:rPr>
          <w:rFonts w:ascii="Cambria" w:eastAsia="Cambria" w:hAnsi="Cambria" w:cs="Cambria"/>
        </w:rPr>
        <w:t>adjusted to:</w:t>
      </w:r>
    </w:p>
    <w:p w:rsidR="00EE13F6" w:rsidRDefault="002E5BC4">
      <w:pPr>
        <w:tabs>
          <w:tab w:val="center" w:pos="4691"/>
          <w:tab w:val="center" w:pos="9221"/>
        </w:tabs>
        <w:spacing w:after="266" w:line="265" w:lineRule="auto"/>
      </w:pPr>
      <w:r>
        <w:tab/>
      </w:r>
      <w:r>
        <w:rPr>
          <w:noProof/>
        </w:rPr>
        <w:drawing>
          <wp:inline distT="0" distB="0" distL="0" distR="0">
            <wp:extent cx="1444752" cy="417576"/>
            <wp:effectExtent l="0" t="0" r="0" b="0"/>
            <wp:docPr id="221819" name="Picture 221819"/>
            <wp:cNvGraphicFramePr/>
            <a:graphic xmlns:a="http://schemas.openxmlformats.org/drawingml/2006/main">
              <a:graphicData uri="http://schemas.openxmlformats.org/drawingml/2006/picture">
                <pic:pic xmlns:pic="http://schemas.openxmlformats.org/drawingml/2006/picture">
                  <pic:nvPicPr>
                    <pic:cNvPr id="221819" name="Picture 221819"/>
                    <pic:cNvPicPr/>
                  </pic:nvPicPr>
                  <pic:blipFill>
                    <a:blip r:embed="rId35"/>
                    <a:stretch>
                      <a:fillRect/>
                    </a:stretch>
                  </pic:blipFill>
                  <pic:spPr>
                    <a:xfrm>
                      <a:off x="0" y="0"/>
                      <a:ext cx="1444752" cy="417576"/>
                    </a:xfrm>
                    <a:prstGeom prst="rect">
                      <a:avLst/>
                    </a:prstGeom>
                  </pic:spPr>
                </pic:pic>
              </a:graphicData>
            </a:graphic>
          </wp:inline>
        </w:drawing>
      </w:r>
      <w:r>
        <w:rPr>
          <w:rFonts w:ascii="Cambria" w:eastAsia="Cambria" w:hAnsi="Cambria" w:cs="Cambria"/>
        </w:rPr>
        <w:tab/>
        <w:t>(4)</w:t>
      </w:r>
    </w:p>
    <w:p w:rsidR="00EE13F6" w:rsidRDefault="002E5BC4">
      <w:pPr>
        <w:spacing w:after="133" w:line="264" w:lineRule="auto"/>
        <w:ind w:left="19" w:right="477" w:hanging="10"/>
        <w:jc w:val="both"/>
      </w:pPr>
      <w:r>
        <w:rPr>
          <w:rFonts w:ascii="Cambria" w:eastAsia="Cambria" w:hAnsi="Cambria" w:cs="Cambria"/>
        </w:rPr>
        <w:t>One can see immediately this is identical to the Leland formula discussed previously.</w:t>
      </w:r>
    </w:p>
    <w:p w:rsidR="00EE13F6" w:rsidRDefault="002E5BC4">
      <w:pPr>
        <w:spacing w:after="135" w:line="261" w:lineRule="auto"/>
        <w:ind w:left="-5" w:right="468" w:hanging="10"/>
        <w:jc w:val="both"/>
      </w:pPr>
      <w:r>
        <w:rPr>
          <w:rFonts w:ascii="Cambria" w:eastAsia="Cambria" w:hAnsi="Cambria" w:cs="Cambria"/>
          <w:b/>
        </w:rPr>
        <w:t>Proof</w:t>
      </w:r>
    </w:p>
    <w:p w:rsidR="00EE13F6" w:rsidRDefault="002E5BC4">
      <w:pPr>
        <w:spacing w:after="498" w:line="264" w:lineRule="auto"/>
        <w:ind w:left="19" w:right="477" w:hanging="10"/>
        <w:jc w:val="both"/>
      </w:pPr>
      <w:r>
        <w:rPr>
          <w:rFonts w:ascii="Cambria" w:eastAsia="Cambria" w:hAnsi="Cambria" w:cs="Cambria"/>
        </w:rPr>
        <w:t>We consider a variance swap whose pay-off is:</w:t>
      </w:r>
    </w:p>
    <w:p w:rsidR="00EE13F6" w:rsidRDefault="002E5BC4">
      <w:pPr>
        <w:spacing w:after="344" w:line="265" w:lineRule="auto"/>
        <w:ind w:left="10" w:right="483" w:hanging="10"/>
        <w:jc w:val="center"/>
      </w:pPr>
      <w:r>
        <w:rPr>
          <w:rFonts w:ascii="Cambria" w:eastAsia="Cambria" w:hAnsi="Cambria" w:cs="Cambria"/>
          <w:i/>
        </w:rPr>
        <w:t>N</w:t>
      </w:r>
      <w:r>
        <w:rPr>
          <w:rFonts w:ascii="Cambria" w:eastAsia="Cambria" w:hAnsi="Cambria" w:cs="Cambria"/>
          <w:i/>
          <w:sz w:val="16"/>
        </w:rPr>
        <w:t>V ar</w:t>
      </w:r>
      <w:r>
        <w:rPr>
          <w:rFonts w:ascii="Cambria" w:eastAsia="Cambria" w:hAnsi="Cambria" w:cs="Cambria"/>
        </w:rPr>
        <w:t>(</w:t>
      </w:r>
      <w:r>
        <w:rPr>
          <w:rFonts w:ascii="Cambria" w:eastAsia="Cambria" w:hAnsi="Cambria" w:cs="Cambria"/>
          <w:i/>
        </w:rPr>
        <w:t>σ</w:t>
      </w:r>
      <w:r>
        <w:rPr>
          <w:rFonts w:ascii="Cambria" w:eastAsia="Cambria" w:hAnsi="Cambria" w:cs="Cambria"/>
          <w:i/>
          <w:sz w:val="16"/>
        </w:rPr>
        <w:t>R</w:t>
      </w:r>
      <w:r>
        <w:rPr>
          <w:rFonts w:ascii="Cambria" w:eastAsia="Cambria" w:hAnsi="Cambria" w:cs="Cambria"/>
          <w:sz w:val="16"/>
        </w:rPr>
        <w:t xml:space="preserve">2 </w:t>
      </w:r>
      <w:r>
        <w:rPr>
          <w:rFonts w:ascii="Cambria" w:eastAsia="Cambria" w:hAnsi="Cambria" w:cs="Cambria"/>
        </w:rPr>
        <w:t>−</w:t>
      </w:r>
      <w:r>
        <w:rPr>
          <w:rFonts w:ascii="Cambria" w:eastAsia="Cambria" w:hAnsi="Cambria" w:cs="Cambria"/>
        </w:rPr>
        <w:t xml:space="preserve"> </w:t>
      </w:r>
      <w:r>
        <w:rPr>
          <w:rFonts w:ascii="Cambria" w:eastAsia="Cambria" w:hAnsi="Cambria" w:cs="Cambria"/>
          <w:i/>
        </w:rPr>
        <w:t>K</w:t>
      </w:r>
      <w:r>
        <w:rPr>
          <w:rFonts w:ascii="Cambria" w:eastAsia="Cambria" w:hAnsi="Cambria" w:cs="Cambria"/>
          <w:i/>
          <w:sz w:val="16"/>
        </w:rPr>
        <w:t>V ar</w:t>
      </w:r>
      <w:r>
        <w:rPr>
          <w:rFonts w:ascii="Cambria" w:eastAsia="Cambria" w:hAnsi="Cambria" w:cs="Cambria"/>
        </w:rPr>
        <w:t>)</w:t>
      </w:r>
    </w:p>
    <w:p w:rsidR="00EE13F6" w:rsidRDefault="002E5BC4">
      <w:pPr>
        <w:spacing w:after="78" w:line="314" w:lineRule="auto"/>
        <w:ind w:left="19" w:right="477" w:hanging="10"/>
        <w:jc w:val="both"/>
      </w:pPr>
      <w:r>
        <w:rPr>
          <w:rFonts w:ascii="Cambria" w:eastAsia="Cambria" w:hAnsi="Cambria" w:cs="Cambria"/>
        </w:rPr>
        <w:t xml:space="preserve">where </w:t>
      </w:r>
      <w:r>
        <w:rPr>
          <w:rFonts w:ascii="Cambria" w:eastAsia="Cambria" w:hAnsi="Cambria" w:cs="Cambria"/>
          <w:i/>
        </w:rPr>
        <w:t>N</w:t>
      </w:r>
      <w:r>
        <w:rPr>
          <w:rFonts w:ascii="Cambria" w:eastAsia="Cambria" w:hAnsi="Cambria" w:cs="Cambria"/>
          <w:i/>
          <w:vertAlign w:val="subscript"/>
        </w:rPr>
        <w:t xml:space="preserve">V ar </w:t>
      </w:r>
      <w:r>
        <w:rPr>
          <w:rFonts w:ascii="Cambria" w:eastAsia="Cambria" w:hAnsi="Cambria" w:cs="Cambria"/>
        </w:rPr>
        <w:t>designates a currency amount. The Variance Swap pays a multiple of the difference between the realized variance (</w:t>
      </w:r>
      <w:r>
        <w:rPr>
          <w:rFonts w:ascii="Cambria" w:eastAsia="Cambria" w:hAnsi="Cambria" w:cs="Cambria"/>
          <w:i/>
        </w:rPr>
        <w:t>σ</w:t>
      </w:r>
      <w:r>
        <w:rPr>
          <w:rFonts w:ascii="Cambria" w:eastAsia="Cambria" w:hAnsi="Cambria" w:cs="Cambria"/>
          <w:i/>
          <w:vertAlign w:val="subscript"/>
        </w:rPr>
        <w:t>R</w:t>
      </w:r>
      <w:r>
        <w:rPr>
          <w:rFonts w:ascii="Cambria" w:eastAsia="Cambria" w:hAnsi="Cambria" w:cs="Cambria"/>
          <w:vertAlign w:val="superscript"/>
        </w:rPr>
        <w:t xml:space="preserve">2 </w:t>
      </w:r>
      <w:r>
        <w:rPr>
          <w:rFonts w:ascii="Cambria" w:eastAsia="Cambria" w:hAnsi="Cambria" w:cs="Cambria"/>
        </w:rPr>
        <w:t>)and the strike price (</w:t>
      </w:r>
      <w:r>
        <w:rPr>
          <w:rFonts w:ascii="Cambria" w:eastAsia="Cambria" w:hAnsi="Cambria" w:cs="Cambria"/>
          <w:i/>
        </w:rPr>
        <w:t>K</w:t>
      </w:r>
      <w:r>
        <w:rPr>
          <w:rFonts w:ascii="Cambria" w:eastAsia="Cambria" w:hAnsi="Cambria" w:cs="Cambria"/>
          <w:i/>
          <w:vertAlign w:val="subscript"/>
        </w:rPr>
        <w:t>V ar</w:t>
      </w:r>
      <w:r>
        <w:rPr>
          <w:rFonts w:ascii="Cambria" w:eastAsia="Cambria" w:hAnsi="Cambria" w:cs="Cambria"/>
        </w:rPr>
        <w:t xml:space="preserve">). The maturity of the swap is </w:t>
      </w:r>
      <w:r>
        <w:rPr>
          <w:rFonts w:ascii="Cambria" w:eastAsia="Cambria" w:hAnsi="Cambria" w:cs="Cambria"/>
          <w:i/>
        </w:rPr>
        <w:t>T</w:t>
      </w:r>
      <w:r>
        <w:rPr>
          <w:rFonts w:ascii="Cambria" w:eastAsia="Cambria" w:hAnsi="Cambria" w:cs="Cambria"/>
        </w:rPr>
        <w:t>. It is expressed usually in business day units.</w:t>
      </w:r>
    </w:p>
    <w:p w:rsidR="00EE13F6" w:rsidRDefault="002E5BC4">
      <w:pPr>
        <w:spacing w:after="133" w:line="264" w:lineRule="auto"/>
        <w:ind w:left="19" w:right="477" w:hanging="10"/>
        <w:jc w:val="both"/>
      </w:pPr>
      <w:r>
        <w:rPr>
          <w:rFonts w:ascii="Cambria" w:eastAsia="Cambria" w:hAnsi="Cambria" w:cs="Cambria"/>
        </w:rPr>
        <w:t>It is well known(see for insta</w:t>
      </w:r>
      <w:r>
        <w:rPr>
          <w:rFonts w:ascii="Cambria" w:eastAsia="Cambria" w:hAnsi="Cambria" w:cs="Cambria"/>
        </w:rPr>
        <w:t>nce Allen et al. (2006)) that such Variance Swap can be replicated with a weighted option portfolio. Such replication, is for instance, the basis for the computation of exchange traded variance swaps such as VIX (in the USA) or VSTOXX (in Europe).</w:t>
      </w:r>
    </w:p>
    <w:p w:rsidR="00EE13F6" w:rsidRDefault="002E5BC4">
      <w:pPr>
        <w:spacing w:after="133" w:line="264" w:lineRule="auto"/>
        <w:ind w:left="19" w:right="477" w:hanging="10"/>
        <w:jc w:val="both"/>
      </w:pPr>
      <w:r>
        <w:rPr>
          <w:rFonts w:ascii="Cambria" w:eastAsia="Cambria" w:hAnsi="Cambria" w:cs="Cambria"/>
        </w:rPr>
        <w:t>We see t</w:t>
      </w:r>
      <w:r>
        <w:rPr>
          <w:rFonts w:ascii="Cambria" w:eastAsia="Cambria" w:hAnsi="Cambria" w:cs="Cambria"/>
        </w:rPr>
        <w:t>hat the hedging of such portfolio come down to a delta hedging as the Variance swap is insensitive to the Dollar Gamma effect by construction.</w:t>
      </w:r>
    </w:p>
    <w:p w:rsidR="00EE13F6" w:rsidRDefault="002E5BC4">
      <w:pPr>
        <w:spacing w:after="84" w:line="264" w:lineRule="auto"/>
        <w:ind w:left="19" w:right="477" w:hanging="10"/>
        <w:jc w:val="both"/>
      </w:pPr>
      <w:r>
        <w:rPr>
          <w:rFonts w:ascii="Cambria" w:eastAsia="Cambria" w:hAnsi="Cambria" w:cs="Cambria"/>
        </w:rPr>
        <w:t xml:space="preserve">We take the same notations as in Allen et al. (2006), p.87. We omit the factor 100 which is just introduced as a </w:t>
      </w:r>
      <w:r>
        <w:rPr>
          <w:rFonts w:ascii="Cambria" w:eastAsia="Cambria" w:hAnsi="Cambria" w:cs="Cambria"/>
        </w:rPr>
        <w:t xml:space="preserve">unit measure, we see that if the rehedging occurs a </w:t>
      </w:r>
      <w:r>
        <w:rPr>
          <w:rFonts w:ascii="Cambria" w:eastAsia="Cambria" w:hAnsi="Cambria" w:cs="Cambria"/>
          <w:i/>
        </w:rPr>
        <w:t xml:space="preserve">t </w:t>
      </w:r>
      <w:r>
        <w:rPr>
          <w:rFonts w:ascii="Cambria" w:eastAsia="Cambria" w:hAnsi="Cambria" w:cs="Cambria"/>
        </w:rPr>
        <w:t>+ ∆</w:t>
      </w:r>
      <w:r>
        <w:rPr>
          <w:rFonts w:ascii="Cambria" w:eastAsia="Cambria" w:hAnsi="Cambria" w:cs="Cambria"/>
          <w:i/>
        </w:rPr>
        <w:t>t</w:t>
      </w:r>
      <w:r>
        <w:rPr>
          <w:rFonts w:ascii="Cambria" w:eastAsia="Cambria" w:hAnsi="Cambria" w:cs="Cambria"/>
        </w:rPr>
        <w:t>, then a quantity of</w:t>
      </w:r>
    </w:p>
    <w:p w:rsidR="00EE13F6" w:rsidRDefault="002E5BC4">
      <w:pPr>
        <w:spacing w:after="0"/>
        <w:ind w:left="3883"/>
      </w:pPr>
      <w:r>
        <w:rPr>
          <w:noProof/>
        </w:rPr>
        <w:drawing>
          <wp:inline distT="0" distB="0" distL="0" distR="0">
            <wp:extent cx="1014984" cy="320039"/>
            <wp:effectExtent l="0" t="0" r="0" b="0"/>
            <wp:docPr id="221820" name="Picture 221820"/>
            <wp:cNvGraphicFramePr/>
            <a:graphic xmlns:a="http://schemas.openxmlformats.org/drawingml/2006/main">
              <a:graphicData uri="http://schemas.openxmlformats.org/drawingml/2006/picture">
                <pic:pic xmlns:pic="http://schemas.openxmlformats.org/drawingml/2006/picture">
                  <pic:nvPicPr>
                    <pic:cNvPr id="221820" name="Picture 221820"/>
                    <pic:cNvPicPr/>
                  </pic:nvPicPr>
                  <pic:blipFill>
                    <a:blip r:embed="rId36"/>
                    <a:stretch>
                      <a:fillRect/>
                    </a:stretch>
                  </pic:blipFill>
                  <pic:spPr>
                    <a:xfrm>
                      <a:off x="0" y="0"/>
                      <a:ext cx="1014984" cy="320039"/>
                    </a:xfrm>
                    <a:prstGeom prst="rect">
                      <a:avLst/>
                    </a:prstGeom>
                  </pic:spPr>
                </pic:pic>
              </a:graphicData>
            </a:graphic>
          </wp:inline>
        </w:drawing>
      </w:r>
    </w:p>
    <w:p w:rsidR="00EE13F6" w:rsidRDefault="002E5BC4">
      <w:pPr>
        <w:spacing w:after="67" w:line="264" w:lineRule="auto"/>
        <w:ind w:left="19" w:right="477" w:hanging="10"/>
        <w:jc w:val="both"/>
      </w:pPr>
      <w:r>
        <w:rPr>
          <w:rFonts w:ascii="Cambria" w:eastAsia="Cambria" w:hAnsi="Cambria" w:cs="Cambria"/>
        </w:rPr>
        <w:t>shares has to be bought in the market in order to stay delta-neutral.</w:t>
      </w:r>
    </w:p>
    <w:p w:rsidR="00EE13F6" w:rsidRDefault="002E5BC4">
      <w:pPr>
        <w:spacing w:after="112" w:line="216" w:lineRule="auto"/>
        <w:ind w:left="19" w:right="477" w:hanging="10"/>
        <w:jc w:val="both"/>
      </w:pPr>
      <w:r>
        <w:rPr>
          <w:rFonts w:ascii="Cambria" w:eastAsia="Cambria" w:hAnsi="Cambria" w:cs="Cambria"/>
        </w:rPr>
        <w:t>We can consider for simplification’s sake, that ∆</w:t>
      </w:r>
      <w:r>
        <w:rPr>
          <w:rFonts w:ascii="Cambria" w:eastAsia="Cambria" w:hAnsi="Cambria" w:cs="Cambria"/>
          <w:i/>
        </w:rPr>
        <w:t xml:space="preserve">t </w:t>
      </w:r>
      <w:r>
        <w:rPr>
          <w:rFonts w:ascii="Cambria" w:eastAsia="Cambria" w:hAnsi="Cambria" w:cs="Cambria"/>
        </w:rPr>
        <w:t xml:space="preserve">= 1 business day. In that case the quantity </w:t>
      </w:r>
      <w:r>
        <w:rPr>
          <w:noProof/>
        </w:rPr>
        <w:drawing>
          <wp:inline distT="0" distB="0" distL="0" distR="0">
            <wp:extent cx="134112" cy="176784"/>
            <wp:effectExtent l="0" t="0" r="0" b="0"/>
            <wp:docPr id="221821" name="Picture 221821"/>
            <wp:cNvGraphicFramePr/>
            <a:graphic xmlns:a="http://schemas.openxmlformats.org/drawingml/2006/main">
              <a:graphicData uri="http://schemas.openxmlformats.org/drawingml/2006/picture">
                <pic:pic xmlns:pic="http://schemas.openxmlformats.org/drawingml/2006/picture">
                  <pic:nvPicPr>
                    <pic:cNvPr id="221821" name="Picture 221821"/>
                    <pic:cNvPicPr/>
                  </pic:nvPicPr>
                  <pic:blipFill>
                    <a:blip r:embed="rId37"/>
                    <a:stretch>
                      <a:fillRect/>
                    </a:stretch>
                  </pic:blipFill>
                  <pic:spPr>
                    <a:xfrm>
                      <a:off x="0" y="0"/>
                      <a:ext cx="134112" cy="176784"/>
                    </a:xfrm>
                    <a:prstGeom prst="rect">
                      <a:avLst/>
                    </a:prstGeom>
                  </pic:spPr>
                </pic:pic>
              </a:graphicData>
            </a:graphic>
          </wp:inline>
        </w:drawing>
      </w:r>
      <w:r>
        <w:rPr>
          <w:rFonts w:ascii="Cambria" w:eastAsia="Cambria" w:hAnsi="Cambria" w:cs="Cambria"/>
        </w:rPr>
        <w:t xml:space="preserve"> is an integer.</w:t>
      </w:r>
    </w:p>
    <w:p w:rsidR="00EE13F6" w:rsidRDefault="002E5BC4">
      <w:pPr>
        <w:spacing w:after="306" w:line="216" w:lineRule="auto"/>
        <w:ind w:left="19" w:right="477" w:hanging="10"/>
        <w:jc w:val="both"/>
      </w:pPr>
      <w:r>
        <w:rPr>
          <w:rFonts w:ascii="Cambria" w:eastAsia="Cambria" w:hAnsi="Cambria" w:cs="Cambria"/>
        </w:rPr>
        <w:t xml:space="preserve">If we consider that this re-hedging process has to be done exactly </w:t>
      </w:r>
      <w:r>
        <w:rPr>
          <w:noProof/>
        </w:rPr>
        <w:drawing>
          <wp:inline distT="0" distB="0" distL="0" distR="0">
            <wp:extent cx="134112" cy="176784"/>
            <wp:effectExtent l="0" t="0" r="0" b="0"/>
            <wp:docPr id="221822" name="Picture 221822"/>
            <wp:cNvGraphicFramePr/>
            <a:graphic xmlns:a="http://schemas.openxmlformats.org/drawingml/2006/main">
              <a:graphicData uri="http://schemas.openxmlformats.org/drawingml/2006/picture">
                <pic:pic xmlns:pic="http://schemas.openxmlformats.org/drawingml/2006/picture">
                  <pic:nvPicPr>
                    <pic:cNvPr id="221822" name="Picture 221822"/>
                    <pic:cNvPicPr/>
                  </pic:nvPicPr>
                  <pic:blipFill>
                    <a:blip r:embed="rId38"/>
                    <a:stretch>
                      <a:fillRect/>
                    </a:stretch>
                  </pic:blipFill>
                  <pic:spPr>
                    <a:xfrm>
                      <a:off x="0" y="0"/>
                      <a:ext cx="134112" cy="176784"/>
                    </a:xfrm>
                    <a:prstGeom prst="rect">
                      <a:avLst/>
                    </a:prstGeom>
                  </pic:spPr>
                </pic:pic>
              </a:graphicData>
            </a:graphic>
          </wp:inline>
        </w:drawing>
      </w:r>
      <w:r>
        <w:rPr>
          <w:rFonts w:ascii="Cambria" w:eastAsia="Cambria" w:hAnsi="Cambria" w:cs="Cambria"/>
        </w:rPr>
        <w:t>, we have then the expectation of costs associated with such readjustment on the life span of the variance swaps, which writes.</w:t>
      </w:r>
    </w:p>
    <w:p w:rsidR="00EE13F6" w:rsidRDefault="002E5BC4">
      <w:pPr>
        <w:tabs>
          <w:tab w:val="center" w:pos="4732"/>
          <w:tab w:val="center" w:pos="9221"/>
        </w:tabs>
        <w:spacing w:after="230" w:line="265" w:lineRule="auto"/>
      </w:pPr>
      <w:r>
        <w:lastRenderedPageBreak/>
        <w:tab/>
      </w:r>
      <w:r>
        <w:rPr>
          <w:noProof/>
        </w:rPr>
        <w:drawing>
          <wp:inline distT="0" distB="0" distL="0" distR="0">
            <wp:extent cx="1438656" cy="335280"/>
            <wp:effectExtent l="0" t="0" r="0" b="0"/>
            <wp:docPr id="221823" name="Picture 221823"/>
            <wp:cNvGraphicFramePr/>
            <a:graphic xmlns:a="http://schemas.openxmlformats.org/drawingml/2006/main">
              <a:graphicData uri="http://schemas.openxmlformats.org/drawingml/2006/picture">
                <pic:pic xmlns:pic="http://schemas.openxmlformats.org/drawingml/2006/picture">
                  <pic:nvPicPr>
                    <pic:cNvPr id="221823" name="Picture 221823"/>
                    <pic:cNvPicPr/>
                  </pic:nvPicPr>
                  <pic:blipFill>
                    <a:blip r:embed="rId39"/>
                    <a:stretch>
                      <a:fillRect/>
                    </a:stretch>
                  </pic:blipFill>
                  <pic:spPr>
                    <a:xfrm>
                      <a:off x="0" y="0"/>
                      <a:ext cx="1438656" cy="335280"/>
                    </a:xfrm>
                    <a:prstGeom prst="rect">
                      <a:avLst/>
                    </a:prstGeom>
                  </pic:spPr>
                </pic:pic>
              </a:graphicData>
            </a:graphic>
          </wp:inline>
        </w:drawing>
      </w:r>
      <w:r>
        <w:rPr>
          <w:rFonts w:ascii="Cambria" w:eastAsia="Cambria" w:hAnsi="Cambria" w:cs="Cambria"/>
        </w:rPr>
        <w:tab/>
        <w:t>(5)</w:t>
      </w:r>
    </w:p>
    <w:p w:rsidR="00EE13F6" w:rsidRDefault="002E5BC4">
      <w:pPr>
        <w:spacing w:after="249" w:line="216" w:lineRule="auto"/>
        <w:ind w:left="19" w:right="4083" w:hanging="10"/>
        <w:jc w:val="both"/>
      </w:pPr>
      <w:r>
        <w:rPr>
          <w:rFonts w:ascii="Cambria" w:eastAsia="Cambria" w:hAnsi="Cambria" w:cs="Cambria"/>
        </w:rPr>
        <w:t>After simplification, since: we find that those costs equal:</w:t>
      </w:r>
      <w:r>
        <w:rPr>
          <w:rFonts w:ascii="Cambria" w:eastAsia="Cambria" w:hAnsi="Cambria" w:cs="Cambria"/>
        </w:rPr>
        <w:tab/>
      </w:r>
      <w:r>
        <w:rPr>
          <w:noProof/>
        </w:rPr>
        <w:drawing>
          <wp:inline distT="0" distB="0" distL="0" distR="0">
            <wp:extent cx="1353312" cy="926592"/>
            <wp:effectExtent l="0" t="0" r="0" b="0"/>
            <wp:docPr id="221824" name="Picture 221824"/>
            <wp:cNvGraphicFramePr/>
            <a:graphic xmlns:a="http://schemas.openxmlformats.org/drawingml/2006/main">
              <a:graphicData uri="http://schemas.openxmlformats.org/drawingml/2006/picture">
                <pic:pic xmlns:pic="http://schemas.openxmlformats.org/drawingml/2006/picture">
                  <pic:nvPicPr>
                    <pic:cNvPr id="221824" name="Picture 221824"/>
                    <pic:cNvPicPr/>
                  </pic:nvPicPr>
                  <pic:blipFill>
                    <a:blip r:embed="rId40"/>
                    <a:stretch>
                      <a:fillRect/>
                    </a:stretch>
                  </pic:blipFill>
                  <pic:spPr>
                    <a:xfrm>
                      <a:off x="0" y="0"/>
                      <a:ext cx="1353312" cy="926592"/>
                    </a:xfrm>
                    <a:prstGeom prst="rect">
                      <a:avLst/>
                    </a:prstGeom>
                  </pic:spPr>
                </pic:pic>
              </a:graphicData>
            </a:graphic>
          </wp:inline>
        </w:drawing>
      </w:r>
    </w:p>
    <w:p w:rsidR="00EE13F6" w:rsidRDefault="002E5BC4">
      <w:pPr>
        <w:spacing w:after="95" w:line="264" w:lineRule="auto"/>
        <w:ind w:left="19" w:right="477" w:hanging="10"/>
        <w:jc w:val="both"/>
      </w:pPr>
      <w:r>
        <w:rPr>
          <w:rFonts w:ascii="Cambria" w:eastAsia="Cambria" w:hAnsi="Cambria" w:cs="Cambria"/>
        </w:rPr>
        <w:t>We find that in order to cover the expectation of such costs, the strike price of the Var swap, which is the market price of the underlying stock variance expectation. has to be adjusted. The n</w:t>
      </w:r>
      <w:r>
        <w:rPr>
          <w:rFonts w:ascii="Cambria" w:eastAsia="Cambria" w:hAnsi="Cambria" w:cs="Cambria"/>
        </w:rPr>
        <w:t>ew Variance strike price is then:</w:t>
      </w:r>
    </w:p>
    <w:p w:rsidR="00EE13F6" w:rsidRDefault="002E5BC4">
      <w:pPr>
        <w:spacing w:after="338"/>
        <w:ind w:left="10" w:right="508" w:hanging="10"/>
        <w:jc w:val="center"/>
      </w:pPr>
      <w:r>
        <w:rPr>
          <w:noProof/>
        </w:rPr>
        <w:drawing>
          <wp:inline distT="0" distB="0" distL="0" distR="0">
            <wp:extent cx="1432560" cy="414528"/>
            <wp:effectExtent l="0" t="0" r="0" b="0"/>
            <wp:docPr id="221825" name="Picture 221825"/>
            <wp:cNvGraphicFramePr/>
            <a:graphic xmlns:a="http://schemas.openxmlformats.org/drawingml/2006/main">
              <a:graphicData uri="http://schemas.openxmlformats.org/drawingml/2006/picture">
                <pic:pic xmlns:pic="http://schemas.openxmlformats.org/drawingml/2006/picture">
                  <pic:nvPicPr>
                    <pic:cNvPr id="221825" name="Picture 221825"/>
                    <pic:cNvPicPr/>
                  </pic:nvPicPr>
                  <pic:blipFill>
                    <a:blip r:embed="rId41"/>
                    <a:stretch>
                      <a:fillRect/>
                    </a:stretch>
                  </pic:blipFill>
                  <pic:spPr>
                    <a:xfrm>
                      <a:off x="0" y="0"/>
                      <a:ext cx="1432560" cy="414528"/>
                    </a:xfrm>
                    <a:prstGeom prst="rect">
                      <a:avLst/>
                    </a:prstGeom>
                  </pic:spPr>
                </pic:pic>
              </a:graphicData>
            </a:graphic>
          </wp:inline>
        </w:drawing>
      </w:r>
      <w:r>
        <w:rPr>
          <w:rFonts w:ascii="Cambria" w:eastAsia="Cambria" w:hAnsi="Cambria" w:cs="Cambria"/>
        </w:rPr>
        <w:t>!</w:t>
      </w:r>
    </w:p>
    <w:p w:rsidR="00EE13F6" w:rsidRDefault="002E5BC4">
      <w:pPr>
        <w:spacing w:after="584" w:line="264" w:lineRule="auto"/>
        <w:ind w:left="19" w:right="477" w:hanging="10"/>
        <w:jc w:val="both"/>
      </w:pPr>
      <w:r>
        <w:rPr>
          <w:rFonts w:ascii="Cambria" w:eastAsia="Cambria" w:hAnsi="Cambria" w:cs="Cambria"/>
        </w:rPr>
        <w:t>This proves the proposition.</w:t>
      </w:r>
    </w:p>
    <w:p w:rsidR="00EE13F6" w:rsidRDefault="002E5BC4">
      <w:pPr>
        <w:pStyle w:val="Heading1"/>
        <w:spacing w:after="301"/>
        <w:ind w:left="479" w:right="142"/>
      </w:pPr>
      <w:r>
        <w:t>2 The FTT Impact Depending Upon Market Structure and Liquidity</w:t>
      </w:r>
    </w:p>
    <w:p w:rsidR="00EE13F6" w:rsidRDefault="002E5BC4">
      <w:pPr>
        <w:pStyle w:val="Heading2"/>
        <w:tabs>
          <w:tab w:val="center" w:pos="1035"/>
        </w:tabs>
        <w:spacing w:after="295"/>
        <w:ind w:left="-15" w:firstLine="0"/>
      </w:pPr>
      <w:r>
        <w:t>2.1</w:t>
      </w:r>
      <w:r>
        <w:tab/>
        <w:t>Theory</w:t>
      </w:r>
    </w:p>
    <w:p w:rsidR="00EE13F6" w:rsidRDefault="002E5BC4">
      <w:pPr>
        <w:tabs>
          <w:tab w:val="center" w:pos="4813"/>
        </w:tabs>
        <w:spacing w:after="287" w:line="261" w:lineRule="auto"/>
        <w:ind w:left="-15"/>
      </w:pPr>
      <w:r>
        <w:rPr>
          <w:rFonts w:ascii="Cambria" w:eastAsia="Cambria" w:hAnsi="Cambria" w:cs="Cambria"/>
          <w:b/>
        </w:rPr>
        <w:t>2.1.1</w:t>
      </w:r>
      <w:r>
        <w:rPr>
          <w:rFonts w:ascii="Cambria" w:eastAsia="Cambria" w:hAnsi="Cambria" w:cs="Cambria"/>
          <w:b/>
        </w:rPr>
        <w:tab/>
        <w:t>Low Liquidity Equity Option Markets and Risk Neutral Market-Makers</w:t>
      </w:r>
    </w:p>
    <w:p w:rsidR="00EE13F6" w:rsidRDefault="002E5BC4">
      <w:pPr>
        <w:spacing w:after="133" w:line="264" w:lineRule="auto"/>
        <w:ind w:left="19" w:right="477" w:hanging="10"/>
        <w:jc w:val="both"/>
      </w:pPr>
      <w:r>
        <w:rPr>
          <w:rFonts w:ascii="Cambria" w:eastAsia="Cambria" w:hAnsi="Cambria" w:cs="Cambria"/>
        </w:rPr>
        <w:t>We consider here equity option markets with</w:t>
      </w:r>
      <w:r>
        <w:rPr>
          <w:rFonts w:ascii="Cambria" w:eastAsia="Cambria" w:hAnsi="Cambria" w:cs="Cambria"/>
        </w:rPr>
        <w:t xml:space="preserve"> a low liquidity. Generally, such markets rely heavily upon a ”human” market-maker network. Those markets can be opposed to ”auction exchange based” markets ruled by ”automatic robot trading”, where the liquidity is generally higher. In this latter case, t</w:t>
      </w:r>
      <w:r>
        <w:rPr>
          <w:rFonts w:ascii="Cambria" w:eastAsia="Cambria" w:hAnsi="Cambria" w:cs="Cambria"/>
        </w:rPr>
        <w:t>his liquidity is generally due to the presence of ”speculators” or noise traders. We do not make any further assumptions on the possibility of placing ”limit orders” on the underlying equity at the difference of next paragraphs 2.1.2 and 2.1.3.</w:t>
      </w:r>
    </w:p>
    <w:p w:rsidR="00EE13F6" w:rsidRDefault="002E5BC4">
      <w:pPr>
        <w:spacing w:after="133" w:line="264" w:lineRule="auto"/>
        <w:ind w:left="19" w:right="477" w:hanging="10"/>
        <w:jc w:val="both"/>
      </w:pPr>
      <w:r>
        <w:rPr>
          <w:rFonts w:ascii="Cambria" w:eastAsia="Cambria" w:hAnsi="Cambria" w:cs="Cambria"/>
        </w:rPr>
        <w:t>Let us assu</w:t>
      </w:r>
      <w:r>
        <w:rPr>
          <w:rFonts w:ascii="Cambria" w:eastAsia="Cambria" w:hAnsi="Cambria" w:cs="Cambria"/>
        </w:rPr>
        <w:t xml:space="preserve">me that the FTT generates an additional cost of carrying one unit of inventory until maturity (”frozen inventory”) is </w:t>
      </w:r>
      <w:r>
        <w:rPr>
          <w:rFonts w:ascii="Cambria" w:eastAsia="Cambria" w:hAnsi="Cambria" w:cs="Cambria"/>
          <w:i/>
        </w:rPr>
        <w:t>x</w:t>
      </w:r>
      <w:r>
        <w:rPr>
          <w:rFonts w:ascii="Cambria" w:eastAsia="Cambria" w:hAnsi="Cambria" w:cs="Cambria"/>
          <w:i/>
          <w:vertAlign w:val="subscript"/>
        </w:rPr>
        <w:t xml:space="preserve">t </w:t>
      </w:r>
      <w:r>
        <w:rPr>
          <w:rFonts w:ascii="Cambria" w:eastAsia="Cambria" w:hAnsi="Cambria" w:cs="Cambria"/>
        </w:rPr>
        <w:t>which can be computed according either to Leland or Boyle and Vorst rules if we assume a constant volatility. This inventory is conside</w:t>
      </w:r>
      <w:r>
        <w:rPr>
          <w:rFonts w:ascii="Cambria" w:eastAsia="Cambria" w:hAnsi="Cambria" w:cs="Cambria"/>
        </w:rPr>
        <w:t>red as outside the proprietary positions that the market-maker might have as an informed trader.</w:t>
      </w:r>
    </w:p>
    <w:p w:rsidR="00EE13F6" w:rsidRDefault="002E5BC4">
      <w:pPr>
        <w:spacing w:after="175" w:line="264" w:lineRule="auto"/>
        <w:ind w:left="19" w:right="477" w:hanging="10"/>
        <w:jc w:val="both"/>
      </w:pPr>
      <w:r>
        <w:rPr>
          <w:rFonts w:ascii="Cambria" w:eastAsia="Cambria" w:hAnsi="Cambria" w:cs="Cambria"/>
        </w:rPr>
        <w:t xml:space="preserve">The market-maker which carries a short inventory of </w:t>
      </w:r>
      <w:r>
        <w:rPr>
          <w:rFonts w:ascii="Cambria" w:eastAsia="Cambria" w:hAnsi="Cambria" w:cs="Cambria"/>
          <w:i/>
        </w:rPr>
        <w:t>q</w:t>
      </w:r>
      <w:r>
        <w:rPr>
          <w:rFonts w:ascii="Cambria" w:eastAsia="Cambria" w:hAnsi="Cambria" w:cs="Cambria"/>
          <w:i/>
          <w:vertAlign w:val="subscript"/>
        </w:rPr>
        <w:t xml:space="preserve">t </w:t>
      </w:r>
      <w:r>
        <w:rPr>
          <w:rFonts w:ascii="Cambria" w:eastAsia="Cambria" w:hAnsi="Cambria" w:cs="Cambria"/>
        </w:rPr>
        <w:t xml:space="preserve">units, will quote aggressively on the buy side, in order to offset the transaction costs attached to this inventory. It quotes a bid price </w:t>
      </w:r>
      <w:r>
        <w:rPr>
          <w:rFonts w:ascii="Cambria" w:eastAsia="Cambria" w:hAnsi="Cambria" w:cs="Cambria"/>
          <w:i/>
        </w:rPr>
        <w:t>b</w:t>
      </w:r>
      <w:r>
        <w:rPr>
          <w:rFonts w:ascii="Cambria" w:eastAsia="Cambria" w:hAnsi="Cambria" w:cs="Cambria"/>
          <w:i/>
          <w:vertAlign w:val="subscript"/>
        </w:rPr>
        <w:t xml:space="preserve">t </w:t>
      </w:r>
      <w:r>
        <w:rPr>
          <w:rFonts w:ascii="Cambria" w:eastAsia="Cambria" w:hAnsi="Cambria" w:cs="Cambria"/>
        </w:rPr>
        <w:t xml:space="preserve">and an asking price </w:t>
      </w:r>
      <w:r>
        <w:rPr>
          <w:rFonts w:ascii="Cambria" w:eastAsia="Cambria" w:hAnsi="Cambria" w:cs="Cambria"/>
          <w:i/>
        </w:rPr>
        <w:t>a</w:t>
      </w:r>
      <w:r>
        <w:rPr>
          <w:rFonts w:ascii="Cambria" w:eastAsia="Cambria" w:hAnsi="Cambria" w:cs="Cambria"/>
          <w:i/>
          <w:vertAlign w:val="subscript"/>
        </w:rPr>
        <w:t>t</w:t>
      </w:r>
      <w:r>
        <w:rPr>
          <w:rFonts w:ascii="Cambria" w:eastAsia="Cambria" w:hAnsi="Cambria" w:cs="Cambria"/>
        </w:rPr>
        <w:t>. The mid price (or equivalently the reservation price) is then</w:t>
      </w:r>
      <w:r>
        <w:rPr>
          <w:noProof/>
        </w:rPr>
        <w:drawing>
          <wp:inline distT="0" distB="0" distL="0" distR="0">
            <wp:extent cx="582168" cy="176784"/>
            <wp:effectExtent l="0" t="0" r="0" b="0"/>
            <wp:docPr id="221826" name="Picture 221826"/>
            <wp:cNvGraphicFramePr/>
            <a:graphic xmlns:a="http://schemas.openxmlformats.org/drawingml/2006/main">
              <a:graphicData uri="http://schemas.openxmlformats.org/drawingml/2006/picture">
                <pic:pic xmlns:pic="http://schemas.openxmlformats.org/drawingml/2006/picture">
                  <pic:nvPicPr>
                    <pic:cNvPr id="221826" name="Picture 221826"/>
                    <pic:cNvPicPr/>
                  </pic:nvPicPr>
                  <pic:blipFill>
                    <a:blip r:embed="rId42"/>
                    <a:stretch>
                      <a:fillRect/>
                    </a:stretch>
                  </pic:blipFill>
                  <pic:spPr>
                    <a:xfrm>
                      <a:off x="0" y="0"/>
                      <a:ext cx="582168" cy="176784"/>
                    </a:xfrm>
                    <a:prstGeom prst="rect">
                      <a:avLst/>
                    </a:prstGeom>
                  </pic:spPr>
                </pic:pic>
              </a:graphicData>
            </a:graphic>
          </wp:inline>
        </w:drawing>
      </w:r>
      <w:r>
        <w:rPr>
          <w:rFonts w:ascii="Cambria" w:eastAsia="Cambria" w:hAnsi="Cambria" w:cs="Cambria"/>
        </w:rPr>
        <w:t>. It will bump its bid-reser</w:t>
      </w:r>
      <w:r>
        <w:rPr>
          <w:rFonts w:ascii="Cambria" w:eastAsia="Cambria" w:hAnsi="Cambria" w:cs="Cambria"/>
        </w:rPr>
        <w:t xml:space="preserve">vation price for each unit and will quote </w:t>
      </w:r>
      <w:r>
        <w:rPr>
          <w:rFonts w:ascii="Cambria" w:eastAsia="Cambria" w:hAnsi="Cambria" w:cs="Cambria"/>
          <w:i/>
        </w:rPr>
        <w:t>b</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r</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q</w:t>
      </w:r>
      <w:r>
        <w:rPr>
          <w:rFonts w:ascii="Cambria" w:eastAsia="Cambria" w:hAnsi="Cambria" w:cs="Cambria"/>
          <w:i/>
          <w:vertAlign w:val="subscript"/>
        </w:rPr>
        <w:t>t</w:t>
      </w:r>
      <w:r>
        <w:rPr>
          <w:rFonts w:ascii="Cambria" w:eastAsia="Cambria" w:hAnsi="Cambria" w:cs="Cambria"/>
          <w:i/>
        </w:rPr>
        <w:t>x</w:t>
      </w:r>
      <w:r>
        <w:rPr>
          <w:rFonts w:ascii="Cambria" w:eastAsia="Cambria" w:hAnsi="Cambria" w:cs="Cambria"/>
          <w:i/>
          <w:vertAlign w:val="subscript"/>
        </w:rPr>
        <w:t xml:space="preserve">t </w:t>
      </w:r>
      <w:r>
        <w:rPr>
          <w:rFonts w:ascii="Cambria" w:eastAsia="Cambria" w:hAnsi="Cambria" w:cs="Cambria"/>
        </w:rPr>
        <w:t>for each unit of its inventory.</w:t>
      </w:r>
    </w:p>
    <w:p w:rsidR="00EE13F6" w:rsidRDefault="002E5BC4">
      <w:pPr>
        <w:spacing w:after="133" w:line="264" w:lineRule="auto"/>
        <w:ind w:left="19" w:right="477" w:hanging="10"/>
        <w:jc w:val="both"/>
      </w:pPr>
      <w:r>
        <w:rPr>
          <w:rFonts w:ascii="Cambria" w:eastAsia="Cambria" w:hAnsi="Cambria" w:cs="Cambria"/>
        </w:rPr>
        <w:t>Consequently the quotation interval will become [</w:t>
      </w:r>
      <w:r>
        <w:rPr>
          <w:rFonts w:ascii="Cambria" w:eastAsia="Cambria" w:hAnsi="Cambria" w:cs="Cambria"/>
          <w:i/>
        </w:rPr>
        <w:t>b</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q</w:t>
      </w:r>
      <w:r>
        <w:rPr>
          <w:rFonts w:ascii="Cambria" w:eastAsia="Cambria" w:hAnsi="Cambria" w:cs="Cambria"/>
          <w:i/>
          <w:vertAlign w:val="subscript"/>
        </w:rPr>
        <w:t>t</w:t>
      </w:r>
      <w:r>
        <w:rPr>
          <w:rFonts w:ascii="Cambria" w:eastAsia="Cambria" w:hAnsi="Cambria" w:cs="Cambria"/>
          <w:i/>
        </w:rPr>
        <w:t>x</w:t>
      </w:r>
      <w:r>
        <w:rPr>
          <w:rFonts w:ascii="Cambria" w:eastAsia="Cambria" w:hAnsi="Cambria" w:cs="Cambria"/>
          <w:i/>
          <w:vertAlign w:val="subscript"/>
        </w:rPr>
        <w:t>t</w:t>
      </w:r>
      <w:r>
        <w:rPr>
          <w:rFonts w:ascii="Cambria" w:eastAsia="Cambria" w:hAnsi="Cambria" w:cs="Cambria"/>
          <w:i/>
        </w:rPr>
        <w:t>,a</w:t>
      </w:r>
      <w:r>
        <w:rPr>
          <w:rFonts w:ascii="Cambria" w:eastAsia="Cambria" w:hAnsi="Cambria" w:cs="Cambria"/>
          <w:i/>
          <w:vertAlign w:val="subscript"/>
        </w:rPr>
        <w:t>t</w:t>
      </w:r>
      <w:r>
        <w:rPr>
          <w:rFonts w:ascii="Cambria" w:eastAsia="Cambria" w:hAnsi="Cambria" w:cs="Cambria"/>
        </w:rPr>
        <w:t>].</w:t>
      </w:r>
    </w:p>
    <w:p w:rsidR="00EE13F6" w:rsidRDefault="002E5BC4">
      <w:pPr>
        <w:spacing w:after="182" w:line="264" w:lineRule="auto"/>
        <w:ind w:left="19" w:right="477" w:hanging="10"/>
        <w:jc w:val="both"/>
      </w:pPr>
      <w:r>
        <w:rPr>
          <w:rFonts w:ascii="Cambria" w:eastAsia="Cambria" w:hAnsi="Cambria" w:cs="Cambria"/>
        </w:rPr>
        <w:lastRenderedPageBreak/>
        <w:t>In other words, the market-maker will purchase insurance against being short by buying options at a com</w:t>
      </w:r>
      <w:r>
        <w:rPr>
          <w:rFonts w:ascii="Cambria" w:eastAsia="Cambria" w:hAnsi="Cambria" w:cs="Cambria"/>
        </w:rPr>
        <w:t xml:space="preserve">petitive price up to </w:t>
      </w:r>
      <w:r>
        <w:rPr>
          <w:rFonts w:ascii="Cambria" w:eastAsia="Cambria" w:hAnsi="Cambria" w:cs="Cambria"/>
          <w:i/>
        </w:rPr>
        <w:t>b</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x</w:t>
      </w:r>
      <w:r>
        <w:rPr>
          <w:rFonts w:ascii="Cambria" w:eastAsia="Cambria" w:hAnsi="Cambria" w:cs="Cambria"/>
          <w:i/>
          <w:vertAlign w:val="subscript"/>
        </w:rPr>
        <w:t>t</w:t>
      </w:r>
      <w:r>
        <w:rPr>
          <w:rFonts w:ascii="Cambria" w:eastAsia="Cambria" w:hAnsi="Cambria" w:cs="Cambria"/>
        </w:rPr>
        <w:t xml:space="preserve">. It will give immediately </w:t>
      </w:r>
      <w:r>
        <w:rPr>
          <w:rFonts w:ascii="Cambria" w:eastAsia="Cambria" w:hAnsi="Cambria" w:cs="Cambria"/>
          <w:i/>
        </w:rPr>
        <w:t>q</w:t>
      </w:r>
      <w:r>
        <w:rPr>
          <w:rFonts w:ascii="Cambria" w:eastAsia="Cambria" w:hAnsi="Cambria" w:cs="Cambria"/>
          <w:i/>
          <w:vertAlign w:val="subscript"/>
        </w:rPr>
        <w:t>t</w:t>
      </w:r>
      <w:r>
        <w:rPr>
          <w:rFonts w:ascii="Cambria" w:eastAsia="Cambria" w:hAnsi="Cambria" w:cs="Cambria"/>
          <w:i/>
        </w:rPr>
        <w:t>x</w:t>
      </w:r>
      <w:r>
        <w:rPr>
          <w:rFonts w:ascii="Cambria" w:eastAsia="Cambria" w:hAnsi="Cambria" w:cs="Cambria"/>
          <w:i/>
          <w:vertAlign w:val="subscript"/>
        </w:rPr>
        <w:t xml:space="preserve">t </w:t>
      </w:r>
      <w:r>
        <w:rPr>
          <w:rFonts w:ascii="Cambria" w:eastAsia="Cambria" w:hAnsi="Cambria" w:cs="Cambria"/>
        </w:rPr>
        <w:t xml:space="preserve">to the market in exchange for offsetting immediately its inventory and the expected risk attached to it which is also </w:t>
      </w:r>
      <w:r>
        <w:rPr>
          <w:rFonts w:ascii="Cambria" w:eastAsia="Cambria" w:hAnsi="Cambria" w:cs="Cambria"/>
          <w:i/>
        </w:rPr>
        <w:t>q</w:t>
      </w:r>
      <w:r>
        <w:rPr>
          <w:rFonts w:ascii="Cambria" w:eastAsia="Cambria" w:hAnsi="Cambria" w:cs="Cambria"/>
          <w:i/>
          <w:vertAlign w:val="subscript"/>
        </w:rPr>
        <w:t>t</w:t>
      </w:r>
      <w:r>
        <w:rPr>
          <w:rFonts w:ascii="Cambria" w:eastAsia="Cambria" w:hAnsi="Cambria" w:cs="Cambria"/>
          <w:i/>
        </w:rPr>
        <w:t>x</w:t>
      </w:r>
      <w:r>
        <w:rPr>
          <w:rFonts w:ascii="Cambria" w:eastAsia="Cambria" w:hAnsi="Cambria" w:cs="Cambria"/>
          <w:i/>
          <w:vertAlign w:val="subscript"/>
        </w:rPr>
        <w:t>t</w:t>
      </w:r>
      <w:r>
        <w:rPr>
          <w:rFonts w:ascii="Cambria" w:eastAsia="Cambria" w:hAnsi="Cambria" w:cs="Cambria"/>
        </w:rPr>
        <w:t>.</w:t>
      </w:r>
    </w:p>
    <w:p w:rsidR="00EE13F6" w:rsidRDefault="002E5BC4">
      <w:pPr>
        <w:spacing w:after="56" w:line="264" w:lineRule="auto"/>
        <w:ind w:left="19" w:right="477" w:hanging="10"/>
        <w:jc w:val="both"/>
      </w:pPr>
      <w:r>
        <w:rPr>
          <w:rFonts w:ascii="Cambria" w:eastAsia="Cambria" w:hAnsi="Cambria" w:cs="Cambria"/>
        </w:rPr>
        <w:t xml:space="preserve">The new mid-price </w:t>
      </w:r>
      <w:r>
        <w:rPr>
          <w:rFonts w:ascii="Cambria" w:eastAsia="Cambria" w:hAnsi="Cambria" w:cs="Cambria"/>
          <w:i/>
        </w:rPr>
        <w:t>r</w:t>
      </w:r>
      <w:r>
        <w:rPr>
          <w:rFonts w:ascii="Cambria" w:eastAsia="Cambria" w:hAnsi="Cambria" w:cs="Cambria"/>
          <w:i/>
          <w:vertAlign w:val="subscript"/>
        </w:rPr>
        <w:t>t</w:t>
      </w:r>
      <w:r>
        <w:rPr>
          <w:rFonts w:ascii="Cambria" w:eastAsia="Cambria" w:hAnsi="Cambria" w:cs="Cambria"/>
          <w:vertAlign w:val="superscript"/>
        </w:rPr>
        <w:t xml:space="preserve">0 </w:t>
      </w:r>
      <w:r>
        <w:rPr>
          <w:rFonts w:ascii="Cambria" w:eastAsia="Cambria" w:hAnsi="Cambria" w:cs="Cambria"/>
        </w:rPr>
        <w:t>will be:</w:t>
      </w:r>
    </w:p>
    <w:p w:rsidR="00EE13F6" w:rsidRDefault="002E5BC4">
      <w:pPr>
        <w:spacing w:after="295"/>
        <w:ind w:left="3720"/>
      </w:pPr>
      <w:r>
        <w:rPr>
          <w:noProof/>
        </w:rPr>
        <w:drawing>
          <wp:inline distT="0" distB="0" distL="0" distR="0">
            <wp:extent cx="1130808" cy="289560"/>
            <wp:effectExtent l="0" t="0" r="0" b="0"/>
            <wp:docPr id="221827" name="Picture 221827"/>
            <wp:cNvGraphicFramePr/>
            <a:graphic xmlns:a="http://schemas.openxmlformats.org/drawingml/2006/main">
              <a:graphicData uri="http://schemas.openxmlformats.org/drawingml/2006/picture">
                <pic:pic xmlns:pic="http://schemas.openxmlformats.org/drawingml/2006/picture">
                  <pic:nvPicPr>
                    <pic:cNvPr id="221827" name="Picture 221827"/>
                    <pic:cNvPicPr/>
                  </pic:nvPicPr>
                  <pic:blipFill>
                    <a:blip r:embed="rId43"/>
                    <a:stretch>
                      <a:fillRect/>
                    </a:stretch>
                  </pic:blipFill>
                  <pic:spPr>
                    <a:xfrm>
                      <a:off x="0" y="0"/>
                      <a:ext cx="1130808" cy="289560"/>
                    </a:xfrm>
                    <a:prstGeom prst="rect">
                      <a:avLst/>
                    </a:prstGeom>
                  </pic:spPr>
                </pic:pic>
              </a:graphicData>
            </a:graphic>
          </wp:inline>
        </w:drawing>
      </w:r>
    </w:p>
    <w:p w:rsidR="00EE13F6" w:rsidRDefault="002E5BC4">
      <w:pPr>
        <w:spacing w:after="307"/>
        <w:ind w:left="3400"/>
      </w:pPr>
      <w:r>
        <w:rPr>
          <w:noProof/>
        </w:rPr>
        <w:drawing>
          <wp:inline distT="0" distB="0" distL="0" distR="0">
            <wp:extent cx="1539240" cy="252984"/>
            <wp:effectExtent l="0" t="0" r="0" b="0"/>
            <wp:docPr id="221828" name="Picture 221828"/>
            <wp:cNvGraphicFramePr/>
            <a:graphic xmlns:a="http://schemas.openxmlformats.org/drawingml/2006/main">
              <a:graphicData uri="http://schemas.openxmlformats.org/drawingml/2006/picture">
                <pic:pic xmlns:pic="http://schemas.openxmlformats.org/drawingml/2006/picture">
                  <pic:nvPicPr>
                    <pic:cNvPr id="221828" name="Picture 221828"/>
                    <pic:cNvPicPr/>
                  </pic:nvPicPr>
                  <pic:blipFill>
                    <a:blip r:embed="rId44"/>
                    <a:stretch>
                      <a:fillRect/>
                    </a:stretch>
                  </pic:blipFill>
                  <pic:spPr>
                    <a:xfrm>
                      <a:off x="0" y="0"/>
                      <a:ext cx="1539240" cy="252984"/>
                    </a:xfrm>
                    <a:prstGeom prst="rect">
                      <a:avLst/>
                    </a:prstGeom>
                  </pic:spPr>
                </pic:pic>
              </a:graphicData>
            </a:graphic>
          </wp:inline>
        </w:drawing>
      </w:r>
    </w:p>
    <w:p w:rsidR="00EE13F6" w:rsidRDefault="002E5BC4">
      <w:pPr>
        <w:tabs>
          <w:tab w:val="center" w:pos="4662"/>
          <w:tab w:val="center" w:pos="9221"/>
        </w:tabs>
        <w:spacing w:after="187" w:line="265" w:lineRule="auto"/>
      </w:pPr>
      <w:r>
        <w:tab/>
      </w:r>
      <w:r>
        <w:rPr>
          <w:noProof/>
        </w:rPr>
        <w:drawing>
          <wp:inline distT="0" distB="0" distL="0" distR="0">
            <wp:extent cx="1926336" cy="256032"/>
            <wp:effectExtent l="0" t="0" r="0" b="0"/>
            <wp:docPr id="221829" name="Picture 221829"/>
            <wp:cNvGraphicFramePr/>
            <a:graphic xmlns:a="http://schemas.openxmlformats.org/drawingml/2006/main">
              <a:graphicData uri="http://schemas.openxmlformats.org/drawingml/2006/picture">
                <pic:pic xmlns:pic="http://schemas.openxmlformats.org/drawingml/2006/picture">
                  <pic:nvPicPr>
                    <pic:cNvPr id="221829" name="Picture 221829"/>
                    <pic:cNvPicPr/>
                  </pic:nvPicPr>
                  <pic:blipFill>
                    <a:blip r:embed="rId45"/>
                    <a:stretch>
                      <a:fillRect/>
                    </a:stretch>
                  </pic:blipFill>
                  <pic:spPr>
                    <a:xfrm>
                      <a:off x="0" y="0"/>
                      <a:ext cx="1926336" cy="256032"/>
                    </a:xfrm>
                    <a:prstGeom prst="rect">
                      <a:avLst/>
                    </a:prstGeom>
                  </pic:spPr>
                </pic:pic>
              </a:graphicData>
            </a:graphic>
          </wp:inline>
        </w:drawing>
      </w:r>
      <w:r>
        <w:rPr>
          <w:rFonts w:ascii="Cambria" w:eastAsia="Cambria" w:hAnsi="Cambria" w:cs="Cambria"/>
        </w:rPr>
        <w:t>)</w:t>
      </w:r>
      <w:r>
        <w:rPr>
          <w:rFonts w:ascii="Cambria" w:eastAsia="Cambria" w:hAnsi="Cambria" w:cs="Cambria"/>
        </w:rPr>
        <w:tab/>
        <w:t>(6)</w:t>
      </w:r>
    </w:p>
    <w:p w:rsidR="00EE13F6" w:rsidRDefault="002E5BC4">
      <w:pPr>
        <w:spacing w:after="133" w:line="264" w:lineRule="auto"/>
        <w:ind w:left="19" w:right="477" w:hanging="10"/>
        <w:jc w:val="both"/>
      </w:pPr>
      <w:r>
        <w:rPr>
          <w:rFonts w:ascii="Cambria" w:eastAsia="Cambria" w:hAnsi="Cambria" w:cs="Cambria"/>
        </w:rPr>
        <w:t xml:space="preserve">where Γ and Vega are the corresponding greeks attached to the option. </w:t>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is the modified volatility which offset the additional transaction costs.</w:t>
      </w:r>
    </w:p>
    <w:p w:rsidR="00EE13F6" w:rsidRDefault="002E5BC4">
      <w:pPr>
        <w:spacing w:after="133" w:line="264" w:lineRule="auto"/>
        <w:ind w:left="19" w:right="477" w:hanging="10"/>
        <w:jc w:val="both"/>
      </w:pPr>
      <w:r>
        <w:rPr>
          <w:rFonts w:ascii="Cambria" w:eastAsia="Cambria" w:hAnsi="Cambria" w:cs="Cambria"/>
        </w:rPr>
        <w:t>We consider an option market where the market-makers are the main sellers against the rest of the market, and</w:t>
      </w:r>
      <w:r>
        <w:rPr>
          <w:rFonts w:ascii="Cambria" w:eastAsia="Cambria" w:hAnsi="Cambria" w:cs="Cambria"/>
        </w:rPr>
        <w:t xml:space="preserve"> carry at all times, a short inventory, (</w:t>
      </w:r>
      <w:r>
        <w:rPr>
          <w:rFonts w:ascii="Cambria" w:eastAsia="Cambria" w:hAnsi="Cambria" w:cs="Cambria"/>
          <w:i/>
        </w:rPr>
        <w:t>q</w:t>
      </w:r>
      <w:r>
        <w:rPr>
          <w:rFonts w:ascii="Cambria" w:eastAsia="Cambria" w:hAnsi="Cambria" w:cs="Cambria"/>
          <w:i/>
          <w:vertAlign w:val="subscript"/>
        </w:rPr>
        <w:t xml:space="preserve">t </w:t>
      </w:r>
      <w:r>
        <w:rPr>
          <w:rFonts w:ascii="Cambria" w:eastAsia="Cambria" w:hAnsi="Cambria" w:cs="Cambria"/>
          <w:i/>
        </w:rPr>
        <w:t xml:space="preserve">&gt; </w:t>
      </w:r>
      <w:r>
        <w:rPr>
          <w:rFonts w:ascii="Cambria" w:eastAsia="Cambria" w:hAnsi="Cambria" w:cs="Cambria"/>
        </w:rPr>
        <w:t>0). If we further assume that the ”pattern” of [</w:t>
      </w:r>
      <w:r>
        <w:rPr>
          <w:rFonts w:ascii="Cambria" w:eastAsia="Cambria" w:hAnsi="Cambria" w:cs="Cambria"/>
          <w:i/>
        </w:rPr>
        <w:t>q</w:t>
      </w:r>
      <w:r>
        <w:rPr>
          <w:rFonts w:ascii="Cambria" w:eastAsia="Cambria" w:hAnsi="Cambria" w:cs="Cambria"/>
          <w:i/>
          <w:vertAlign w:val="subscript"/>
        </w:rPr>
        <w:t>t</w:t>
      </w:r>
      <w:r>
        <w:rPr>
          <w:rFonts w:ascii="Cambria" w:eastAsia="Cambria" w:hAnsi="Cambria" w:cs="Cambria"/>
        </w:rPr>
        <w:t xml:space="preserve">, 0 </w:t>
      </w:r>
      <w:r>
        <w:rPr>
          <w:rFonts w:ascii="Cambria" w:eastAsia="Cambria" w:hAnsi="Cambria" w:cs="Cambria"/>
          <w:i/>
        </w:rPr>
        <w:t>&lt; t &lt; T</w:t>
      </w:r>
      <w:r>
        <w:rPr>
          <w:rFonts w:ascii="Cambria" w:eastAsia="Cambria" w:hAnsi="Cambria" w:cs="Cambria"/>
        </w:rPr>
        <w:t xml:space="preserve">], the path followed by the inventory is not affected by the FTT, (or at least that </w:t>
      </w:r>
      <w:r>
        <w:rPr>
          <w:rFonts w:ascii="Cambria" w:eastAsia="Cambria" w:hAnsi="Cambria" w:cs="Cambria"/>
          <w:i/>
        </w:rPr>
        <w:t>q</w:t>
      </w:r>
      <w:r>
        <w:rPr>
          <w:rFonts w:ascii="Cambria" w:eastAsia="Cambria" w:hAnsi="Cambria" w:cs="Cambria"/>
          <w:i/>
          <w:vertAlign w:val="subscript"/>
        </w:rPr>
        <w:t xml:space="preserve">t </w:t>
      </w:r>
      <w:r>
        <w:rPr>
          <w:rFonts w:ascii="Cambria" w:eastAsia="Cambria" w:hAnsi="Cambria" w:cs="Cambria"/>
        </w:rPr>
        <w:t>will not decrease), then because all other quantities in the a</w:t>
      </w:r>
      <w:r>
        <w:rPr>
          <w:rFonts w:ascii="Cambria" w:eastAsia="Cambria" w:hAnsi="Cambria" w:cs="Cambria"/>
        </w:rPr>
        <w:t>bove equation are positive, there will be an increase in the reservation price. This will correspond to an increase in the volatility mid-price.</w:t>
      </w:r>
    </w:p>
    <w:p w:rsidR="00EE13F6" w:rsidRDefault="002E5BC4">
      <w:pPr>
        <w:spacing w:after="133" w:line="264" w:lineRule="auto"/>
        <w:ind w:left="19" w:right="477" w:hanging="10"/>
        <w:jc w:val="both"/>
      </w:pPr>
      <w:r>
        <w:rPr>
          <w:rFonts w:ascii="Cambria" w:eastAsia="Cambria" w:hAnsi="Cambria" w:cs="Cambria"/>
        </w:rPr>
        <w:t>As discussed in Appendix A, this will be the case when the market on the demand side consists only of hedgers t</w:t>
      </w:r>
      <w:r>
        <w:rPr>
          <w:rFonts w:ascii="Cambria" w:eastAsia="Cambria" w:hAnsi="Cambria" w:cs="Cambria"/>
        </w:rPr>
        <w:t>hat we define as economic agents looking for insurance.</w:t>
      </w:r>
    </w:p>
    <w:p w:rsidR="00EE13F6" w:rsidRDefault="002E5BC4">
      <w:pPr>
        <w:spacing w:after="133" w:line="264" w:lineRule="auto"/>
        <w:ind w:left="19" w:right="477" w:hanging="10"/>
        <w:jc w:val="both"/>
      </w:pPr>
      <w:r>
        <w:rPr>
          <w:rFonts w:ascii="Cambria" w:eastAsia="Cambria" w:hAnsi="Cambria" w:cs="Cambria"/>
        </w:rPr>
        <w:t>Equally important, is the fact that, in case the inventory is frozen or options are kept till maturity, the impact on both bid and ask prices will be the maximum impact computed according to either Bo</w:t>
      </w:r>
      <w:r>
        <w:rPr>
          <w:rFonts w:ascii="Cambria" w:eastAsia="Cambria" w:hAnsi="Cambria" w:cs="Cambria"/>
        </w:rPr>
        <w:t>yle and Vorst rule.</w:t>
      </w:r>
    </w:p>
    <w:p w:rsidR="00EE13F6" w:rsidRDefault="002E5BC4">
      <w:pPr>
        <w:spacing w:after="457" w:line="264" w:lineRule="auto"/>
        <w:ind w:left="19" w:right="477" w:hanging="10"/>
        <w:jc w:val="both"/>
      </w:pPr>
      <w:r>
        <w:rPr>
          <w:rFonts w:ascii="Cambria" w:eastAsia="Cambria" w:hAnsi="Cambria" w:cs="Cambria"/>
        </w:rPr>
        <w:t>As a conclusion, we can consider that in such markets, the introduction of the FTT will tend to increase the mid price of equity options and will lead to an increase in the volatility mid price. This effect will be the highest in option</w:t>
      </w:r>
      <w:r>
        <w:rPr>
          <w:rFonts w:ascii="Cambria" w:eastAsia="Cambria" w:hAnsi="Cambria" w:cs="Cambria"/>
        </w:rPr>
        <w:t xml:space="preserve"> markets where the market-makers are facing hedgers and are the only option sellers.</w:t>
      </w:r>
    </w:p>
    <w:p w:rsidR="00EE13F6" w:rsidRDefault="002E5BC4">
      <w:pPr>
        <w:spacing w:after="276" w:line="261" w:lineRule="auto"/>
        <w:ind w:left="752" w:right="468" w:hanging="767"/>
        <w:jc w:val="both"/>
      </w:pPr>
      <w:r>
        <w:rPr>
          <w:rFonts w:ascii="Cambria" w:eastAsia="Cambria" w:hAnsi="Cambria" w:cs="Cambria"/>
          <w:b/>
        </w:rPr>
        <w:t>2.1.2 Highly Liquid Equity Option Markets with Risk Neutral Market-makers: A Rule of Thumb</w:t>
      </w:r>
    </w:p>
    <w:p w:rsidR="00EE13F6" w:rsidRDefault="002E5BC4">
      <w:pPr>
        <w:spacing w:after="133" w:line="264" w:lineRule="auto"/>
        <w:ind w:left="19" w:right="477" w:hanging="10"/>
        <w:jc w:val="both"/>
      </w:pPr>
      <w:r>
        <w:rPr>
          <w:rFonts w:ascii="Cambria" w:eastAsia="Cambria" w:hAnsi="Cambria" w:cs="Cambria"/>
        </w:rPr>
        <w:t xml:space="preserve">We consider know a liquid option market where it possible to place limit orders. We consider an agent which faces the flow of incoming orders. It adjusts the intensity </w:t>
      </w:r>
      <w:r>
        <w:rPr>
          <w:rFonts w:ascii="Cambria" w:eastAsia="Cambria" w:hAnsi="Cambria" w:cs="Cambria"/>
          <w:i/>
        </w:rPr>
        <w:t xml:space="preserve">λδ </w:t>
      </w:r>
      <w:r>
        <w:rPr>
          <w:rFonts w:ascii="Cambria" w:eastAsia="Cambria" w:hAnsi="Cambria" w:cs="Cambria"/>
        </w:rPr>
        <w:t>of the incoming orders which are executed by adjusting its bid-ask spread which equal</w:t>
      </w:r>
      <w:r>
        <w:rPr>
          <w:rFonts w:ascii="Cambria" w:eastAsia="Cambria" w:hAnsi="Cambria" w:cs="Cambria"/>
        </w:rPr>
        <w:t xml:space="preserve">s 2 </w:t>
      </w:r>
      <w:r>
        <w:rPr>
          <w:rFonts w:ascii="Cambria" w:eastAsia="Cambria" w:hAnsi="Cambria" w:cs="Cambria"/>
          <w:i/>
        </w:rPr>
        <w:t>δ</w:t>
      </w:r>
      <w:r>
        <w:rPr>
          <w:rFonts w:ascii="Cambria" w:eastAsia="Cambria" w:hAnsi="Cambria" w:cs="Cambria"/>
        </w:rPr>
        <w:t>.</w:t>
      </w:r>
    </w:p>
    <w:p w:rsidR="00EE13F6" w:rsidRDefault="002E5BC4">
      <w:pPr>
        <w:spacing w:after="133" w:line="264" w:lineRule="auto"/>
        <w:ind w:left="19" w:right="477" w:hanging="10"/>
        <w:jc w:val="both"/>
      </w:pPr>
      <w:r>
        <w:rPr>
          <w:rFonts w:ascii="Cambria" w:eastAsia="Cambria" w:hAnsi="Cambria" w:cs="Cambria"/>
        </w:rPr>
        <w:t>Such agent derives its revenue first from agency business, or acting as a principal without carrying an inventory. On its inventory, then it can also act as an ”informed” trader taking directional positions on the future evolution of underlying equi</w:t>
      </w:r>
      <w:r>
        <w:rPr>
          <w:rFonts w:ascii="Cambria" w:eastAsia="Cambria" w:hAnsi="Cambria" w:cs="Cambria"/>
        </w:rPr>
        <w:t>ty prices and volatility.</w:t>
      </w:r>
    </w:p>
    <w:p w:rsidR="00EE13F6" w:rsidRDefault="002E5BC4">
      <w:pPr>
        <w:spacing w:after="162" w:line="264" w:lineRule="auto"/>
        <w:ind w:left="19" w:right="477" w:hanging="10"/>
        <w:jc w:val="both"/>
      </w:pPr>
      <w:r>
        <w:rPr>
          <w:rFonts w:ascii="Cambria" w:eastAsia="Cambria" w:hAnsi="Cambria" w:cs="Cambria"/>
        </w:rPr>
        <w:t>This agent, in fact uses the flow of incoming orders to build up a directional position while minimizing its transaction costs. On its inventory, it will have a risk neutral approach. We will denominate this agent as a risk neutra</w:t>
      </w:r>
      <w:r>
        <w:rPr>
          <w:rFonts w:ascii="Cambria" w:eastAsia="Cambria" w:hAnsi="Cambria" w:cs="Cambria"/>
        </w:rPr>
        <w:t>l market maker, even though it acts too as an informed trader.</w:t>
      </w:r>
    </w:p>
    <w:p w:rsidR="00EE13F6" w:rsidRDefault="002E5BC4">
      <w:pPr>
        <w:spacing w:after="424" w:line="264" w:lineRule="auto"/>
        <w:ind w:left="19" w:right="477" w:hanging="10"/>
        <w:jc w:val="both"/>
      </w:pPr>
      <w:r>
        <w:rPr>
          <w:rFonts w:ascii="Cambria" w:eastAsia="Cambria" w:hAnsi="Cambria" w:cs="Cambria"/>
        </w:rPr>
        <w:lastRenderedPageBreak/>
        <w:t xml:space="preserve">We designate by </w:t>
      </w:r>
      <w:r>
        <w:rPr>
          <w:rFonts w:ascii="Cambria" w:eastAsia="Cambria" w:hAnsi="Cambria" w:cs="Cambria"/>
          <w:i/>
        </w:rPr>
        <w:t>δ</w:t>
      </w:r>
      <w:r>
        <w:rPr>
          <w:rFonts w:ascii="Cambria" w:eastAsia="Cambria" w:hAnsi="Cambria" w:cs="Cambria"/>
          <w:i/>
          <w:vertAlign w:val="superscript"/>
        </w:rPr>
        <w:t xml:space="preserve">a </w:t>
      </w:r>
      <w:r>
        <w:rPr>
          <w:rFonts w:ascii="Cambria" w:eastAsia="Cambria" w:hAnsi="Cambria" w:cs="Cambria"/>
        </w:rPr>
        <w:t xml:space="preserve">the distance between the asking price and the reservation price. </w:t>
      </w:r>
      <w:r>
        <w:rPr>
          <w:rFonts w:ascii="Cambria" w:eastAsia="Cambria" w:hAnsi="Cambria" w:cs="Cambria"/>
          <w:i/>
        </w:rPr>
        <w:t>δ</w:t>
      </w:r>
      <w:r>
        <w:rPr>
          <w:rFonts w:ascii="Cambria" w:eastAsia="Cambria" w:hAnsi="Cambria" w:cs="Cambria"/>
          <w:i/>
          <w:vertAlign w:val="superscript"/>
        </w:rPr>
        <w:t xml:space="preserve">b </w:t>
      </w:r>
      <w:r>
        <w:rPr>
          <w:rFonts w:ascii="Cambria" w:eastAsia="Cambria" w:hAnsi="Cambria" w:cs="Cambria"/>
        </w:rPr>
        <w:t>is the distance between the reservation price and the bid-price. We further assume that:</w:t>
      </w:r>
    </w:p>
    <w:p w:rsidR="00EE13F6" w:rsidRDefault="002E5BC4">
      <w:pPr>
        <w:spacing w:after="352" w:line="265" w:lineRule="auto"/>
        <w:ind w:left="167" w:right="648" w:hanging="10"/>
        <w:jc w:val="center"/>
      </w:pPr>
      <w:r>
        <w:rPr>
          <w:rFonts w:ascii="Cambria" w:eastAsia="Cambria" w:hAnsi="Cambria" w:cs="Cambria"/>
          <w:i/>
        </w:rPr>
        <w:t>δ</w:t>
      </w:r>
      <w:r>
        <w:rPr>
          <w:rFonts w:ascii="Cambria" w:eastAsia="Cambria" w:hAnsi="Cambria" w:cs="Cambria"/>
          <w:i/>
          <w:vertAlign w:val="superscript"/>
        </w:rPr>
        <w:t xml:space="preserve">a </w:t>
      </w:r>
      <w:r>
        <w:rPr>
          <w:rFonts w:ascii="Cambria" w:eastAsia="Cambria" w:hAnsi="Cambria" w:cs="Cambria"/>
        </w:rPr>
        <w:t xml:space="preserve">= </w:t>
      </w:r>
      <w:r>
        <w:rPr>
          <w:rFonts w:ascii="Cambria" w:eastAsia="Cambria" w:hAnsi="Cambria" w:cs="Cambria"/>
          <w:i/>
        </w:rPr>
        <w:t>δ</w:t>
      </w:r>
      <w:r>
        <w:rPr>
          <w:rFonts w:ascii="Cambria" w:eastAsia="Cambria" w:hAnsi="Cambria" w:cs="Cambria"/>
          <w:i/>
          <w:vertAlign w:val="superscript"/>
        </w:rPr>
        <w:t xml:space="preserve">b </w:t>
      </w:r>
      <w:r>
        <w:rPr>
          <w:rFonts w:ascii="Cambria" w:eastAsia="Cambria" w:hAnsi="Cambria" w:cs="Cambria"/>
        </w:rPr>
        <w:t xml:space="preserve">= </w:t>
      </w:r>
      <w:r>
        <w:rPr>
          <w:rFonts w:ascii="Cambria" w:eastAsia="Cambria" w:hAnsi="Cambria" w:cs="Cambria"/>
          <w:i/>
        </w:rPr>
        <w:t>δ</w:t>
      </w:r>
    </w:p>
    <w:p w:rsidR="00EE13F6" w:rsidRDefault="002E5BC4">
      <w:pPr>
        <w:spacing w:after="133" w:line="264" w:lineRule="auto"/>
        <w:ind w:left="19" w:right="477" w:hanging="10"/>
        <w:jc w:val="both"/>
      </w:pPr>
      <w:r>
        <w:rPr>
          <w:rFonts w:ascii="Cambria" w:eastAsia="Cambria" w:hAnsi="Cambria" w:cs="Cambria"/>
        </w:rPr>
        <w:t xml:space="preserve">We will further explicit in paragraph 2.1.3, the relationship between </w:t>
      </w:r>
      <w:r>
        <w:rPr>
          <w:rFonts w:ascii="Cambria" w:eastAsia="Cambria" w:hAnsi="Cambria" w:cs="Cambria"/>
          <w:i/>
        </w:rPr>
        <w:t xml:space="preserve">λ </w:t>
      </w:r>
      <w:r>
        <w:rPr>
          <w:rFonts w:ascii="Cambria" w:eastAsia="Cambria" w:hAnsi="Cambria" w:cs="Cambria"/>
        </w:rPr>
        <w:t xml:space="preserve">and </w:t>
      </w:r>
      <w:r>
        <w:rPr>
          <w:rFonts w:ascii="Cambria" w:eastAsia="Cambria" w:hAnsi="Cambria" w:cs="Cambria"/>
          <w:i/>
        </w:rPr>
        <w:t xml:space="preserve">δ </w:t>
      </w:r>
      <w:r>
        <w:rPr>
          <w:rFonts w:ascii="Cambria" w:eastAsia="Cambria" w:hAnsi="Cambria" w:cs="Cambria"/>
        </w:rPr>
        <w:t>which depends upon the micro-structure characteristics of the market considered.</w:t>
      </w:r>
    </w:p>
    <w:p w:rsidR="00EE13F6" w:rsidRDefault="002E5BC4">
      <w:pPr>
        <w:spacing w:line="264" w:lineRule="auto"/>
        <w:ind w:left="19" w:right="477" w:hanging="10"/>
        <w:jc w:val="both"/>
      </w:pPr>
      <w:r>
        <w:rPr>
          <w:rFonts w:ascii="Cambria" w:eastAsia="Cambria" w:hAnsi="Cambria" w:cs="Cambria"/>
        </w:rPr>
        <w:t xml:space="preserve">We assume that the market-maker knows, based on its knowledge of equity option market depth that </w:t>
      </w:r>
      <w:r>
        <w:rPr>
          <w:rFonts w:ascii="Cambria" w:eastAsia="Cambria" w:hAnsi="Cambria" w:cs="Cambria"/>
        </w:rPr>
        <w:t>it will take a reasonable time ∆</w:t>
      </w:r>
      <w:r>
        <w:rPr>
          <w:rFonts w:ascii="Cambria" w:eastAsia="Cambria" w:hAnsi="Cambria" w:cs="Cambria"/>
          <w:i/>
        </w:rPr>
        <w:t xml:space="preserve">t </w:t>
      </w:r>
      <w:r>
        <w:rPr>
          <w:rFonts w:ascii="Cambria" w:eastAsia="Cambria" w:hAnsi="Cambria" w:cs="Cambria"/>
        </w:rPr>
        <w:t>to unwind its position by finding an opposite interest in the market.</w:t>
      </w:r>
    </w:p>
    <w:p w:rsidR="00EE13F6" w:rsidRDefault="002E5BC4">
      <w:pPr>
        <w:spacing w:after="456" w:line="264" w:lineRule="auto"/>
        <w:ind w:left="19" w:right="477" w:hanging="10"/>
        <w:jc w:val="both"/>
      </w:pPr>
      <w:r>
        <w:rPr>
          <w:rFonts w:ascii="Cambria" w:eastAsia="Cambria" w:hAnsi="Cambria" w:cs="Cambria"/>
        </w:rPr>
        <w:t>We can define ∆</w:t>
      </w:r>
      <w:r>
        <w:rPr>
          <w:rFonts w:ascii="Cambria" w:eastAsia="Cambria" w:hAnsi="Cambria" w:cs="Cambria"/>
          <w:i/>
        </w:rPr>
        <w:t xml:space="preserve">t </w:t>
      </w:r>
      <w:r>
        <w:rPr>
          <w:rFonts w:ascii="Cambria" w:eastAsia="Cambria" w:hAnsi="Cambria" w:cs="Cambria"/>
        </w:rPr>
        <w:t>as a ”stopping” time such that ∆</w:t>
      </w:r>
      <w:r>
        <w:rPr>
          <w:rFonts w:ascii="Cambria" w:eastAsia="Cambria" w:hAnsi="Cambria" w:cs="Cambria"/>
          <w:i/>
        </w:rPr>
        <w:t xml:space="preserve">t </w:t>
      </w:r>
      <w:r>
        <w:rPr>
          <w:rFonts w:ascii="Cambria" w:eastAsia="Cambria" w:hAnsi="Cambria" w:cs="Cambria"/>
        </w:rPr>
        <w:t>= (</w:t>
      </w:r>
      <w:r>
        <w:rPr>
          <w:rFonts w:ascii="Cambria" w:eastAsia="Cambria" w:hAnsi="Cambria" w:cs="Cambria"/>
          <w:i/>
        </w:rPr>
        <w:t xml:space="preserve">τ </w:t>
      </w:r>
      <w:r>
        <w:rPr>
          <w:rFonts w:ascii="Cambria" w:eastAsia="Cambria" w:hAnsi="Cambria" w:cs="Cambria"/>
        </w:rPr>
        <w:t>−</w:t>
      </w:r>
      <w:r>
        <w:rPr>
          <w:rFonts w:ascii="Cambria" w:eastAsia="Cambria" w:hAnsi="Cambria" w:cs="Cambria"/>
        </w:rPr>
        <w:t xml:space="preserve"> </w:t>
      </w:r>
      <w:r>
        <w:rPr>
          <w:rFonts w:ascii="Cambria" w:eastAsia="Cambria" w:hAnsi="Cambria" w:cs="Cambria"/>
          <w:i/>
        </w:rPr>
        <w:t>t</w:t>
      </w:r>
      <w:r>
        <w:rPr>
          <w:rFonts w:ascii="Cambria" w:eastAsia="Cambria" w:hAnsi="Cambria" w:cs="Cambria"/>
          <w:vertAlign w:val="subscript"/>
        </w:rPr>
        <w:t>0</w:t>
      </w:r>
      <w:r>
        <w:rPr>
          <w:rFonts w:ascii="Cambria" w:eastAsia="Cambria" w:hAnsi="Cambria" w:cs="Cambria"/>
        </w:rPr>
        <w:t>) with:</w:t>
      </w:r>
    </w:p>
    <w:p w:rsidR="00EE13F6" w:rsidRDefault="002E5BC4">
      <w:pPr>
        <w:spacing w:after="286" w:line="262" w:lineRule="auto"/>
        <w:ind w:left="10" w:right="483" w:hanging="10"/>
        <w:jc w:val="center"/>
      </w:pPr>
      <w:r>
        <w:rPr>
          <w:rFonts w:ascii="Cambria" w:eastAsia="Cambria" w:hAnsi="Cambria" w:cs="Cambria"/>
          <w:i/>
        </w:rPr>
        <w:t xml:space="preserve">τ </w:t>
      </w:r>
      <w:r>
        <w:rPr>
          <w:rFonts w:ascii="Cambria" w:eastAsia="Cambria" w:hAnsi="Cambria" w:cs="Cambria"/>
        </w:rPr>
        <w:t>= inf [</w:t>
      </w:r>
      <w:r>
        <w:rPr>
          <w:rFonts w:ascii="Cambria" w:eastAsia="Cambria" w:hAnsi="Cambria" w:cs="Cambria"/>
          <w:i/>
        </w:rPr>
        <w:t>t</w:t>
      </w:r>
      <w:r>
        <w:rPr>
          <w:rFonts w:ascii="Cambria" w:eastAsia="Cambria" w:hAnsi="Cambria" w:cs="Cambria"/>
        </w:rPr>
        <w:t>;</w:t>
      </w:r>
      <w:r>
        <w:rPr>
          <w:rFonts w:ascii="Cambria" w:eastAsia="Cambria" w:hAnsi="Cambria" w:cs="Cambria"/>
          <w:i/>
        </w:rPr>
        <w:t>Z</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x</w:t>
      </w:r>
      <w:r>
        <w:rPr>
          <w:rFonts w:ascii="Cambria" w:eastAsia="Cambria" w:hAnsi="Cambria" w:cs="Cambria"/>
        </w:rPr>
        <w:t>]</w:t>
      </w:r>
    </w:p>
    <w:p w:rsidR="00EE13F6" w:rsidRDefault="002E5BC4">
      <w:pPr>
        <w:spacing w:after="165" w:line="264" w:lineRule="auto"/>
        <w:ind w:left="19" w:right="477" w:hanging="10"/>
        <w:jc w:val="both"/>
      </w:pPr>
      <w:r>
        <w:rPr>
          <w:rFonts w:ascii="Cambria" w:eastAsia="Cambria" w:hAnsi="Cambria" w:cs="Cambria"/>
        </w:rPr>
        <w:t>where:</w:t>
      </w:r>
    </w:p>
    <w:p w:rsidR="00EE13F6" w:rsidRDefault="002E5BC4">
      <w:pPr>
        <w:spacing w:after="156" w:line="264" w:lineRule="auto"/>
        <w:ind w:left="19" w:right="477" w:hanging="10"/>
        <w:jc w:val="both"/>
      </w:pPr>
      <w:r>
        <w:rPr>
          <w:rFonts w:ascii="Cambria" w:eastAsia="Cambria" w:hAnsi="Cambria" w:cs="Cambria"/>
          <w:i/>
        </w:rPr>
        <w:t>Z</w:t>
      </w:r>
      <w:r>
        <w:rPr>
          <w:rFonts w:ascii="Cambria" w:eastAsia="Cambria" w:hAnsi="Cambria" w:cs="Cambria"/>
          <w:i/>
          <w:vertAlign w:val="subscript"/>
        </w:rPr>
        <w:t xml:space="preserve">t </w:t>
      </w:r>
      <w:r>
        <w:rPr>
          <w:rFonts w:ascii="Cambria" w:eastAsia="Cambria" w:hAnsi="Cambria" w:cs="Cambria"/>
        </w:rPr>
        <w:t xml:space="preserve">designates the number of trades executed with intensity </w:t>
      </w:r>
      <w:r>
        <w:rPr>
          <w:rFonts w:ascii="Cambria" w:eastAsia="Cambria" w:hAnsi="Cambria" w:cs="Cambria"/>
          <w:i/>
        </w:rPr>
        <w:t>λ</w:t>
      </w:r>
      <w:r>
        <w:rPr>
          <w:rFonts w:ascii="Cambria" w:eastAsia="Cambria" w:hAnsi="Cambria" w:cs="Cambria"/>
        </w:rPr>
        <w:t>(</w:t>
      </w:r>
      <w:r>
        <w:rPr>
          <w:rFonts w:ascii="Cambria" w:eastAsia="Cambria" w:hAnsi="Cambria" w:cs="Cambria"/>
          <w:i/>
        </w:rPr>
        <w:t>δ</w:t>
      </w:r>
      <w:r>
        <w:rPr>
          <w:rFonts w:ascii="Cambria" w:eastAsia="Cambria" w:hAnsi="Cambria" w:cs="Cambria"/>
        </w:rPr>
        <w:t>) on the time interval [0,t], and x is the size of the order which is quoted by the market maker.</w:t>
      </w:r>
    </w:p>
    <w:p w:rsidR="00EE13F6" w:rsidRDefault="002E5BC4">
      <w:pPr>
        <w:spacing w:after="133" w:line="264" w:lineRule="auto"/>
        <w:ind w:left="19" w:right="477" w:hanging="10"/>
        <w:jc w:val="both"/>
      </w:pPr>
      <w:r>
        <w:rPr>
          <w:rFonts w:ascii="Cambria" w:eastAsia="Cambria" w:hAnsi="Cambria" w:cs="Cambria"/>
        </w:rPr>
        <w:t xml:space="preserve">In other words, </w:t>
      </w:r>
      <w:r>
        <w:rPr>
          <w:rFonts w:ascii="Cambria" w:eastAsia="Cambria" w:hAnsi="Cambria" w:cs="Cambria"/>
          <w:i/>
        </w:rPr>
        <w:t xml:space="preserve">τ </w:t>
      </w:r>
      <w:r>
        <w:rPr>
          <w:rFonts w:ascii="Cambria" w:eastAsia="Cambria" w:hAnsi="Cambria" w:cs="Cambria"/>
        </w:rPr>
        <w:t>is the first hitting time of x by the Poisson process of executed trades whose in</w:t>
      </w:r>
      <w:r>
        <w:rPr>
          <w:rFonts w:ascii="Cambria" w:eastAsia="Cambria" w:hAnsi="Cambria" w:cs="Cambria"/>
        </w:rPr>
        <w:t xml:space="preserve">tensity parameter is </w:t>
      </w:r>
      <w:r>
        <w:rPr>
          <w:rFonts w:ascii="Cambria" w:eastAsia="Cambria" w:hAnsi="Cambria" w:cs="Cambria"/>
          <w:i/>
        </w:rPr>
        <w:t>λ</w:t>
      </w:r>
      <w:r>
        <w:rPr>
          <w:rFonts w:ascii="Cambria" w:eastAsia="Cambria" w:hAnsi="Cambria" w:cs="Cambria"/>
        </w:rPr>
        <w:t>(</w:t>
      </w:r>
      <w:r>
        <w:rPr>
          <w:rFonts w:ascii="Cambria" w:eastAsia="Cambria" w:hAnsi="Cambria" w:cs="Cambria"/>
          <w:i/>
        </w:rPr>
        <w:t>δ</w:t>
      </w:r>
      <w:r>
        <w:rPr>
          <w:rFonts w:ascii="Cambria" w:eastAsia="Cambria" w:hAnsi="Cambria" w:cs="Cambria"/>
        </w:rPr>
        <w:t>). We have</w:t>
      </w:r>
      <w:r>
        <w:rPr>
          <w:noProof/>
        </w:rPr>
        <w:drawing>
          <wp:inline distT="0" distB="0" distL="0" distR="0">
            <wp:extent cx="643128" cy="158496"/>
            <wp:effectExtent l="0" t="0" r="0" b="0"/>
            <wp:docPr id="221830" name="Picture 221830"/>
            <wp:cNvGraphicFramePr/>
            <a:graphic xmlns:a="http://schemas.openxmlformats.org/drawingml/2006/main">
              <a:graphicData uri="http://schemas.openxmlformats.org/drawingml/2006/picture">
                <pic:pic xmlns:pic="http://schemas.openxmlformats.org/drawingml/2006/picture">
                  <pic:nvPicPr>
                    <pic:cNvPr id="221830" name="Picture 221830"/>
                    <pic:cNvPicPr/>
                  </pic:nvPicPr>
                  <pic:blipFill>
                    <a:blip r:embed="rId46"/>
                    <a:stretch>
                      <a:fillRect/>
                    </a:stretch>
                  </pic:blipFill>
                  <pic:spPr>
                    <a:xfrm>
                      <a:off x="0" y="0"/>
                      <a:ext cx="643128" cy="158496"/>
                    </a:xfrm>
                    <a:prstGeom prst="rect">
                      <a:avLst/>
                    </a:prstGeom>
                  </pic:spPr>
                </pic:pic>
              </a:graphicData>
            </a:graphic>
          </wp:inline>
        </w:drawing>
      </w:r>
      <w:r>
        <w:rPr>
          <w:rFonts w:ascii="Cambria" w:eastAsia="Cambria" w:hAnsi="Cambria" w:cs="Cambria"/>
        </w:rPr>
        <w:t>.</w:t>
      </w:r>
    </w:p>
    <w:p w:rsidR="00EE13F6" w:rsidRDefault="002E5BC4">
      <w:pPr>
        <w:spacing w:after="297" w:line="264" w:lineRule="auto"/>
        <w:ind w:left="19" w:right="477" w:hanging="10"/>
        <w:jc w:val="both"/>
      </w:pPr>
      <w:r>
        <w:rPr>
          <w:rFonts w:ascii="Cambria" w:eastAsia="Cambria" w:hAnsi="Cambria" w:cs="Cambria"/>
        </w:rPr>
        <w:t xml:space="preserve">A good ”rule of thumb” for the market-maker is to compute its total effective cost </w:t>
      </w:r>
      <w:r>
        <w:rPr>
          <w:rFonts w:ascii="Cambria" w:eastAsia="Cambria" w:hAnsi="Cambria" w:cs="Cambria"/>
          <w:i/>
        </w:rPr>
        <w:t>TC</w:t>
      </w:r>
      <w:r>
        <w:rPr>
          <w:rFonts w:ascii="Cambria" w:eastAsia="Cambria" w:hAnsi="Cambria" w:cs="Cambria"/>
        </w:rPr>
        <w:t>(∆</w:t>
      </w:r>
      <w:r>
        <w:rPr>
          <w:rFonts w:ascii="Cambria" w:eastAsia="Cambria" w:hAnsi="Cambria" w:cs="Cambria"/>
          <w:i/>
        </w:rPr>
        <w:t>t</w:t>
      </w:r>
      <w:r>
        <w:rPr>
          <w:rFonts w:ascii="Cambria" w:eastAsia="Cambria" w:hAnsi="Cambria" w:cs="Cambria"/>
        </w:rPr>
        <w:t xml:space="preserve">) as a fraction of the option cost </w:t>
      </w:r>
      <w:r>
        <w:rPr>
          <w:rFonts w:ascii="Cambria" w:eastAsia="Cambria" w:hAnsi="Cambria" w:cs="Cambria"/>
          <w:i/>
        </w:rPr>
        <w:t>TC</w:t>
      </w:r>
      <w:r>
        <w:rPr>
          <w:rFonts w:ascii="Cambria" w:eastAsia="Cambria" w:hAnsi="Cambria" w:cs="Cambria"/>
        </w:rPr>
        <w:t>(</w:t>
      </w:r>
      <w:r>
        <w:rPr>
          <w:rFonts w:ascii="Cambria" w:eastAsia="Cambria" w:hAnsi="Cambria" w:cs="Cambria"/>
          <w:i/>
        </w:rPr>
        <w:t>t,T</w:t>
      </w:r>
      <w:r>
        <w:rPr>
          <w:rFonts w:ascii="Cambria" w:eastAsia="Cambria" w:hAnsi="Cambria" w:cs="Cambria"/>
        </w:rPr>
        <w:t>) which corresponds to the case where the option is held till maturity. This is computed by averaging (”amortizing”) the total inventory cost on the time needed to unwind it into the market. This writes:</w:t>
      </w:r>
    </w:p>
    <w:p w:rsidR="00EE13F6" w:rsidRDefault="002E5BC4">
      <w:pPr>
        <w:tabs>
          <w:tab w:val="center" w:pos="4655"/>
          <w:tab w:val="center" w:pos="9221"/>
        </w:tabs>
        <w:spacing w:after="187" w:line="265" w:lineRule="auto"/>
      </w:pPr>
      <w:r>
        <w:tab/>
      </w:r>
      <w:r>
        <w:rPr>
          <w:noProof/>
        </w:rPr>
        <w:drawing>
          <wp:inline distT="0" distB="0" distL="0" distR="0">
            <wp:extent cx="1709928" cy="295656"/>
            <wp:effectExtent l="0" t="0" r="0" b="0"/>
            <wp:docPr id="221831" name="Picture 221831"/>
            <wp:cNvGraphicFramePr/>
            <a:graphic xmlns:a="http://schemas.openxmlformats.org/drawingml/2006/main">
              <a:graphicData uri="http://schemas.openxmlformats.org/drawingml/2006/picture">
                <pic:pic xmlns:pic="http://schemas.openxmlformats.org/drawingml/2006/picture">
                  <pic:nvPicPr>
                    <pic:cNvPr id="221831" name="Picture 221831"/>
                    <pic:cNvPicPr/>
                  </pic:nvPicPr>
                  <pic:blipFill>
                    <a:blip r:embed="rId47"/>
                    <a:stretch>
                      <a:fillRect/>
                    </a:stretch>
                  </pic:blipFill>
                  <pic:spPr>
                    <a:xfrm>
                      <a:off x="0" y="0"/>
                      <a:ext cx="1709928" cy="295656"/>
                    </a:xfrm>
                    <a:prstGeom prst="rect">
                      <a:avLst/>
                    </a:prstGeom>
                  </pic:spPr>
                </pic:pic>
              </a:graphicData>
            </a:graphic>
          </wp:inline>
        </w:drawing>
      </w:r>
      <w:r>
        <w:rPr>
          <w:rFonts w:ascii="Cambria" w:eastAsia="Cambria" w:hAnsi="Cambria" w:cs="Cambria"/>
        </w:rPr>
        <w:t>)</w:t>
      </w:r>
      <w:r>
        <w:rPr>
          <w:rFonts w:ascii="Cambria" w:eastAsia="Cambria" w:hAnsi="Cambria" w:cs="Cambria"/>
        </w:rPr>
        <w:tab/>
        <w:t>(7)</w:t>
      </w:r>
    </w:p>
    <w:p w:rsidR="00EE13F6" w:rsidRDefault="002E5BC4">
      <w:pPr>
        <w:spacing w:after="266" w:line="387" w:lineRule="auto"/>
        <w:ind w:left="19" w:right="477" w:hanging="10"/>
        <w:jc w:val="both"/>
      </w:pPr>
      <w:r>
        <w:rPr>
          <w:rFonts w:ascii="Cambria" w:eastAsia="Cambria" w:hAnsi="Cambria" w:cs="Cambria"/>
        </w:rPr>
        <w:t>This results is quite intuitive. However, it</w:t>
      </w:r>
      <w:r>
        <w:rPr>
          <w:rFonts w:ascii="Cambria" w:eastAsia="Cambria" w:hAnsi="Cambria" w:cs="Cambria"/>
        </w:rPr>
        <w:t xml:space="preserve"> can be shown that this assumption has some ground. </w:t>
      </w:r>
      <w:r>
        <w:rPr>
          <w:rFonts w:ascii="Cambria" w:eastAsia="Cambria" w:hAnsi="Cambria" w:cs="Cambria"/>
          <w:b/>
        </w:rPr>
        <w:t>Proof: Justification of the Rule of Thumb</w:t>
      </w:r>
    </w:p>
    <w:p w:rsidR="00EE13F6" w:rsidRDefault="002E5BC4" w:rsidP="002E5BC4">
      <w:pPr>
        <w:numPr>
          <w:ilvl w:val="0"/>
          <w:numId w:val="12"/>
        </w:numPr>
        <w:spacing w:after="102" w:line="264" w:lineRule="auto"/>
        <w:ind w:right="477" w:hanging="248"/>
        <w:jc w:val="both"/>
      </w:pPr>
      <w:r>
        <w:rPr>
          <w:rFonts w:ascii="Cambria" w:eastAsia="Cambria" w:hAnsi="Cambria" w:cs="Cambria"/>
        </w:rPr>
        <w:t xml:space="preserve">We assume the current hypothesis of the Black-Scholes framework about the underlying asset </w:t>
      </w:r>
      <w:r>
        <w:rPr>
          <w:rFonts w:ascii="Cambria" w:eastAsia="Cambria" w:hAnsi="Cambria" w:cs="Cambria"/>
          <w:i/>
        </w:rPr>
        <w:t xml:space="preserve">S </w:t>
      </w:r>
      <w:r>
        <w:rPr>
          <w:rFonts w:ascii="Cambria" w:eastAsia="Cambria" w:hAnsi="Cambria" w:cs="Cambria"/>
        </w:rPr>
        <w:t xml:space="preserve">following a geometric brownian process with a given volatility </w:t>
      </w:r>
      <w:r>
        <w:rPr>
          <w:rFonts w:ascii="Cambria" w:eastAsia="Cambria" w:hAnsi="Cambria" w:cs="Cambria"/>
          <w:i/>
        </w:rPr>
        <w:t xml:space="preserve">σ </w:t>
      </w:r>
      <w:r>
        <w:rPr>
          <w:rFonts w:ascii="Cambria" w:eastAsia="Cambria" w:hAnsi="Cambria" w:cs="Cambria"/>
        </w:rPr>
        <w:t>that</w:t>
      </w:r>
      <w:r>
        <w:rPr>
          <w:rFonts w:ascii="Cambria" w:eastAsia="Cambria" w:hAnsi="Cambria" w:cs="Cambria"/>
        </w:rPr>
        <w:t xml:space="preserve"> we will suppose constant for simplicity’s sake.</w:t>
      </w:r>
    </w:p>
    <w:p w:rsidR="00EE13F6" w:rsidRDefault="002E5BC4">
      <w:pPr>
        <w:spacing w:after="0" w:line="264" w:lineRule="auto"/>
        <w:ind w:left="555" w:right="477" w:hanging="10"/>
        <w:jc w:val="both"/>
      </w:pPr>
      <w:r>
        <w:rPr>
          <w:rFonts w:ascii="Cambria" w:eastAsia="Cambria" w:hAnsi="Cambria" w:cs="Cambria"/>
        </w:rPr>
        <w:t>We consider a ”small” time interval ∆</w:t>
      </w:r>
      <w:r>
        <w:rPr>
          <w:rFonts w:ascii="Cambria" w:eastAsia="Cambria" w:hAnsi="Cambria" w:cs="Cambria"/>
          <w:i/>
        </w:rPr>
        <w:t xml:space="preserve">t </w:t>
      </w:r>
      <w:r>
        <w:rPr>
          <w:rFonts w:ascii="Cambria" w:eastAsia="Cambria" w:hAnsi="Cambria" w:cs="Cambria"/>
        </w:rPr>
        <w:t xml:space="preserve">which corresponds to the time needed to unwind the position in the market. For the calculation’s simplicity sake, we will consider that this time </w:t>
      </w:r>
      <w:r>
        <w:rPr>
          <w:rFonts w:ascii="Cambria" w:eastAsia="Cambria" w:hAnsi="Cambria" w:cs="Cambria"/>
        </w:rPr>
        <w:t>interval is the same as the time interval defining the frequency of re-hedging ∆</w:t>
      </w:r>
      <w:r>
        <w:rPr>
          <w:rFonts w:ascii="Cambria" w:eastAsia="Cambria" w:hAnsi="Cambria" w:cs="Cambria"/>
          <w:i/>
        </w:rPr>
        <w:t>t</w:t>
      </w:r>
      <w:r>
        <w:rPr>
          <w:rFonts w:ascii="Cambria" w:eastAsia="Cambria" w:hAnsi="Cambria" w:cs="Cambria"/>
          <w:vertAlign w:val="superscript"/>
        </w:rPr>
        <w:t>0</w:t>
      </w:r>
      <w:r>
        <w:rPr>
          <w:rFonts w:ascii="Cambria" w:eastAsia="Cambria" w:hAnsi="Cambria" w:cs="Cambria"/>
        </w:rPr>
        <w:t>. We will then review the general case where ∆</w:t>
      </w:r>
      <w:r>
        <w:rPr>
          <w:rFonts w:ascii="Cambria" w:eastAsia="Cambria" w:hAnsi="Cambria" w:cs="Cambria"/>
          <w:i/>
        </w:rPr>
        <w:t>t</w:t>
      </w:r>
      <w:r>
        <w:rPr>
          <w:rFonts w:ascii="Cambria" w:eastAsia="Cambria" w:hAnsi="Cambria" w:cs="Cambria"/>
          <w:vertAlign w:val="superscript"/>
        </w:rPr>
        <w:t>0</w:t>
      </w:r>
      <w:r>
        <w:rPr>
          <w:rFonts w:ascii="Cambria" w:eastAsia="Cambria" w:hAnsi="Cambria" w:cs="Cambria"/>
        </w:rPr>
        <w:t>. and ∆</w:t>
      </w:r>
      <w:r>
        <w:rPr>
          <w:rFonts w:ascii="Cambria" w:eastAsia="Cambria" w:hAnsi="Cambria" w:cs="Cambria"/>
          <w:i/>
        </w:rPr>
        <w:t xml:space="preserve">t </w:t>
      </w:r>
      <w:r>
        <w:rPr>
          <w:rFonts w:ascii="Cambria" w:eastAsia="Cambria" w:hAnsi="Cambria" w:cs="Cambria"/>
        </w:rPr>
        <w:t>have different values.</w:t>
      </w:r>
    </w:p>
    <w:p w:rsidR="00EE13F6" w:rsidRDefault="002E5BC4">
      <w:pPr>
        <w:tabs>
          <w:tab w:val="center" w:pos="2189"/>
          <w:tab w:val="center" w:pos="5660"/>
        </w:tabs>
        <w:spacing w:after="380" w:line="264" w:lineRule="auto"/>
      </w:pPr>
      <w:r>
        <w:tab/>
      </w:r>
      <w:r>
        <w:rPr>
          <w:noProof/>
        </w:rPr>
        <w:drawing>
          <wp:inline distT="0" distB="0" distL="0" distR="0">
            <wp:extent cx="164592" cy="182880"/>
            <wp:effectExtent l="0" t="0" r="0" b="0"/>
            <wp:docPr id="221832" name="Picture 221832"/>
            <wp:cNvGraphicFramePr/>
            <a:graphic xmlns:a="http://schemas.openxmlformats.org/drawingml/2006/main">
              <a:graphicData uri="http://schemas.openxmlformats.org/drawingml/2006/picture">
                <pic:pic xmlns:pic="http://schemas.openxmlformats.org/drawingml/2006/picture">
                  <pic:nvPicPr>
                    <pic:cNvPr id="221832" name="Picture 221832"/>
                    <pic:cNvPicPr/>
                  </pic:nvPicPr>
                  <pic:blipFill>
                    <a:blip r:embed="rId48"/>
                    <a:stretch>
                      <a:fillRect/>
                    </a:stretch>
                  </pic:blipFill>
                  <pic:spPr>
                    <a:xfrm>
                      <a:off x="0" y="0"/>
                      <a:ext cx="164592" cy="182880"/>
                    </a:xfrm>
                    <a:prstGeom prst="rect">
                      <a:avLst/>
                    </a:prstGeom>
                  </pic:spPr>
                </pic:pic>
              </a:graphicData>
            </a:graphic>
          </wp:inline>
        </w:drawing>
      </w:r>
      <w:r>
        <w:rPr>
          <w:rFonts w:ascii="Cambria" w:eastAsia="Cambria" w:hAnsi="Cambria" w:cs="Cambria"/>
        </w:rPr>
        <w:t xml:space="preserve"> follows a gaussian distribution</w:t>
      </w:r>
      <w:r>
        <w:rPr>
          <w:rFonts w:ascii="Cambria" w:eastAsia="Cambria" w:hAnsi="Cambria" w:cs="Cambria"/>
        </w:rPr>
        <w:tab/>
      </w:r>
      <w:r>
        <w:rPr>
          <w:noProof/>
        </w:rPr>
        <w:drawing>
          <wp:inline distT="0" distB="0" distL="0" distR="0">
            <wp:extent cx="621792" cy="185928"/>
            <wp:effectExtent l="0" t="0" r="0" b="0"/>
            <wp:docPr id="221833" name="Picture 221833"/>
            <wp:cNvGraphicFramePr/>
            <a:graphic xmlns:a="http://schemas.openxmlformats.org/drawingml/2006/main">
              <a:graphicData uri="http://schemas.openxmlformats.org/drawingml/2006/picture">
                <pic:pic xmlns:pic="http://schemas.openxmlformats.org/drawingml/2006/picture">
                  <pic:nvPicPr>
                    <pic:cNvPr id="221833" name="Picture 221833"/>
                    <pic:cNvPicPr/>
                  </pic:nvPicPr>
                  <pic:blipFill>
                    <a:blip r:embed="rId49"/>
                    <a:stretch>
                      <a:fillRect/>
                    </a:stretch>
                  </pic:blipFill>
                  <pic:spPr>
                    <a:xfrm>
                      <a:off x="0" y="0"/>
                      <a:ext cx="621792" cy="185928"/>
                    </a:xfrm>
                    <a:prstGeom prst="rect">
                      <a:avLst/>
                    </a:prstGeom>
                  </pic:spPr>
                </pic:pic>
              </a:graphicData>
            </a:graphic>
          </wp:inline>
        </w:drawing>
      </w:r>
      <w:r>
        <w:rPr>
          <w:rFonts w:ascii="Cambria" w:eastAsia="Cambria" w:hAnsi="Cambria" w:cs="Cambria"/>
        </w:rPr>
        <w:t>). This yields immediately:</w:t>
      </w:r>
    </w:p>
    <w:p w:rsidR="00EE13F6" w:rsidRDefault="002E5BC4">
      <w:pPr>
        <w:spacing w:after="220" w:line="265" w:lineRule="auto"/>
        <w:ind w:left="2810" w:right="468" w:hanging="10"/>
        <w:jc w:val="right"/>
      </w:pPr>
      <w:r>
        <w:rPr>
          <w:noProof/>
        </w:rPr>
        <w:lastRenderedPageBreak/>
        <w:drawing>
          <wp:anchor distT="0" distB="0" distL="114300" distR="114300" simplePos="0" relativeHeight="251662336" behindDoc="0" locked="0" layoutInCell="1" allowOverlap="0">
            <wp:simplePos x="0" y="0"/>
            <wp:positionH relativeFrom="column">
              <wp:posOffset>1778002</wp:posOffset>
            </wp:positionH>
            <wp:positionV relativeFrom="paragraph">
              <wp:posOffset>-138875</wp:posOffset>
            </wp:positionV>
            <wp:extent cx="2654808" cy="883920"/>
            <wp:effectExtent l="0" t="0" r="0" b="0"/>
            <wp:wrapSquare wrapText="bothSides"/>
            <wp:docPr id="221834" name="Picture 221834"/>
            <wp:cNvGraphicFramePr/>
            <a:graphic xmlns:a="http://schemas.openxmlformats.org/drawingml/2006/main">
              <a:graphicData uri="http://schemas.openxmlformats.org/drawingml/2006/picture">
                <pic:pic xmlns:pic="http://schemas.openxmlformats.org/drawingml/2006/picture">
                  <pic:nvPicPr>
                    <pic:cNvPr id="221834" name="Picture 221834"/>
                    <pic:cNvPicPr/>
                  </pic:nvPicPr>
                  <pic:blipFill>
                    <a:blip r:embed="rId50"/>
                    <a:stretch>
                      <a:fillRect/>
                    </a:stretch>
                  </pic:blipFill>
                  <pic:spPr>
                    <a:xfrm>
                      <a:off x="0" y="0"/>
                      <a:ext cx="2654808" cy="883920"/>
                    </a:xfrm>
                    <a:prstGeom prst="rect">
                      <a:avLst/>
                    </a:prstGeom>
                  </pic:spPr>
                </pic:pic>
              </a:graphicData>
            </a:graphic>
          </wp:anchor>
        </w:drawing>
      </w:r>
      <w:r>
        <w:rPr>
          <w:rFonts w:ascii="Cambria" w:eastAsia="Cambria" w:hAnsi="Cambria" w:cs="Cambria"/>
        </w:rPr>
        <w:t>(8)</w:t>
      </w:r>
    </w:p>
    <w:p w:rsidR="00EE13F6" w:rsidRDefault="002E5BC4">
      <w:pPr>
        <w:spacing w:after="97" w:line="264" w:lineRule="auto"/>
        <w:ind w:left="555" w:right="2763" w:hanging="10"/>
        <w:jc w:val="both"/>
      </w:pPr>
      <w:r>
        <w:rPr>
          <w:rFonts w:ascii="Cambria" w:eastAsia="Cambria" w:hAnsi="Cambria" w:cs="Cambria"/>
        </w:rPr>
        <w:t>and</w:t>
      </w:r>
    </w:p>
    <w:p w:rsidR="00EE13F6" w:rsidRDefault="002E5BC4">
      <w:pPr>
        <w:spacing w:after="306" w:line="265" w:lineRule="auto"/>
        <w:ind w:left="2810" w:right="468" w:hanging="10"/>
        <w:jc w:val="right"/>
      </w:pPr>
      <w:r>
        <w:rPr>
          <w:rFonts w:ascii="Cambria" w:eastAsia="Cambria" w:hAnsi="Cambria" w:cs="Cambria"/>
        </w:rPr>
        <w:t>(9)</w:t>
      </w:r>
    </w:p>
    <w:p w:rsidR="00EE13F6" w:rsidRDefault="002E5BC4" w:rsidP="002E5BC4">
      <w:pPr>
        <w:numPr>
          <w:ilvl w:val="0"/>
          <w:numId w:val="12"/>
        </w:numPr>
        <w:spacing w:after="133" w:line="264" w:lineRule="auto"/>
        <w:ind w:right="477" w:hanging="248"/>
        <w:jc w:val="both"/>
      </w:pPr>
      <w:r>
        <w:rPr>
          <w:rFonts w:ascii="Cambria" w:eastAsia="Cambria" w:hAnsi="Cambria" w:cs="Cambria"/>
        </w:rPr>
        <w:t xml:space="preserve">We consider know </w:t>
      </w:r>
      <w:r>
        <w:rPr>
          <w:rFonts w:ascii="Cambria" w:eastAsia="Cambria" w:hAnsi="Cambria" w:cs="Cambria"/>
        </w:rPr>
        <w:t xml:space="preserve">the delta hedging process for call option </w:t>
      </w:r>
      <w:r>
        <w:rPr>
          <w:rFonts w:ascii="Cambria" w:eastAsia="Cambria" w:hAnsi="Cambria" w:cs="Cambria"/>
          <w:i/>
        </w:rPr>
        <w:t xml:space="preserve">C </w:t>
      </w:r>
      <w:r>
        <w:rPr>
          <w:rFonts w:ascii="Cambria" w:eastAsia="Cambria" w:hAnsi="Cambria" w:cs="Cambria"/>
        </w:rPr>
        <w:t>on a time interval ∆</w:t>
      </w:r>
      <w:r>
        <w:rPr>
          <w:rFonts w:ascii="Cambria" w:eastAsia="Cambria" w:hAnsi="Cambria" w:cs="Cambria"/>
          <w:i/>
        </w:rPr>
        <w:t>t</w:t>
      </w:r>
      <w:r>
        <w:rPr>
          <w:rFonts w:ascii="Cambria" w:eastAsia="Cambria" w:hAnsi="Cambria" w:cs="Cambria"/>
        </w:rPr>
        <w:t>.</w:t>
      </w:r>
    </w:p>
    <w:p w:rsidR="00EE13F6" w:rsidRDefault="002E5BC4" w:rsidP="002E5BC4">
      <w:pPr>
        <w:numPr>
          <w:ilvl w:val="1"/>
          <w:numId w:val="12"/>
        </w:numPr>
        <w:spacing w:after="133" w:line="264" w:lineRule="auto"/>
        <w:ind w:left="690" w:right="477" w:hanging="145"/>
        <w:jc w:val="both"/>
      </w:pPr>
      <w:r>
        <w:rPr>
          <w:rFonts w:ascii="Cambria" w:eastAsia="Cambria" w:hAnsi="Cambria" w:cs="Cambria"/>
        </w:rPr>
        <w:t>The call option is replicated by a portfolio comprised of shares and cash.</w:t>
      </w:r>
    </w:p>
    <w:p w:rsidR="00EE13F6" w:rsidRDefault="002E5BC4">
      <w:pPr>
        <w:spacing w:after="217" w:line="264" w:lineRule="auto"/>
        <w:ind w:left="555" w:right="477" w:hanging="10"/>
        <w:jc w:val="both"/>
      </w:pPr>
      <w:r>
        <w:rPr>
          <w:rFonts w:ascii="Cambria" w:eastAsia="Cambria" w:hAnsi="Cambria" w:cs="Cambria"/>
        </w:rPr>
        <w:t xml:space="preserve">The cash portion writes </w:t>
      </w:r>
      <w:r>
        <w:rPr>
          <w:rFonts w:ascii="Cambria" w:eastAsia="Cambria" w:hAnsi="Cambria" w:cs="Cambria"/>
          <w:i/>
        </w:rPr>
        <w:t xml:space="preserve">Q </w:t>
      </w:r>
      <w:r>
        <w:rPr>
          <w:rFonts w:ascii="Cambria" w:eastAsia="Cambria" w:hAnsi="Cambria" w:cs="Cambria"/>
        </w:rPr>
        <w:t xml:space="preserve">= </w:t>
      </w:r>
      <w:r>
        <w:rPr>
          <w:rFonts w:ascii="Cambria" w:eastAsia="Cambria" w:hAnsi="Cambria" w:cs="Cambria"/>
          <w:i/>
        </w:rPr>
        <w:t xml:space="preserve">C </w:t>
      </w:r>
      <w:r>
        <w:rPr>
          <w:rFonts w:ascii="Cambria" w:eastAsia="Cambria" w:hAnsi="Cambria" w:cs="Cambria"/>
        </w:rPr>
        <w:t>−</w:t>
      </w:r>
      <w:r>
        <w:rPr>
          <w:rFonts w:ascii="Cambria" w:eastAsia="Cambria" w:hAnsi="Cambria" w:cs="Cambria"/>
        </w:rPr>
        <w:t xml:space="preserve"> (</w:t>
      </w:r>
      <w:r>
        <w:rPr>
          <w:rFonts w:ascii="Cambria" w:eastAsia="Cambria" w:hAnsi="Cambria" w:cs="Cambria"/>
          <w:i/>
          <w:u w:val="single" w:color="000000"/>
          <w:vertAlign w:val="superscript"/>
        </w:rPr>
        <w:t>∂C</w:t>
      </w:r>
      <w:r>
        <w:rPr>
          <w:rFonts w:ascii="Cambria" w:eastAsia="Cambria" w:hAnsi="Cambria" w:cs="Cambria"/>
          <w:i/>
          <w:vertAlign w:val="subscript"/>
        </w:rPr>
        <w:t xml:space="preserve">∂s </w:t>
      </w:r>
      <w:r>
        <w:rPr>
          <w:rFonts w:ascii="Cambria" w:eastAsia="Cambria" w:hAnsi="Cambria" w:cs="Cambria"/>
        </w:rPr>
        <w:t>)</w:t>
      </w:r>
      <w:r>
        <w:rPr>
          <w:rFonts w:ascii="Cambria" w:eastAsia="Cambria" w:hAnsi="Cambria" w:cs="Cambria"/>
          <w:i/>
        </w:rPr>
        <w:t xml:space="preserve">S </w:t>
      </w:r>
      <w:r>
        <w:rPr>
          <w:rFonts w:ascii="Cambria" w:eastAsia="Cambria" w:hAnsi="Cambria" w:cs="Cambria"/>
        </w:rPr>
        <w:t xml:space="preserve">and the shares to be bought are </w:t>
      </w:r>
      <w:r>
        <w:rPr>
          <w:rFonts w:ascii="Cambria" w:eastAsia="Cambria" w:hAnsi="Cambria" w:cs="Cambria"/>
          <w:i/>
          <w:u w:val="single" w:color="000000"/>
          <w:vertAlign w:val="superscript"/>
        </w:rPr>
        <w:t>∂C</w:t>
      </w:r>
      <w:r>
        <w:rPr>
          <w:rFonts w:ascii="Cambria" w:eastAsia="Cambria" w:hAnsi="Cambria" w:cs="Cambria"/>
          <w:i/>
          <w:vertAlign w:val="subscript"/>
        </w:rPr>
        <w:t xml:space="preserve">∂s </w:t>
      </w:r>
      <w:r>
        <w:rPr>
          <w:rFonts w:ascii="Cambria" w:eastAsia="Cambria" w:hAnsi="Cambria" w:cs="Cambria"/>
          <w:i/>
        </w:rPr>
        <w:t>S</w:t>
      </w:r>
    </w:p>
    <w:p w:rsidR="00EE13F6" w:rsidRDefault="002E5BC4">
      <w:pPr>
        <w:spacing w:after="20" w:line="317" w:lineRule="auto"/>
        <w:ind w:left="555" w:right="477" w:hanging="10"/>
        <w:jc w:val="both"/>
      </w:pPr>
      <w:r>
        <w:rPr>
          <w:rFonts w:ascii="Cambria" w:eastAsia="Cambria" w:hAnsi="Cambria" w:cs="Cambria"/>
        </w:rPr>
        <w:t xml:space="preserve">Consequently the replicating portfolio </w:t>
      </w:r>
      <w:r>
        <w:rPr>
          <w:rFonts w:ascii="Cambria" w:eastAsia="Cambria" w:hAnsi="Cambria" w:cs="Cambria"/>
          <w:i/>
        </w:rPr>
        <w:t xml:space="preserve">P </w:t>
      </w:r>
      <w:r>
        <w:rPr>
          <w:rFonts w:ascii="Cambria" w:eastAsia="Cambria" w:hAnsi="Cambria" w:cs="Cambria"/>
        </w:rPr>
        <w:t xml:space="preserve">writes </w:t>
      </w:r>
      <w:r>
        <w:rPr>
          <w:rFonts w:ascii="Cambria" w:eastAsia="Cambria" w:hAnsi="Cambria" w:cs="Cambria"/>
          <w:i/>
        </w:rPr>
        <w:t xml:space="preserve">P </w:t>
      </w:r>
      <w:r>
        <w:rPr>
          <w:rFonts w:ascii="Cambria" w:eastAsia="Cambria" w:hAnsi="Cambria" w:cs="Cambria"/>
        </w:rPr>
        <w:t xml:space="preserve">= </w:t>
      </w:r>
      <w:r>
        <w:rPr>
          <w:rFonts w:ascii="Cambria" w:eastAsia="Cambria" w:hAnsi="Cambria" w:cs="Cambria"/>
          <w:i/>
        </w:rPr>
        <w:t>Q</w:t>
      </w:r>
      <w:r>
        <w:rPr>
          <w:rFonts w:ascii="Cambria" w:eastAsia="Cambria" w:hAnsi="Cambria" w:cs="Cambria"/>
        </w:rPr>
        <w:t>+(</w:t>
      </w:r>
      <w:r>
        <w:rPr>
          <w:rFonts w:ascii="Cambria" w:eastAsia="Cambria" w:hAnsi="Cambria" w:cs="Cambria"/>
          <w:i/>
          <w:u w:val="single" w:color="000000"/>
          <w:vertAlign w:val="superscript"/>
        </w:rPr>
        <w:t>∂C</w:t>
      </w:r>
      <w:r>
        <w:rPr>
          <w:rFonts w:ascii="Cambria" w:eastAsia="Cambria" w:hAnsi="Cambria" w:cs="Cambria"/>
          <w:i/>
          <w:vertAlign w:val="subscript"/>
        </w:rPr>
        <w:t xml:space="preserve">∂s </w:t>
      </w:r>
      <w:r>
        <w:rPr>
          <w:rFonts w:ascii="Cambria" w:eastAsia="Cambria" w:hAnsi="Cambria" w:cs="Cambria"/>
        </w:rPr>
        <w:t>)</w:t>
      </w:r>
      <w:r>
        <w:rPr>
          <w:rFonts w:ascii="Cambria" w:eastAsia="Cambria" w:hAnsi="Cambria" w:cs="Cambria"/>
          <w:i/>
        </w:rPr>
        <w:t xml:space="preserve">S </w:t>
      </w:r>
      <w:r>
        <w:rPr>
          <w:rFonts w:ascii="Cambria" w:eastAsia="Cambria" w:hAnsi="Cambria" w:cs="Cambria"/>
        </w:rPr>
        <w:t>and consequently the hedging strategy is self financed.</w:t>
      </w:r>
    </w:p>
    <w:p w:rsidR="00EE13F6" w:rsidRDefault="002E5BC4">
      <w:pPr>
        <w:spacing w:after="78" w:line="264" w:lineRule="auto"/>
        <w:ind w:left="555" w:right="477" w:hanging="10"/>
        <w:jc w:val="both"/>
      </w:pPr>
      <w:r>
        <w:rPr>
          <w:rFonts w:ascii="Cambria" w:eastAsia="Cambria" w:hAnsi="Cambria" w:cs="Cambria"/>
        </w:rPr>
        <w:t>The computation is quite standard.</w:t>
      </w:r>
    </w:p>
    <w:p w:rsidR="00EE13F6" w:rsidRDefault="002E5BC4">
      <w:pPr>
        <w:spacing w:after="133" w:line="264" w:lineRule="auto"/>
        <w:ind w:left="555" w:right="477" w:hanging="10"/>
        <w:jc w:val="both"/>
      </w:pPr>
      <w:r>
        <w:rPr>
          <w:rFonts w:ascii="Cambria" w:eastAsia="Cambria" w:hAnsi="Cambria" w:cs="Cambria"/>
        </w:rPr>
        <w:t>Following Leland (1985), we show that the total transaction costs :</w:t>
      </w:r>
    </w:p>
    <w:p w:rsidR="00EE13F6" w:rsidRDefault="002E5BC4">
      <w:pPr>
        <w:tabs>
          <w:tab w:val="center" w:pos="4959"/>
          <w:tab w:val="center" w:pos="9166"/>
        </w:tabs>
        <w:spacing w:after="226" w:line="265" w:lineRule="auto"/>
      </w:pPr>
      <w:r>
        <w:tab/>
      </w:r>
      <w:r>
        <w:rPr>
          <w:noProof/>
        </w:rPr>
        <w:drawing>
          <wp:inline distT="0" distB="0" distL="0" distR="0">
            <wp:extent cx="1984248" cy="295656"/>
            <wp:effectExtent l="0" t="0" r="0" b="0"/>
            <wp:docPr id="221835" name="Picture 221835"/>
            <wp:cNvGraphicFramePr/>
            <a:graphic xmlns:a="http://schemas.openxmlformats.org/drawingml/2006/main">
              <a:graphicData uri="http://schemas.openxmlformats.org/drawingml/2006/picture">
                <pic:pic xmlns:pic="http://schemas.openxmlformats.org/drawingml/2006/picture">
                  <pic:nvPicPr>
                    <pic:cNvPr id="221835" name="Picture 221835"/>
                    <pic:cNvPicPr/>
                  </pic:nvPicPr>
                  <pic:blipFill>
                    <a:blip r:embed="rId51"/>
                    <a:stretch>
                      <a:fillRect/>
                    </a:stretch>
                  </pic:blipFill>
                  <pic:spPr>
                    <a:xfrm>
                      <a:off x="0" y="0"/>
                      <a:ext cx="1984248" cy="295656"/>
                    </a:xfrm>
                    <a:prstGeom prst="rect">
                      <a:avLst/>
                    </a:prstGeom>
                  </pic:spPr>
                </pic:pic>
              </a:graphicData>
            </a:graphic>
          </wp:inline>
        </w:drawing>
      </w:r>
      <w:r>
        <w:rPr>
          <w:rFonts w:ascii="Cambria" w:eastAsia="Cambria" w:hAnsi="Cambria" w:cs="Cambria"/>
        </w:rPr>
        <w:tab/>
        <w:t>(10)</w:t>
      </w:r>
    </w:p>
    <w:p w:rsidR="00EE13F6" w:rsidRDefault="002E5BC4">
      <w:pPr>
        <w:spacing w:after="51" w:line="264" w:lineRule="auto"/>
        <w:ind w:left="555" w:right="477" w:hanging="10"/>
        <w:jc w:val="both"/>
      </w:pPr>
      <w:r>
        <w:rPr>
          <w:rFonts w:ascii="Cambria" w:eastAsia="Cambria" w:hAnsi="Cambria" w:cs="Cambria"/>
        </w:rPr>
        <w:t xml:space="preserve">where </w:t>
      </w:r>
      <w:r>
        <w:rPr>
          <w:rFonts w:ascii="Cambria" w:eastAsia="Cambria" w:hAnsi="Cambria" w:cs="Cambria"/>
          <w:i/>
        </w:rPr>
        <w:t xml:space="preserve"> </w:t>
      </w:r>
      <w:r>
        <w:rPr>
          <w:rFonts w:ascii="Cambria" w:eastAsia="Cambria" w:hAnsi="Cambria" w:cs="Cambria"/>
        </w:rPr>
        <w:t xml:space="preserve">designates a usual </w:t>
      </w:r>
      <w:r>
        <w:rPr>
          <w:rFonts w:ascii="Cambria" w:eastAsia="Cambria" w:hAnsi="Cambria" w:cs="Cambria"/>
        </w:rPr>
        <w:t>residual small infinite function and</w:t>
      </w:r>
      <w:r>
        <w:rPr>
          <w:noProof/>
        </w:rPr>
        <w:drawing>
          <wp:inline distT="0" distB="0" distL="0" distR="0">
            <wp:extent cx="57912" cy="173736"/>
            <wp:effectExtent l="0" t="0" r="0" b="0"/>
            <wp:docPr id="221836" name="Picture 221836"/>
            <wp:cNvGraphicFramePr/>
            <a:graphic xmlns:a="http://schemas.openxmlformats.org/drawingml/2006/main">
              <a:graphicData uri="http://schemas.openxmlformats.org/drawingml/2006/picture">
                <pic:pic xmlns:pic="http://schemas.openxmlformats.org/drawingml/2006/picture">
                  <pic:nvPicPr>
                    <pic:cNvPr id="221836" name="Picture 221836"/>
                    <pic:cNvPicPr/>
                  </pic:nvPicPr>
                  <pic:blipFill>
                    <a:blip r:embed="rId52"/>
                    <a:stretch>
                      <a:fillRect/>
                    </a:stretch>
                  </pic:blipFill>
                  <pic:spPr>
                    <a:xfrm>
                      <a:off x="0" y="0"/>
                      <a:ext cx="57912" cy="173736"/>
                    </a:xfrm>
                    <a:prstGeom prst="rect">
                      <a:avLst/>
                    </a:prstGeom>
                  </pic:spPr>
                </pic:pic>
              </a:graphicData>
            </a:graphic>
          </wp:inline>
        </w:drawing>
      </w:r>
      <w:r>
        <w:rPr>
          <w:rFonts w:ascii="Cambria" w:eastAsia="Cambria" w:hAnsi="Cambria" w:cs="Cambria"/>
        </w:rPr>
        <w:t>is the order of ∆</w:t>
      </w:r>
      <w:r>
        <w:rPr>
          <w:rFonts w:ascii="Cambria" w:eastAsia="Cambria" w:hAnsi="Cambria" w:cs="Cambria"/>
          <w:i/>
        </w:rPr>
        <w:t xml:space="preserve">t </w:t>
      </w:r>
      <w:r>
        <w:rPr>
          <w:rFonts w:ascii="Cambria" w:eastAsia="Cambria" w:hAnsi="Cambria" w:cs="Cambria"/>
        </w:rPr>
        <w:t>to consider.</w:t>
      </w:r>
    </w:p>
    <w:p w:rsidR="00EE13F6" w:rsidRDefault="002E5BC4" w:rsidP="002E5BC4">
      <w:pPr>
        <w:numPr>
          <w:ilvl w:val="1"/>
          <w:numId w:val="12"/>
        </w:numPr>
        <w:spacing w:after="78" w:line="264" w:lineRule="auto"/>
        <w:ind w:left="690" w:right="477" w:hanging="145"/>
        <w:jc w:val="both"/>
      </w:pPr>
      <w:r>
        <w:rPr>
          <w:rFonts w:ascii="Cambria" w:eastAsia="Cambria" w:hAnsi="Cambria" w:cs="Cambria"/>
        </w:rPr>
        <w:t xml:space="preserve">The total increase in the volatility to offset the cascading costs , according to Leland, is such that the new volatility </w:t>
      </w:r>
      <w:r>
        <w:rPr>
          <w:rFonts w:ascii="Cambria" w:eastAsia="Cambria" w:hAnsi="Cambria" w:cs="Cambria"/>
          <w:i/>
        </w:rPr>
        <w:t>σ</w:t>
      </w:r>
      <w:r>
        <w:rPr>
          <w:rFonts w:ascii="Cambria" w:eastAsia="Cambria" w:hAnsi="Cambria" w:cs="Cambria"/>
          <w:vertAlign w:val="superscript"/>
        </w:rPr>
        <w:t xml:space="preserve">0 </w:t>
      </w:r>
      <w:r>
        <w:rPr>
          <w:rFonts w:ascii="Cambria" w:eastAsia="Cambria" w:hAnsi="Cambria" w:cs="Cambria"/>
        </w:rPr>
        <w:t>writes:</w:t>
      </w:r>
    </w:p>
    <w:p w:rsidR="00EE13F6" w:rsidRDefault="002E5BC4">
      <w:pPr>
        <w:spacing w:after="338"/>
        <w:ind w:left="10" w:right="1" w:hanging="10"/>
        <w:jc w:val="center"/>
      </w:pPr>
      <w:r>
        <w:rPr>
          <w:noProof/>
        </w:rPr>
        <w:drawing>
          <wp:inline distT="0" distB="0" distL="0" distR="0">
            <wp:extent cx="1530096" cy="414528"/>
            <wp:effectExtent l="0" t="0" r="0" b="0"/>
            <wp:docPr id="221837" name="Picture 221837"/>
            <wp:cNvGraphicFramePr/>
            <a:graphic xmlns:a="http://schemas.openxmlformats.org/drawingml/2006/main">
              <a:graphicData uri="http://schemas.openxmlformats.org/drawingml/2006/picture">
                <pic:pic xmlns:pic="http://schemas.openxmlformats.org/drawingml/2006/picture">
                  <pic:nvPicPr>
                    <pic:cNvPr id="221837" name="Picture 221837"/>
                    <pic:cNvPicPr/>
                  </pic:nvPicPr>
                  <pic:blipFill>
                    <a:blip r:embed="rId53"/>
                    <a:stretch>
                      <a:fillRect/>
                    </a:stretch>
                  </pic:blipFill>
                  <pic:spPr>
                    <a:xfrm>
                      <a:off x="0" y="0"/>
                      <a:ext cx="1530096" cy="414528"/>
                    </a:xfrm>
                    <a:prstGeom prst="rect">
                      <a:avLst/>
                    </a:prstGeom>
                  </pic:spPr>
                </pic:pic>
              </a:graphicData>
            </a:graphic>
          </wp:inline>
        </w:drawing>
      </w:r>
      <w:r>
        <w:rPr>
          <w:rFonts w:ascii="Cambria" w:eastAsia="Cambria" w:hAnsi="Cambria" w:cs="Cambria"/>
        </w:rPr>
        <w:t>!</w:t>
      </w:r>
    </w:p>
    <w:p w:rsidR="00EE13F6" w:rsidRDefault="002E5BC4">
      <w:pPr>
        <w:spacing w:after="0" w:line="264" w:lineRule="auto"/>
        <w:ind w:left="555" w:right="477" w:hanging="10"/>
        <w:jc w:val="both"/>
      </w:pPr>
      <w:r>
        <w:rPr>
          <w:rFonts w:ascii="Cambria" w:eastAsia="Cambria" w:hAnsi="Cambria" w:cs="Cambria"/>
        </w:rPr>
        <w:t xml:space="preserve">Focusing on small values of </w:t>
      </w:r>
      <w:r>
        <w:rPr>
          <w:rFonts w:ascii="Cambria" w:eastAsia="Cambria" w:hAnsi="Cambria" w:cs="Cambria"/>
          <w:i/>
        </w:rPr>
        <w:t>σ</w:t>
      </w:r>
      <w:r>
        <w:rPr>
          <w:rFonts w:ascii="Cambria" w:eastAsia="Cambria" w:hAnsi="Cambria" w:cs="Cambria"/>
          <w:vertAlign w:val="superscript"/>
        </w:rPr>
        <w:t xml:space="preserve">0 </w:t>
      </w:r>
      <w:r>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σ </w:t>
      </w:r>
      <w:r>
        <w:rPr>
          <w:rFonts w:ascii="Cambria" w:eastAsia="Cambria" w:hAnsi="Cambria" w:cs="Cambria"/>
        </w:rPr>
        <w:t>we can write:</w:t>
      </w:r>
    </w:p>
    <w:p w:rsidR="00EE13F6" w:rsidRDefault="002E5BC4">
      <w:pPr>
        <w:spacing w:after="222"/>
        <w:ind w:left="3640"/>
      </w:pPr>
      <w:r>
        <w:rPr>
          <w:noProof/>
        </w:rPr>
        <w:drawing>
          <wp:inline distT="0" distB="0" distL="0" distR="0">
            <wp:extent cx="1609344" cy="356616"/>
            <wp:effectExtent l="0" t="0" r="0" b="0"/>
            <wp:docPr id="221838" name="Picture 221838"/>
            <wp:cNvGraphicFramePr/>
            <a:graphic xmlns:a="http://schemas.openxmlformats.org/drawingml/2006/main">
              <a:graphicData uri="http://schemas.openxmlformats.org/drawingml/2006/picture">
                <pic:pic xmlns:pic="http://schemas.openxmlformats.org/drawingml/2006/picture">
                  <pic:nvPicPr>
                    <pic:cNvPr id="221838" name="Picture 221838"/>
                    <pic:cNvPicPr/>
                  </pic:nvPicPr>
                  <pic:blipFill>
                    <a:blip r:embed="rId54"/>
                    <a:stretch>
                      <a:fillRect/>
                    </a:stretch>
                  </pic:blipFill>
                  <pic:spPr>
                    <a:xfrm>
                      <a:off x="0" y="0"/>
                      <a:ext cx="1609344" cy="356616"/>
                    </a:xfrm>
                    <a:prstGeom prst="rect">
                      <a:avLst/>
                    </a:prstGeom>
                  </pic:spPr>
                </pic:pic>
              </a:graphicData>
            </a:graphic>
          </wp:inline>
        </w:drawing>
      </w:r>
    </w:p>
    <w:p w:rsidR="00EE13F6" w:rsidRDefault="002E5BC4">
      <w:pPr>
        <w:spacing w:after="18" w:line="264" w:lineRule="auto"/>
        <w:ind w:left="555" w:right="477" w:hanging="10"/>
        <w:jc w:val="both"/>
      </w:pPr>
      <w:r>
        <w:rPr>
          <w:rFonts w:ascii="Cambria" w:eastAsia="Cambria" w:hAnsi="Cambria" w:cs="Cambria"/>
        </w:rPr>
        <w:t>This simplifies into:</w:t>
      </w:r>
    </w:p>
    <w:p w:rsidR="00EE13F6" w:rsidRDefault="002E5BC4">
      <w:pPr>
        <w:spacing w:after="248"/>
        <w:ind w:left="4040"/>
      </w:pPr>
      <w:r>
        <w:rPr>
          <w:noProof/>
        </w:rPr>
        <w:drawing>
          <wp:inline distT="0" distB="0" distL="0" distR="0">
            <wp:extent cx="1124712" cy="335280"/>
            <wp:effectExtent l="0" t="0" r="0" b="0"/>
            <wp:docPr id="221839" name="Picture 221839"/>
            <wp:cNvGraphicFramePr/>
            <a:graphic xmlns:a="http://schemas.openxmlformats.org/drawingml/2006/main">
              <a:graphicData uri="http://schemas.openxmlformats.org/drawingml/2006/picture">
                <pic:pic xmlns:pic="http://schemas.openxmlformats.org/drawingml/2006/picture">
                  <pic:nvPicPr>
                    <pic:cNvPr id="221839" name="Picture 221839"/>
                    <pic:cNvPicPr/>
                  </pic:nvPicPr>
                  <pic:blipFill>
                    <a:blip r:embed="rId55"/>
                    <a:stretch>
                      <a:fillRect/>
                    </a:stretch>
                  </pic:blipFill>
                  <pic:spPr>
                    <a:xfrm>
                      <a:off x="0" y="0"/>
                      <a:ext cx="1124712" cy="335280"/>
                    </a:xfrm>
                    <a:prstGeom prst="rect">
                      <a:avLst/>
                    </a:prstGeom>
                  </pic:spPr>
                </pic:pic>
              </a:graphicData>
            </a:graphic>
          </wp:inline>
        </w:drawing>
      </w:r>
    </w:p>
    <w:p w:rsidR="00EE13F6" w:rsidRDefault="002E5BC4">
      <w:pPr>
        <w:spacing w:after="45" w:line="264" w:lineRule="auto"/>
        <w:ind w:left="555" w:right="477" w:hanging="10"/>
        <w:jc w:val="both"/>
      </w:pPr>
      <w:r>
        <w:rPr>
          <w:rFonts w:ascii="Cambria" w:eastAsia="Cambria" w:hAnsi="Cambria" w:cs="Cambria"/>
        </w:rPr>
        <w:t xml:space="preserve">Immediately this yields because </w:t>
      </w:r>
      <w:r>
        <w:rPr>
          <w:rFonts w:ascii="Cambria" w:eastAsia="Cambria" w:hAnsi="Cambria" w:cs="Cambria"/>
          <w:i/>
        </w:rPr>
        <w:t>TC</w:t>
      </w:r>
      <w:r>
        <w:rPr>
          <w:rFonts w:ascii="Cambria" w:eastAsia="Cambria" w:hAnsi="Cambria" w:cs="Cambria"/>
        </w:rPr>
        <w:t>(</w:t>
      </w:r>
      <w:r>
        <w:rPr>
          <w:rFonts w:ascii="Cambria" w:eastAsia="Cambria" w:hAnsi="Cambria" w:cs="Cambria"/>
          <w:i/>
        </w:rPr>
        <w:t>t,T</w:t>
      </w:r>
      <w:r>
        <w:rPr>
          <w:rFonts w:ascii="Cambria" w:eastAsia="Cambria" w:hAnsi="Cambria" w:cs="Cambria"/>
        </w:rPr>
        <w:t>) = Vega (</w:t>
      </w:r>
      <w:r>
        <w:rPr>
          <w:rFonts w:ascii="Cambria" w:eastAsia="Cambria" w:hAnsi="Cambria" w:cs="Cambria"/>
          <w:i/>
        </w:rPr>
        <w:t>σ</w:t>
      </w:r>
      <w:r>
        <w:rPr>
          <w:rFonts w:ascii="Cambria" w:eastAsia="Cambria" w:hAnsi="Cambria" w:cs="Cambria"/>
          <w:vertAlign w:val="superscript"/>
        </w:rPr>
        <w:t xml:space="preserve">0 </w:t>
      </w:r>
      <w:r>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σ </w:t>
      </w:r>
      <w:r>
        <w:rPr>
          <w:rFonts w:ascii="Cambria" w:eastAsia="Cambria" w:hAnsi="Cambria" w:cs="Cambria"/>
        </w:rPr>
        <w:t>) and Vega=</w:t>
      </w:r>
      <w:r>
        <w:rPr>
          <w:rFonts w:ascii="Cambria" w:eastAsia="Cambria" w:hAnsi="Cambria" w:cs="Cambria"/>
          <w:i/>
        </w:rPr>
        <w:t>σ</w:t>
      </w:r>
      <w:r>
        <w:rPr>
          <w:rFonts w:ascii="Cambria" w:eastAsia="Cambria" w:hAnsi="Cambria" w:cs="Cambria"/>
        </w:rPr>
        <w:t>Γ</w:t>
      </w:r>
      <w:r>
        <w:rPr>
          <w:rFonts w:ascii="Cambria" w:eastAsia="Cambria" w:hAnsi="Cambria" w:cs="Cambria"/>
          <w:i/>
        </w:rPr>
        <w:t>S</w:t>
      </w:r>
      <w:r>
        <w:rPr>
          <w:rFonts w:ascii="Cambria" w:eastAsia="Cambria" w:hAnsi="Cambria" w:cs="Cambria"/>
          <w:vertAlign w:val="superscript"/>
        </w:rPr>
        <w:t>2</w:t>
      </w:r>
      <w:r>
        <w:rPr>
          <w:rFonts w:ascii="Cambria" w:eastAsia="Cambria" w:hAnsi="Cambria" w:cs="Cambria"/>
        </w:rPr>
        <w:t>(</w:t>
      </w:r>
      <w:r>
        <w:rPr>
          <w:rFonts w:ascii="Cambria" w:eastAsia="Cambria" w:hAnsi="Cambria" w:cs="Cambria"/>
          <w:i/>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t</w:t>
      </w:r>
      <w:r>
        <w:rPr>
          <w:rFonts w:ascii="Cambria" w:eastAsia="Cambria" w:hAnsi="Cambria" w:cs="Cambria"/>
        </w:rPr>
        <w:t>)</w:t>
      </w:r>
    </w:p>
    <w:p w:rsidR="00EE13F6" w:rsidRDefault="002E5BC4">
      <w:pPr>
        <w:spacing w:after="0"/>
        <w:ind w:left="3920"/>
      </w:pPr>
      <w:r>
        <w:rPr>
          <w:noProof/>
        </w:rPr>
        <w:drawing>
          <wp:inline distT="0" distB="0" distL="0" distR="0">
            <wp:extent cx="1240536" cy="329184"/>
            <wp:effectExtent l="0" t="0" r="0" b="0"/>
            <wp:docPr id="221840" name="Picture 221840"/>
            <wp:cNvGraphicFramePr/>
            <a:graphic xmlns:a="http://schemas.openxmlformats.org/drawingml/2006/main">
              <a:graphicData uri="http://schemas.openxmlformats.org/drawingml/2006/picture">
                <pic:pic xmlns:pic="http://schemas.openxmlformats.org/drawingml/2006/picture">
                  <pic:nvPicPr>
                    <pic:cNvPr id="221840" name="Picture 221840"/>
                    <pic:cNvPicPr/>
                  </pic:nvPicPr>
                  <pic:blipFill>
                    <a:blip r:embed="rId56"/>
                    <a:stretch>
                      <a:fillRect/>
                    </a:stretch>
                  </pic:blipFill>
                  <pic:spPr>
                    <a:xfrm>
                      <a:off x="0" y="0"/>
                      <a:ext cx="1240536" cy="329184"/>
                    </a:xfrm>
                    <a:prstGeom prst="rect">
                      <a:avLst/>
                    </a:prstGeom>
                  </pic:spPr>
                </pic:pic>
              </a:graphicData>
            </a:graphic>
          </wp:inline>
        </w:drawing>
      </w:r>
    </w:p>
    <w:p w:rsidR="00EE13F6" w:rsidRDefault="002E5BC4" w:rsidP="002E5BC4">
      <w:pPr>
        <w:numPr>
          <w:ilvl w:val="0"/>
          <w:numId w:val="12"/>
        </w:numPr>
        <w:spacing w:after="41" w:line="264" w:lineRule="auto"/>
        <w:ind w:right="477" w:hanging="248"/>
        <w:jc w:val="both"/>
      </w:pPr>
      <w:r>
        <w:rPr>
          <w:rFonts w:ascii="Cambria" w:eastAsia="Cambria" w:hAnsi="Cambria" w:cs="Cambria"/>
        </w:rPr>
        <w:t>We consider now that we have a time interval ∆</w:t>
      </w:r>
      <w:r>
        <w:rPr>
          <w:rFonts w:ascii="Cambria" w:eastAsia="Cambria" w:hAnsi="Cambria" w:cs="Cambria"/>
          <w:i/>
        </w:rPr>
        <w:t>t</w:t>
      </w:r>
      <w:r>
        <w:rPr>
          <w:rFonts w:ascii="Cambria" w:eastAsia="Cambria" w:hAnsi="Cambria" w:cs="Cambria"/>
          <w:vertAlign w:val="superscript"/>
        </w:rPr>
        <w:t xml:space="preserve">0 </w:t>
      </w:r>
      <w:r>
        <w:rPr>
          <w:rFonts w:ascii="Cambria" w:eastAsia="Cambria" w:hAnsi="Cambria" w:cs="Cambria"/>
        </w:rPr>
        <w:t>for unwinding the option position in the market, whereas the frequency of re-hedging is ∆</w:t>
      </w:r>
      <w:r>
        <w:rPr>
          <w:rFonts w:ascii="Cambria" w:eastAsia="Cambria" w:hAnsi="Cambria" w:cs="Cambria"/>
          <w:i/>
        </w:rPr>
        <w:t>t</w:t>
      </w:r>
      <w:r>
        <w:rPr>
          <w:rFonts w:ascii="Cambria" w:eastAsia="Cambria" w:hAnsi="Cambria" w:cs="Cambria"/>
        </w:rPr>
        <w:t xml:space="preserve">. </w:t>
      </w:r>
      <w:r>
        <w:rPr>
          <w:rFonts w:ascii="Cambria" w:eastAsia="Cambria" w:hAnsi="Cambria" w:cs="Cambria"/>
        </w:rPr>
        <w:t>From the discussion above, it comes that</w:t>
      </w:r>
    </w:p>
    <w:p w:rsidR="00EE13F6" w:rsidRDefault="002E5BC4">
      <w:pPr>
        <w:spacing w:after="147"/>
        <w:ind w:left="3680"/>
      </w:pPr>
      <w:r>
        <w:rPr>
          <w:noProof/>
        </w:rPr>
        <w:drawing>
          <wp:inline distT="0" distB="0" distL="0" distR="0">
            <wp:extent cx="1542288" cy="353568"/>
            <wp:effectExtent l="0" t="0" r="0" b="0"/>
            <wp:docPr id="221841" name="Picture 221841"/>
            <wp:cNvGraphicFramePr/>
            <a:graphic xmlns:a="http://schemas.openxmlformats.org/drawingml/2006/main">
              <a:graphicData uri="http://schemas.openxmlformats.org/drawingml/2006/picture">
                <pic:pic xmlns:pic="http://schemas.openxmlformats.org/drawingml/2006/picture">
                  <pic:nvPicPr>
                    <pic:cNvPr id="221841" name="Picture 221841"/>
                    <pic:cNvPicPr/>
                  </pic:nvPicPr>
                  <pic:blipFill>
                    <a:blip r:embed="rId57"/>
                    <a:stretch>
                      <a:fillRect/>
                    </a:stretch>
                  </pic:blipFill>
                  <pic:spPr>
                    <a:xfrm>
                      <a:off x="0" y="0"/>
                      <a:ext cx="1542288" cy="353568"/>
                    </a:xfrm>
                    <a:prstGeom prst="rect">
                      <a:avLst/>
                    </a:prstGeom>
                  </pic:spPr>
                </pic:pic>
              </a:graphicData>
            </a:graphic>
          </wp:inline>
        </w:drawing>
      </w:r>
    </w:p>
    <w:p w:rsidR="00EE13F6" w:rsidRDefault="002E5BC4">
      <w:pPr>
        <w:spacing w:after="133" w:line="264" w:lineRule="auto"/>
        <w:ind w:left="555" w:right="477" w:hanging="10"/>
        <w:jc w:val="both"/>
      </w:pPr>
      <w:r>
        <w:rPr>
          <w:rFonts w:ascii="Cambria" w:eastAsia="Cambria" w:hAnsi="Cambria" w:cs="Cambria"/>
        </w:rPr>
        <w:t>.</w:t>
      </w:r>
    </w:p>
    <w:p w:rsidR="00EE13F6" w:rsidRDefault="002E5BC4">
      <w:pPr>
        <w:spacing w:after="18" w:line="262" w:lineRule="auto"/>
        <w:ind w:left="440" w:right="367" w:hanging="10"/>
        <w:jc w:val="center"/>
      </w:pPr>
      <w:r>
        <w:rPr>
          <w:rFonts w:ascii="Cambria" w:eastAsia="Cambria" w:hAnsi="Cambria" w:cs="Cambria"/>
        </w:rPr>
        <w:t>Obviously, if ∆</w:t>
      </w:r>
      <w:r>
        <w:rPr>
          <w:rFonts w:ascii="Cambria" w:eastAsia="Cambria" w:hAnsi="Cambria" w:cs="Cambria"/>
          <w:i/>
        </w:rPr>
        <w:t xml:space="preserve">t &gt; </w:t>
      </w:r>
      <w:r>
        <w:rPr>
          <w:rFonts w:ascii="Cambria" w:eastAsia="Cambria" w:hAnsi="Cambria" w:cs="Cambria"/>
        </w:rPr>
        <w:t>∆</w:t>
      </w:r>
      <w:r>
        <w:rPr>
          <w:rFonts w:ascii="Cambria" w:eastAsia="Cambria" w:hAnsi="Cambria" w:cs="Cambria"/>
          <w:i/>
        </w:rPr>
        <w:t>t</w:t>
      </w:r>
      <w:r>
        <w:rPr>
          <w:rFonts w:ascii="Cambria" w:eastAsia="Cambria" w:hAnsi="Cambria" w:cs="Cambria"/>
          <w:vertAlign w:val="superscript"/>
        </w:rPr>
        <w:t xml:space="preserve">0 </w:t>
      </w:r>
      <w:r>
        <w:rPr>
          <w:rFonts w:ascii="Cambria" w:eastAsia="Cambria" w:hAnsi="Cambria" w:cs="Cambria"/>
        </w:rPr>
        <w:t>, the market-maker will unwind its position before having to adjust its hedging portfolio. In such case, it will only have to bear the transaction costs linked to</w:t>
      </w:r>
    </w:p>
    <w:p w:rsidR="00EE13F6" w:rsidRDefault="002E5BC4">
      <w:pPr>
        <w:spacing w:after="0" w:line="264" w:lineRule="auto"/>
        <w:ind w:left="555" w:right="477" w:hanging="10"/>
        <w:jc w:val="both"/>
      </w:pPr>
      <w:r>
        <w:rPr>
          <w:rFonts w:ascii="Cambria" w:eastAsia="Cambria" w:hAnsi="Cambria" w:cs="Cambria"/>
        </w:rPr>
        <w:t>the FTT at trade inceptio</w:t>
      </w:r>
      <w:r>
        <w:rPr>
          <w:rFonts w:ascii="Cambria" w:eastAsia="Cambria" w:hAnsi="Cambria" w:cs="Cambria"/>
        </w:rPr>
        <w:t>n.</w:t>
      </w:r>
    </w:p>
    <w:p w:rsidR="00EE13F6" w:rsidRDefault="002E5BC4">
      <w:pPr>
        <w:tabs>
          <w:tab w:val="center" w:pos="6645"/>
          <w:tab w:val="center" w:pos="6879"/>
          <w:tab w:val="center" w:pos="7680"/>
        </w:tabs>
        <w:spacing w:after="0"/>
      </w:pPr>
      <w:r>
        <w:tab/>
      </w:r>
      <w:r>
        <w:rPr>
          <w:rFonts w:ascii="Cambria" w:eastAsia="Cambria" w:hAnsi="Cambria" w:cs="Cambria"/>
        </w:rPr>
        <w:t>√</w:t>
      </w:r>
      <w:r>
        <w:rPr>
          <w:rFonts w:ascii="Cambria" w:eastAsia="Cambria" w:hAnsi="Cambria" w:cs="Cambria"/>
        </w:rPr>
        <w:tab/>
      </w:r>
      <w:r>
        <w:rPr>
          <w:noProof/>
        </w:rPr>
        <mc:AlternateContent>
          <mc:Choice Requires="wpg">
            <w:drawing>
              <wp:inline distT="0" distB="0" distL="0" distR="0">
                <wp:extent cx="115456" cy="5537"/>
                <wp:effectExtent l="0" t="0" r="0" b="0"/>
                <wp:docPr id="161031" name="Group 161031"/>
                <wp:cNvGraphicFramePr/>
                <a:graphic xmlns:a="http://schemas.openxmlformats.org/drawingml/2006/main">
                  <a:graphicData uri="http://schemas.microsoft.com/office/word/2010/wordprocessingGroup">
                    <wpg:wgp>
                      <wpg:cNvGrpSpPr/>
                      <wpg:grpSpPr>
                        <a:xfrm>
                          <a:off x="0" y="0"/>
                          <a:ext cx="115456" cy="5537"/>
                          <a:chOff x="0" y="0"/>
                          <a:chExt cx="115456" cy="5537"/>
                        </a:xfrm>
                      </wpg:grpSpPr>
                      <wps:wsp>
                        <wps:cNvPr id="6852" name="Shape 6852"/>
                        <wps:cNvSpPr/>
                        <wps:spPr>
                          <a:xfrm>
                            <a:off x="0" y="0"/>
                            <a:ext cx="115456" cy="0"/>
                          </a:xfrm>
                          <a:custGeom>
                            <a:avLst/>
                            <a:gdLst/>
                            <a:ahLst/>
                            <a:cxnLst/>
                            <a:rect l="0" t="0" r="0" b="0"/>
                            <a:pathLst>
                              <a:path w="115456">
                                <a:moveTo>
                                  <a:pt x="0" y="0"/>
                                </a:moveTo>
                                <a:lnTo>
                                  <a:pt x="115456" y="0"/>
                                </a:lnTo>
                              </a:path>
                            </a:pathLst>
                          </a:custGeom>
                          <a:ln w="553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6CC4B7" id="Group 161031" o:spid="_x0000_s1026" style="width:9.1pt;height:.45pt;mso-position-horizontal-relative:char;mso-position-vertical-relative:line" coordsize="115456,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">
                <v:shape id="Shape 6852" o:spid="_x0000_s1027" style="position:absolute;width:115456;height:0;visibility:visible;mso-wrap-style:square;v-text-anchor:top" coordsize="115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o8cA&#10;AADdAAAADwAAAGRycy9kb3ducmV2LnhtbESPQWvCQBSE7wX/w/IKvdVNLUpI3QQJWupJGkXa22v2&#10;mYRk34bsVuO/7woFj8PMfMMss9F04kyDaywreJlGIIhLqxuuFBz2m+cYhPPIGjvLpOBKDrJ08rDE&#10;RNsLf9K58JUIEHYJKqi97xMpXVmTQTe1PXHwTnYw6IMcKqkHvAS46eQsihbSYMNhocae8prKtvg1&#10;Coq4/d62xVf++j5fb3frY+4PP1elnh7H1RsIT6O/h//bH1rBIp7P4PY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Gv6PHAAAA3QAAAA8AAAAAAAAAAAAAAAAAmAIAAGRy&#10;cy9kb3ducmV2LnhtbFBLBQYAAAAABAAEAPUAAACMAwAAAAA=&#10;" path="m,l115456,e" filled="f" strokeweight=".15381mm">
                  <v:stroke miterlimit="83231f" joinstyle="miter"/>
                  <v:path arrowok="t" textboxrect="0,0,115456,0"/>
                </v:shape>
                <w10:anchorlock/>
              </v:group>
            </w:pict>
          </mc:Fallback>
        </mc:AlternateContent>
      </w:r>
      <w:r>
        <w:rPr>
          <w:rFonts w:ascii="Cambria" w:eastAsia="Cambria" w:hAnsi="Cambria" w:cs="Cambria"/>
        </w:rPr>
        <w:tab/>
        <w:t>√ √</w:t>
      </w:r>
      <w:r>
        <w:rPr>
          <w:noProof/>
        </w:rPr>
        <mc:AlternateContent>
          <mc:Choice Requires="wpg">
            <w:drawing>
              <wp:inline distT="0" distB="0" distL="0" distR="0">
                <wp:extent cx="115456" cy="5537"/>
                <wp:effectExtent l="0" t="0" r="0" b="0"/>
                <wp:docPr id="161032" name="Group 161032"/>
                <wp:cNvGraphicFramePr/>
                <a:graphic xmlns:a="http://schemas.openxmlformats.org/drawingml/2006/main">
                  <a:graphicData uri="http://schemas.microsoft.com/office/word/2010/wordprocessingGroup">
                    <wpg:wgp>
                      <wpg:cNvGrpSpPr/>
                      <wpg:grpSpPr>
                        <a:xfrm>
                          <a:off x="0" y="0"/>
                          <a:ext cx="115456" cy="5537"/>
                          <a:chOff x="0" y="0"/>
                          <a:chExt cx="115456" cy="5537"/>
                        </a:xfrm>
                      </wpg:grpSpPr>
                      <wps:wsp>
                        <wps:cNvPr id="6861" name="Shape 6861"/>
                        <wps:cNvSpPr/>
                        <wps:spPr>
                          <a:xfrm>
                            <a:off x="0" y="0"/>
                            <a:ext cx="115456" cy="0"/>
                          </a:xfrm>
                          <a:custGeom>
                            <a:avLst/>
                            <a:gdLst/>
                            <a:ahLst/>
                            <a:cxnLst/>
                            <a:rect l="0" t="0" r="0" b="0"/>
                            <a:pathLst>
                              <a:path w="115456">
                                <a:moveTo>
                                  <a:pt x="0" y="0"/>
                                </a:moveTo>
                                <a:lnTo>
                                  <a:pt x="115456" y="0"/>
                                </a:lnTo>
                              </a:path>
                            </a:pathLst>
                          </a:custGeom>
                          <a:ln w="553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233CE2" id="Group 161032" o:spid="_x0000_s1026" style="width:9.1pt;height:.45pt;mso-position-horizontal-relative:char;mso-position-vertical-relative:line" coordsize="115456,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">
                <v:shape id="Shape 6861" o:spid="_x0000_s1027" style="position:absolute;width:115456;height:0;visibility:visible;mso-wrap-style:square;v-text-anchor:top" coordsize="115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raccA&#10;AADdAAAADwAAAGRycy9kb3ducmV2LnhtbESPQWvCQBSE7wX/w/KE3upGiyFEV5FgSz1J01Dq7TX7&#10;moRk34bsVuO/d4VCj8PMfMOst6PpxJkG11hWMJ9FIIhLqxuuFBQfL08JCOeRNXaWScGVHGw3k4c1&#10;ptpe+J3Oua9EgLBLUUHtfZ9K6cqaDLqZ7YmD92MHgz7IoZJ6wEuAm04uoiiWBhsOCzX2lNVUtvmv&#10;UZAn7enQ5l/Z8+tyfzjuPzNffF+VepyOuxUIT6P/D/+137SCOInncH8Tn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462nHAAAA3QAAAA8AAAAAAAAAAAAAAAAAmAIAAGRy&#10;cy9kb3ducmV2LnhtbFBLBQYAAAAABAAEAPUAAACMAwAAAAA=&#10;" path="m,l115456,e" filled="f" strokeweight=".15381mm">
                  <v:stroke miterlimit="83231f" joinstyle="miter"/>
                  <v:path arrowok="t" textboxrect="0,0,115456,0"/>
                </v:shape>
                <w10:anchorlock/>
              </v:group>
            </w:pict>
          </mc:Fallback>
        </mc:AlternateContent>
      </w:r>
    </w:p>
    <w:p w:rsidR="00EE13F6" w:rsidRDefault="002E5BC4">
      <w:pPr>
        <w:tabs>
          <w:tab w:val="center" w:pos="3514"/>
          <w:tab w:val="center" w:pos="7009"/>
          <w:tab w:val="center" w:pos="7589"/>
          <w:tab w:val="center" w:pos="8597"/>
        </w:tabs>
        <w:spacing w:after="29" w:line="264" w:lineRule="auto"/>
      </w:pPr>
      <w:r>
        <w:lastRenderedPageBreak/>
        <w:tab/>
      </w:r>
      <w:r>
        <w:rPr>
          <w:rFonts w:ascii="Cambria" w:eastAsia="Cambria" w:hAnsi="Cambria" w:cs="Cambria"/>
        </w:rPr>
        <w:t>Consequently, we can consider that a practical value would be</w:t>
      </w:r>
      <w:r>
        <w:rPr>
          <w:rFonts w:ascii="Cambria" w:eastAsia="Cambria" w:hAnsi="Cambria" w:cs="Cambria"/>
        </w:rPr>
        <w:tab/>
        <w:t>∆</w:t>
      </w:r>
      <w:r>
        <w:rPr>
          <w:rFonts w:ascii="Cambria" w:eastAsia="Cambria" w:hAnsi="Cambria" w:cs="Cambria"/>
          <w:i/>
        </w:rPr>
        <w:t>t</w:t>
      </w:r>
      <w:r>
        <w:rPr>
          <w:rFonts w:ascii="Cambria" w:eastAsia="Cambria" w:hAnsi="Cambria" w:cs="Cambria"/>
          <w:vertAlign w:val="superscript"/>
        </w:rPr>
        <w:t xml:space="preserve">0 </w:t>
      </w:r>
      <w:r>
        <w:rPr>
          <w:rFonts w:ascii="Cambria" w:eastAsia="Cambria" w:hAnsi="Cambria" w:cs="Cambria"/>
        </w:rPr>
        <w:t>=</w:t>
      </w:r>
      <w:r>
        <w:rPr>
          <w:rFonts w:ascii="Cambria" w:eastAsia="Cambria" w:hAnsi="Cambria" w:cs="Cambria"/>
        </w:rPr>
        <w:tab/>
      </w:r>
      <w:r>
        <w:rPr>
          <w:rFonts w:ascii="Cambria" w:eastAsia="Cambria" w:hAnsi="Cambria" w:cs="Cambria"/>
          <w:i/>
        </w:rPr>
        <w:t>λ</w:t>
      </w:r>
      <w:r>
        <w:rPr>
          <w:rFonts w:ascii="Cambria" w:eastAsia="Cambria" w:hAnsi="Cambria" w:cs="Cambria"/>
          <w:i/>
        </w:rPr>
        <w:tab/>
      </w:r>
      <w:r>
        <w:rPr>
          <w:rFonts w:ascii="Cambria" w:eastAsia="Cambria" w:hAnsi="Cambria" w:cs="Cambria"/>
        </w:rPr>
        <w:t>∆</w:t>
      </w:r>
      <w:r>
        <w:rPr>
          <w:rFonts w:ascii="Cambria" w:eastAsia="Cambria" w:hAnsi="Cambria" w:cs="Cambria"/>
          <w:i/>
        </w:rPr>
        <w:t xml:space="preserve">t </w:t>
      </w:r>
      <w:r>
        <w:rPr>
          <w:rFonts w:ascii="Cambria" w:eastAsia="Cambria" w:hAnsi="Cambria" w:cs="Cambria"/>
        </w:rPr>
        <w:t xml:space="preserve">with </w:t>
      </w:r>
      <w:r>
        <w:rPr>
          <w:rFonts w:ascii="Cambria" w:eastAsia="Cambria" w:hAnsi="Cambria" w:cs="Cambria"/>
          <w:i/>
        </w:rPr>
        <w:t>λ &lt;</w:t>
      </w:r>
      <w:r>
        <w:rPr>
          <w:rFonts w:ascii="Cambria" w:eastAsia="Cambria" w:hAnsi="Cambria" w:cs="Cambria"/>
        </w:rPr>
        <w:t>= 1</w:t>
      </w:r>
    </w:p>
    <w:p w:rsidR="00EE13F6" w:rsidRDefault="002E5BC4">
      <w:pPr>
        <w:spacing w:after="221"/>
        <w:ind w:left="3800"/>
      </w:pPr>
      <w:r>
        <w:rPr>
          <w:noProof/>
        </w:rPr>
        <w:drawing>
          <wp:inline distT="0" distB="0" distL="0" distR="0">
            <wp:extent cx="1405128" cy="329184"/>
            <wp:effectExtent l="0" t="0" r="0" b="0"/>
            <wp:docPr id="221842" name="Picture 221842"/>
            <wp:cNvGraphicFramePr/>
            <a:graphic xmlns:a="http://schemas.openxmlformats.org/drawingml/2006/main">
              <a:graphicData uri="http://schemas.openxmlformats.org/drawingml/2006/picture">
                <pic:pic xmlns:pic="http://schemas.openxmlformats.org/drawingml/2006/picture">
                  <pic:nvPicPr>
                    <pic:cNvPr id="221842" name="Picture 221842"/>
                    <pic:cNvPicPr/>
                  </pic:nvPicPr>
                  <pic:blipFill>
                    <a:blip r:embed="rId58"/>
                    <a:stretch>
                      <a:fillRect/>
                    </a:stretch>
                  </pic:blipFill>
                  <pic:spPr>
                    <a:xfrm>
                      <a:off x="0" y="0"/>
                      <a:ext cx="1405128" cy="329184"/>
                    </a:xfrm>
                    <a:prstGeom prst="rect">
                      <a:avLst/>
                    </a:prstGeom>
                  </pic:spPr>
                </pic:pic>
              </a:graphicData>
            </a:graphic>
          </wp:inline>
        </w:drawing>
      </w:r>
    </w:p>
    <w:p w:rsidR="00EE13F6" w:rsidRDefault="002E5BC4">
      <w:pPr>
        <w:spacing w:after="33" w:line="264" w:lineRule="auto"/>
        <w:ind w:left="554" w:right="477" w:hanging="545"/>
        <w:jc w:val="both"/>
      </w:pPr>
      <w:r>
        <w:rPr>
          <w:rFonts w:ascii="Cambria" w:eastAsia="Cambria" w:hAnsi="Cambria" w:cs="Cambria"/>
          <w:b/>
        </w:rPr>
        <w:t xml:space="preserve">d: Boyle and Vorst framework </w:t>
      </w:r>
      <w:r>
        <w:rPr>
          <w:rFonts w:ascii="Cambria" w:eastAsia="Cambria" w:hAnsi="Cambria" w:cs="Cambria"/>
        </w:rPr>
        <w:t xml:space="preserve">We consider now the Boyle and Vorst framework. Focusing on small values of </w:t>
      </w:r>
      <w:r>
        <w:rPr>
          <w:rFonts w:ascii="Cambria" w:eastAsia="Cambria" w:hAnsi="Cambria" w:cs="Cambria"/>
          <w:i/>
        </w:rPr>
        <w:t>σ</w:t>
      </w:r>
      <w:r>
        <w:rPr>
          <w:rFonts w:ascii="Cambria" w:eastAsia="Cambria" w:hAnsi="Cambria" w:cs="Cambria"/>
          <w:vertAlign w:val="superscript"/>
        </w:rPr>
        <w:t xml:space="preserve">0 </w:t>
      </w:r>
      <w:r>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σ </w:t>
      </w:r>
      <w:r>
        <w:rPr>
          <w:rFonts w:ascii="Cambria" w:eastAsia="Cambria" w:hAnsi="Cambria" w:cs="Cambria"/>
        </w:rPr>
        <w:t>we can write:</w:t>
      </w:r>
    </w:p>
    <w:p w:rsidR="00EE13F6" w:rsidRDefault="002E5BC4">
      <w:pPr>
        <w:spacing w:after="197"/>
        <w:ind w:left="4280"/>
      </w:pPr>
      <w:r>
        <w:rPr>
          <w:noProof/>
        </w:rPr>
        <w:drawing>
          <wp:inline distT="0" distB="0" distL="0" distR="0">
            <wp:extent cx="804672" cy="289560"/>
            <wp:effectExtent l="0" t="0" r="0" b="0"/>
            <wp:docPr id="221843" name="Picture 221843"/>
            <wp:cNvGraphicFramePr/>
            <a:graphic xmlns:a="http://schemas.openxmlformats.org/drawingml/2006/main">
              <a:graphicData uri="http://schemas.openxmlformats.org/drawingml/2006/picture">
                <pic:pic xmlns:pic="http://schemas.openxmlformats.org/drawingml/2006/picture">
                  <pic:nvPicPr>
                    <pic:cNvPr id="221843" name="Picture 221843"/>
                    <pic:cNvPicPr/>
                  </pic:nvPicPr>
                  <pic:blipFill>
                    <a:blip r:embed="rId59"/>
                    <a:stretch>
                      <a:fillRect/>
                    </a:stretch>
                  </pic:blipFill>
                  <pic:spPr>
                    <a:xfrm>
                      <a:off x="0" y="0"/>
                      <a:ext cx="804672" cy="289560"/>
                    </a:xfrm>
                    <a:prstGeom prst="rect">
                      <a:avLst/>
                    </a:prstGeom>
                  </pic:spPr>
                </pic:pic>
              </a:graphicData>
            </a:graphic>
          </wp:inline>
        </w:drawing>
      </w:r>
    </w:p>
    <w:p w:rsidR="00EE13F6" w:rsidRDefault="002E5BC4">
      <w:pPr>
        <w:spacing w:after="11" w:line="264" w:lineRule="auto"/>
        <w:ind w:left="555" w:right="477" w:hanging="10"/>
        <w:jc w:val="both"/>
      </w:pPr>
      <w:r>
        <w:rPr>
          <w:rFonts w:ascii="Cambria" w:eastAsia="Cambria" w:hAnsi="Cambria" w:cs="Cambria"/>
        </w:rPr>
        <w:t>We then use the expression of Vega as a function of Γ to derive the fraction:</w:t>
      </w:r>
    </w:p>
    <w:p w:rsidR="00EE13F6" w:rsidRDefault="002E5BC4">
      <w:pPr>
        <w:spacing w:after="251"/>
        <w:ind w:left="3520"/>
      </w:pPr>
      <w:r>
        <w:rPr>
          <w:noProof/>
        </w:rPr>
        <w:drawing>
          <wp:inline distT="0" distB="0" distL="0" distR="0">
            <wp:extent cx="1749552" cy="362712"/>
            <wp:effectExtent l="0" t="0" r="0" b="0"/>
            <wp:docPr id="221844" name="Picture 221844"/>
            <wp:cNvGraphicFramePr/>
            <a:graphic xmlns:a="http://schemas.openxmlformats.org/drawingml/2006/main">
              <a:graphicData uri="http://schemas.openxmlformats.org/drawingml/2006/picture">
                <pic:pic xmlns:pic="http://schemas.openxmlformats.org/drawingml/2006/picture">
                  <pic:nvPicPr>
                    <pic:cNvPr id="221844" name="Picture 221844"/>
                    <pic:cNvPicPr/>
                  </pic:nvPicPr>
                  <pic:blipFill>
                    <a:blip r:embed="rId60"/>
                    <a:stretch>
                      <a:fillRect/>
                    </a:stretch>
                  </pic:blipFill>
                  <pic:spPr>
                    <a:xfrm>
                      <a:off x="0" y="0"/>
                      <a:ext cx="1749552" cy="362712"/>
                    </a:xfrm>
                    <a:prstGeom prst="rect">
                      <a:avLst/>
                    </a:prstGeom>
                  </pic:spPr>
                </pic:pic>
              </a:graphicData>
            </a:graphic>
          </wp:inline>
        </w:drawing>
      </w:r>
    </w:p>
    <w:p w:rsidR="00EE13F6" w:rsidRDefault="002E5BC4">
      <w:pPr>
        <w:spacing w:after="88" w:line="264" w:lineRule="auto"/>
        <w:ind w:left="555" w:right="477" w:hanging="10"/>
        <w:jc w:val="both"/>
      </w:pPr>
      <w:r>
        <w:rPr>
          <w:rFonts w:ascii="Cambria" w:eastAsia="Cambria" w:hAnsi="Cambria" w:cs="Cambria"/>
        </w:rPr>
        <w:t xml:space="preserve">where </w:t>
      </w:r>
      <w:r>
        <w:rPr>
          <w:rFonts w:ascii="Cambria" w:eastAsia="Cambria" w:hAnsi="Cambria" w:cs="Cambria"/>
          <w:i/>
        </w:rPr>
        <w:t xml:space="preserve">ν </w:t>
      </w:r>
      <w:r>
        <w:rPr>
          <w:rFonts w:ascii="Cambria" w:eastAsia="Cambria" w:hAnsi="Cambria" w:cs="Cambria"/>
        </w:rPr>
        <w:t>in percents is the threshold triggering the rebalancing of the hedging portfolio.</w:t>
      </w:r>
    </w:p>
    <w:p w:rsidR="00EE13F6" w:rsidRDefault="002E5BC4">
      <w:pPr>
        <w:spacing w:after="645" w:line="264" w:lineRule="auto"/>
        <w:ind w:left="555" w:right="477" w:hanging="10"/>
        <w:jc w:val="both"/>
      </w:pPr>
      <w:r>
        <w:rPr>
          <w:rFonts w:ascii="Cambria" w:eastAsia="Cambria" w:hAnsi="Cambria" w:cs="Cambria"/>
        </w:rPr>
        <w:t>This can be compared to the time based rebalancing.</w:t>
      </w:r>
    </w:p>
    <w:p w:rsidR="00EE13F6" w:rsidRDefault="002E5BC4">
      <w:pPr>
        <w:spacing w:after="371" w:line="264" w:lineRule="auto"/>
        <w:ind w:left="555" w:right="477" w:hanging="10"/>
        <w:jc w:val="both"/>
      </w:pPr>
      <w:r>
        <w:rPr>
          <w:rFonts w:ascii="Cambria" w:eastAsia="Cambria" w:hAnsi="Cambria" w:cs="Cambria"/>
        </w:rPr>
        <w:t>This demonstrates the ”Rule of Thu</w:t>
      </w:r>
      <w:r>
        <w:rPr>
          <w:rFonts w:ascii="Cambria" w:eastAsia="Cambria" w:hAnsi="Cambria" w:cs="Cambria"/>
        </w:rPr>
        <w:t>mb”.</w:t>
      </w:r>
    </w:p>
    <w:p w:rsidR="00EE13F6" w:rsidRDefault="002E5BC4">
      <w:pPr>
        <w:spacing w:after="135" w:line="261" w:lineRule="auto"/>
        <w:ind w:left="-5" w:right="468" w:hanging="10"/>
        <w:jc w:val="both"/>
      </w:pPr>
      <w:r>
        <w:rPr>
          <w:rFonts w:ascii="Cambria" w:eastAsia="Cambria" w:hAnsi="Cambria" w:cs="Cambria"/>
          <w:b/>
        </w:rPr>
        <w:t>Remark:</w:t>
      </w:r>
    </w:p>
    <w:p w:rsidR="00EE13F6" w:rsidRDefault="002E5BC4">
      <w:pPr>
        <w:spacing w:after="133" w:line="264" w:lineRule="auto"/>
        <w:ind w:left="19" w:right="477" w:hanging="10"/>
        <w:jc w:val="both"/>
      </w:pPr>
      <w:r>
        <w:rPr>
          <w:rFonts w:ascii="Cambria" w:eastAsia="Cambria" w:hAnsi="Cambria" w:cs="Cambria"/>
        </w:rPr>
        <w:t>In assessing the ”Rule of Thumb” we have made the explicit assumption that the error made by considering that the quantity Γ</w:t>
      </w:r>
      <w:r>
        <w:rPr>
          <w:rFonts w:ascii="Cambria" w:eastAsia="Cambria" w:hAnsi="Cambria" w:cs="Cambria"/>
          <w:i/>
        </w:rPr>
        <w:t>S</w:t>
      </w:r>
      <w:r>
        <w:rPr>
          <w:rFonts w:ascii="Cambria" w:eastAsia="Cambria" w:hAnsi="Cambria" w:cs="Cambria"/>
          <w:vertAlign w:val="superscript"/>
        </w:rPr>
        <w:t xml:space="preserve">2 </w:t>
      </w:r>
      <w:r>
        <w:rPr>
          <w:rFonts w:ascii="Cambria" w:eastAsia="Cambria" w:hAnsi="Cambria" w:cs="Cambria"/>
        </w:rPr>
        <w:t>(known as ”Dollar Gamma”), on the time interval ∆</w:t>
      </w:r>
      <w:r>
        <w:rPr>
          <w:rFonts w:ascii="Cambria" w:eastAsia="Cambria" w:hAnsi="Cambria" w:cs="Cambria"/>
          <w:i/>
        </w:rPr>
        <w:t xml:space="preserve">t </w:t>
      </w:r>
      <w:r>
        <w:rPr>
          <w:rFonts w:ascii="Cambria" w:eastAsia="Cambria" w:hAnsi="Cambria" w:cs="Cambria"/>
        </w:rPr>
        <w:t>was acceptable.</w:t>
      </w:r>
    </w:p>
    <w:p w:rsidR="00EE13F6" w:rsidRDefault="002E5BC4">
      <w:pPr>
        <w:spacing w:after="467" w:line="262" w:lineRule="auto"/>
        <w:ind w:left="10" w:right="271" w:hanging="10"/>
        <w:jc w:val="center"/>
      </w:pPr>
      <w:r>
        <w:rPr>
          <w:rFonts w:ascii="Cambria" w:eastAsia="Cambria" w:hAnsi="Cambria" w:cs="Cambria"/>
        </w:rPr>
        <w:t>This assumption is valid for liquid ”option markets” where this time interval is of the same magnitude as the time commanding the frequency of re-hedging (even inferior for highly liquid markets).</w:t>
      </w:r>
    </w:p>
    <w:p w:rsidR="00EE13F6" w:rsidRDefault="002E5BC4">
      <w:pPr>
        <w:spacing w:after="276" w:line="261" w:lineRule="auto"/>
        <w:ind w:left="752" w:right="468" w:hanging="767"/>
        <w:jc w:val="both"/>
      </w:pPr>
      <w:r>
        <w:rPr>
          <w:rFonts w:ascii="Cambria" w:eastAsia="Cambria" w:hAnsi="Cambria" w:cs="Cambria"/>
          <w:b/>
        </w:rPr>
        <w:t>2.1.3</w:t>
      </w:r>
      <w:r>
        <w:rPr>
          <w:rFonts w:ascii="Cambria" w:eastAsia="Cambria" w:hAnsi="Cambria" w:cs="Cambria"/>
          <w:b/>
        </w:rPr>
        <w:tab/>
        <w:t>The Hamilton Jacobi Bellman Framework for Risk Advers</w:t>
      </w:r>
      <w:r>
        <w:rPr>
          <w:rFonts w:ascii="Cambria" w:eastAsia="Cambria" w:hAnsi="Cambria" w:cs="Cambria"/>
          <w:b/>
        </w:rPr>
        <w:t>e Market-Makers in Highly Liquid Markets</w:t>
      </w:r>
    </w:p>
    <w:p w:rsidR="00EE13F6" w:rsidRDefault="002E5BC4">
      <w:pPr>
        <w:spacing w:after="133" w:line="264" w:lineRule="auto"/>
        <w:ind w:left="19" w:right="477" w:hanging="10"/>
        <w:jc w:val="both"/>
      </w:pPr>
      <w:r>
        <w:rPr>
          <w:rFonts w:ascii="Cambria" w:eastAsia="Cambria" w:hAnsi="Cambria" w:cs="Cambria"/>
        </w:rPr>
        <w:t>We consider again the maximization of a risk adverse market-maker trading a given security whose utility function is defined as follows:</w:t>
      </w:r>
    </w:p>
    <w:p w:rsidR="00EE13F6" w:rsidRDefault="002E5BC4">
      <w:pPr>
        <w:spacing w:after="286" w:line="262" w:lineRule="auto"/>
        <w:ind w:left="10" w:right="483" w:hanging="10"/>
        <w:jc w:val="center"/>
      </w:pPr>
      <w:r>
        <w:rPr>
          <w:rFonts w:ascii="Cambria" w:eastAsia="Cambria" w:hAnsi="Cambria" w:cs="Cambria"/>
          <w:i/>
        </w:rPr>
        <w:t>U</w:t>
      </w:r>
      <w:r>
        <w:rPr>
          <w:rFonts w:ascii="Cambria" w:eastAsia="Cambria" w:hAnsi="Cambria" w:cs="Cambria"/>
        </w:rPr>
        <w:t>(</w:t>
      </w:r>
      <w:r>
        <w:rPr>
          <w:rFonts w:ascii="Cambria" w:eastAsia="Cambria" w:hAnsi="Cambria" w:cs="Cambria"/>
          <w:i/>
        </w:rPr>
        <w:t>w,s,q,t</w:t>
      </w:r>
      <w:r>
        <w:rPr>
          <w:rFonts w:ascii="Cambria" w:eastAsia="Cambria" w:hAnsi="Cambria" w:cs="Cambria"/>
        </w:rPr>
        <w:t xml:space="preserve">) = </w:t>
      </w:r>
      <w:r>
        <w:rPr>
          <w:rFonts w:ascii="Cambria" w:eastAsia="Cambria" w:hAnsi="Cambria" w:cs="Cambria"/>
          <w:i/>
        </w:rPr>
        <w:t>E</w:t>
      </w:r>
      <w:r>
        <w:rPr>
          <w:rFonts w:ascii="Cambria" w:eastAsia="Cambria" w:hAnsi="Cambria" w:cs="Cambria"/>
          <w:i/>
          <w:vertAlign w:val="subscript"/>
        </w:rPr>
        <w:t>t</w:t>
      </w:r>
      <w:r>
        <w:rPr>
          <w:rFonts w:ascii="Cambria" w:eastAsia="Cambria" w:hAnsi="Cambria" w:cs="Cambria"/>
        </w:rPr>
        <w:t>[−exp(−</w:t>
      </w:r>
      <w:r>
        <w:rPr>
          <w:rFonts w:ascii="Cambria" w:eastAsia="Cambria" w:hAnsi="Cambria" w:cs="Cambria"/>
          <w:i/>
        </w:rPr>
        <w:t>γ</w:t>
      </w:r>
      <w:r>
        <w:rPr>
          <w:rFonts w:ascii="Cambria" w:eastAsia="Cambria" w:hAnsi="Cambria" w:cs="Cambria"/>
        </w:rPr>
        <w:t>(</w:t>
      </w:r>
      <w:r>
        <w:rPr>
          <w:rFonts w:ascii="Cambria" w:eastAsia="Cambria" w:hAnsi="Cambria" w:cs="Cambria"/>
          <w:i/>
        </w:rPr>
        <w:t xml:space="preserve">x </w:t>
      </w:r>
      <w:r>
        <w:rPr>
          <w:rFonts w:ascii="Cambria" w:eastAsia="Cambria" w:hAnsi="Cambria" w:cs="Cambria"/>
        </w:rPr>
        <w:t xml:space="preserve">+ </w:t>
      </w:r>
      <w:r>
        <w:rPr>
          <w:rFonts w:ascii="Cambria" w:eastAsia="Cambria" w:hAnsi="Cambria" w:cs="Cambria"/>
          <w:i/>
        </w:rPr>
        <w:t>qS</w:t>
      </w:r>
      <w:r>
        <w:rPr>
          <w:rFonts w:ascii="Cambria" w:eastAsia="Cambria" w:hAnsi="Cambria" w:cs="Cambria"/>
          <w:i/>
          <w:vertAlign w:val="subscript"/>
        </w:rPr>
        <w:t xml:space="preserve">T </w:t>
      </w:r>
      <w:r>
        <w:rPr>
          <w:rFonts w:ascii="Cambria" w:eastAsia="Cambria" w:hAnsi="Cambria" w:cs="Cambria"/>
        </w:rPr>
        <w:t>))]</w:t>
      </w:r>
    </w:p>
    <w:p w:rsidR="00EE13F6" w:rsidRDefault="002E5BC4">
      <w:pPr>
        <w:spacing w:after="169" w:line="264" w:lineRule="auto"/>
        <w:ind w:left="19" w:right="477" w:hanging="10"/>
        <w:jc w:val="both"/>
      </w:pPr>
      <w:r>
        <w:rPr>
          <w:rFonts w:ascii="Cambria" w:eastAsia="Cambria" w:hAnsi="Cambria" w:cs="Cambria"/>
        </w:rPr>
        <w:t xml:space="preserve">where </w:t>
      </w:r>
      <w:r>
        <w:rPr>
          <w:rFonts w:ascii="Cambria" w:eastAsia="Cambria" w:hAnsi="Cambria" w:cs="Cambria"/>
          <w:i/>
        </w:rPr>
        <w:t xml:space="preserve">x </w:t>
      </w:r>
      <w:r>
        <w:rPr>
          <w:rFonts w:ascii="Cambria" w:eastAsia="Cambria" w:hAnsi="Cambria" w:cs="Cambria"/>
        </w:rPr>
        <w:t>designates the original capital of</w:t>
      </w:r>
      <w:r>
        <w:rPr>
          <w:rFonts w:ascii="Cambria" w:eastAsia="Cambria" w:hAnsi="Cambria" w:cs="Cambria"/>
        </w:rPr>
        <w:t xml:space="preserve"> the market-maker.</w:t>
      </w:r>
    </w:p>
    <w:p w:rsidR="00EE13F6" w:rsidRDefault="002E5BC4">
      <w:pPr>
        <w:spacing w:after="133" w:line="264" w:lineRule="auto"/>
        <w:ind w:left="19" w:right="477" w:hanging="10"/>
        <w:jc w:val="both"/>
      </w:pPr>
      <w:r>
        <w:rPr>
          <w:rFonts w:ascii="Cambria" w:eastAsia="Cambria" w:hAnsi="Cambria" w:cs="Cambria"/>
        </w:rPr>
        <w:t xml:space="preserve">and </w:t>
      </w:r>
      <w:r>
        <w:rPr>
          <w:rFonts w:ascii="Cambria" w:eastAsia="Cambria" w:hAnsi="Cambria" w:cs="Cambria"/>
          <w:i/>
        </w:rPr>
        <w:t xml:space="preserve">γ </w:t>
      </w:r>
      <w:r>
        <w:rPr>
          <w:rFonts w:ascii="Cambria" w:eastAsia="Cambria" w:hAnsi="Cambria" w:cs="Cambria"/>
        </w:rPr>
        <w:t>is the market-maker’s risk aversion coefficient (</w:t>
      </w:r>
      <w:r>
        <w:rPr>
          <w:rFonts w:ascii="Cambria" w:eastAsia="Cambria" w:hAnsi="Cambria" w:cs="Cambria"/>
          <w:i/>
        </w:rPr>
        <w:t xml:space="preserve">γ </w:t>
      </w:r>
      <w:r>
        <w:rPr>
          <w:rFonts w:ascii="Cambria" w:eastAsia="Cambria" w:hAnsi="Cambria" w:cs="Cambria"/>
        </w:rPr>
        <w:t xml:space="preserve">tending toward zero meaning the marketmaker tends to be ”risk neutral”). We note </w:t>
      </w:r>
      <w:r>
        <w:rPr>
          <w:rFonts w:ascii="Cambria" w:eastAsia="Cambria" w:hAnsi="Cambria" w:cs="Cambria"/>
          <w:i/>
        </w:rPr>
        <w:t xml:space="preserve">q </w:t>
      </w:r>
      <w:r>
        <w:rPr>
          <w:rFonts w:ascii="Cambria" w:eastAsia="Cambria" w:hAnsi="Cambria" w:cs="Cambria"/>
        </w:rPr>
        <w:t xml:space="preserve">the number of units in the market-maker’s inventory, and </w:t>
      </w:r>
      <w:r>
        <w:rPr>
          <w:rFonts w:ascii="Cambria" w:eastAsia="Cambria" w:hAnsi="Cambria" w:cs="Cambria"/>
          <w:i/>
        </w:rPr>
        <w:t xml:space="preserve">T </w:t>
      </w:r>
      <w:r>
        <w:rPr>
          <w:rFonts w:ascii="Cambria" w:eastAsia="Cambria" w:hAnsi="Cambria" w:cs="Cambria"/>
        </w:rPr>
        <w:t>is the time horizon on which the marke</w:t>
      </w:r>
      <w:r>
        <w:rPr>
          <w:rFonts w:ascii="Cambria" w:eastAsia="Cambria" w:hAnsi="Cambria" w:cs="Cambria"/>
        </w:rPr>
        <w:t>t-maker considers its maximization program.</w:t>
      </w:r>
    </w:p>
    <w:p w:rsidR="00EE13F6" w:rsidRDefault="002E5BC4">
      <w:pPr>
        <w:spacing w:after="429" w:line="264" w:lineRule="auto"/>
        <w:ind w:left="19" w:right="477" w:hanging="10"/>
        <w:jc w:val="both"/>
      </w:pPr>
      <w:r>
        <w:rPr>
          <w:rFonts w:ascii="Cambria" w:eastAsia="Cambria" w:hAnsi="Cambria" w:cs="Cambria"/>
        </w:rPr>
        <w:t>We consider additional assumptions and definitions.</w:t>
      </w:r>
    </w:p>
    <w:p w:rsidR="00EE13F6" w:rsidRDefault="002E5BC4">
      <w:pPr>
        <w:spacing w:after="135" w:line="261" w:lineRule="auto"/>
        <w:ind w:left="-5" w:right="468" w:hanging="10"/>
        <w:jc w:val="both"/>
      </w:pPr>
      <w:r>
        <w:rPr>
          <w:rFonts w:ascii="Cambria" w:eastAsia="Cambria" w:hAnsi="Cambria" w:cs="Cambria"/>
          <w:b/>
        </w:rPr>
        <w:t>Assumptions</w:t>
      </w:r>
    </w:p>
    <w:p w:rsidR="00EE13F6" w:rsidRDefault="002E5BC4" w:rsidP="002E5BC4">
      <w:pPr>
        <w:numPr>
          <w:ilvl w:val="0"/>
          <w:numId w:val="13"/>
        </w:numPr>
        <w:spacing w:after="171" w:line="264" w:lineRule="auto"/>
        <w:ind w:right="477" w:hanging="279"/>
        <w:jc w:val="both"/>
      </w:pPr>
      <w:r>
        <w:rPr>
          <w:rFonts w:ascii="Cambria" w:eastAsia="Cambria" w:hAnsi="Cambria" w:cs="Cambria"/>
        </w:rPr>
        <w:t xml:space="preserve">The liquidity of the market is sufficient enough to allow the ocurence of ”limit” orders. Thatmeans it is possible, for the market-maker to set up buy or sell orders at a predetermined price called </w:t>
      </w:r>
      <w:r>
        <w:rPr>
          <w:rFonts w:ascii="Cambria" w:eastAsia="Cambria" w:hAnsi="Cambria" w:cs="Cambria"/>
        </w:rPr>
        <w:lastRenderedPageBreak/>
        <w:t xml:space="preserve">”the limit”. The liquidity in the market is such that the </w:t>
      </w:r>
      <w:r>
        <w:rPr>
          <w:rFonts w:ascii="Cambria" w:eastAsia="Cambria" w:hAnsi="Cambria" w:cs="Cambria"/>
        </w:rPr>
        <w:t>market will not move beyond the limit price without having the trade executed.</w:t>
      </w:r>
    </w:p>
    <w:p w:rsidR="00EE13F6" w:rsidRDefault="002E5BC4" w:rsidP="002E5BC4">
      <w:pPr>
        <w:numPr>
          <w:ilvl w:val="0"/>
          <w:numId w:val="13"/>
        </w:numPr>
        <w:spacing w:after="157" w:line="264" w:lineRule="auto"/>
        <w:ind w:right="477" w:hanging="279"/>
        <w:jc w:val="both"/>
      </w:pPr>
      <w:r>
        <w:rPr>
          <w:rFonts w:ascii="Cambria" w:eastAsia="Cambria" w:hAnsi="Cambria" w:cs="Cambria"/>
          <w:i/>
        </w:rPr>
        <w:t>dS</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σ W</w:t>
      </w:r>
      <w:r>
        <w:rPr>
          <w:rFonts w:ascii="Cambria" w:eastAsia="Cambria" w:hAnsi="Cambria" w:cs="Cambria"/>
          <w:i/>
          <w:vertAlign w:val="subscript"/>
        </w:rPr>
        <w:t xml:space="preserve">t </w:t>
      </w:r>
      <w:r>
        <w:rPr>
          <w:rFonts w:ascii="Cambria" w:eastAsia="Cambria" w:hAnsi="Cambria" w:cs="Cambria"/>
        </w:rPr>
        <w:t xml:space="preserve">where </w:t>
      </w:r>
      <w:r>
        <w:rPr>
          <w:rFonts w:ascii="Cambria" w:eastAsia="Cambria" w:hAnsi="Cambria" w:cs="Cambria"/>
          <w:i/>
        </w:rPr>
        <w:t>W</w:t>
      </w:r>
      <w:r>
        <w:rPr>
          <w:rFonts w:ascii="Cambria" w:eastAsia="Cambria" w:hAnsi="Cambria" w:cs="Cambria"/>
          <w:i/>
          <w:vertAlign w:val="subscript"/>
        </w:rPr>
        <w:t xml:space="preserve">t </w:t>
      </w:r>
      <w:r>
        <w:rPr>
          <w:rFonts w:ascii="Cambria" w:eastAsia="Cambria" w:hAnsi="Cambria" w:cs="Cambria"/>
        </w:rPr>
        <w:t xml:space="preserve">is a standard Wiener process and </w:t>
      </w:r>
      <w:r>
        <w:rPr>
          <w:rFonts w:ascii="Cambria" w:eastAsia="Cambria" w:hAnsi="Cambria" w:cs="Cambria"/>
          <w:i/>
        </w:rPr>
        <w:t xml:space="preserve">σ </w:t>
      </w:r>
      <w:r>
        <w:rPr>
          <w:rFonts w:ascii="Cambria" w:eastAsia="Cambria" w:hAnsi="Cambria" w:cs="Cambria"/>
        </w:rPr>
        <w:t>is the constant volatility. Consequently this is not a standard log-normal volatility.</w:t>
      </w:r>
    </w:p>
    <w:p w:rsidR="00EE13F6" w:rsidRDefault="002E5BC4" w:rsidP="002E5BC4">
      <w:pPr>
        <w:numPr>
          <w:ilvl w:val="0"/>
          <w:numId w:val="13"/>
        </w:numPr>
        <w:spacing w:after="133" w:line="264" w:lineRule="auto"/>
        <w:ind w:right="477" w:hanging="279"/>
        <w:jc w:val="both"/>
      </w:pPr>
      <w:r>
        <w:rPr>
          <w:rFonts w:ascii="Cambria" w:eastAsia="Cambria" w:hAnsi="Cambria" w:cs="Cambria"/>
        </w:rPr>
        <w:t>Trading intensity is defined as the</w:t>
      </w:r>
      <w:r>
        <w:rPr>
          <w:rFonts w:ascii="Cambria" w:eastAsia="Cambria" w:hAnsi="Cambria" w:cs="Cambria"/>
        </w:rPr>
        <w:t xml:space="preserve"> Poisson process intensity </w:t>
      </w:r>
      <w:r>
        <w:rPr>
          <w:rFonts w:ascii="Cambria" w:eastAsia="Cambria" w:hAnsi="Cambria" w:cs="Cambria"/>
          <w:i/>
        </w:rPr>
        <w:t>λ</w:t>
      </w:r>
      <w:r>
        <w:rPr>
          <w:rFonts w:ascii="Cambria" w:eastAsia="Cambria" w:hAnsi="Cambria" w:cs="Cambria"/>
        </w:rPr>
        <w:t>(</w:t>
      </w:r>
      <w:r>
        <w:rPr>
          <w:rFonts w:ascii="Cambria" w:eastAsia="Cambria" w:hAnsi="Cambria" w:cs="Cambria"/>
          <w:i/>
        </w:rPr>
        <w:t>δ</w:t>
      </w:r>
      <w:r>
        <w:rPr>
          <w:rFonts w:ascii="Cambria" w:eastAsia="Cambria" w:hAnsi="Cambria" w:cs="Cambria"/>
        </w:rPr>
        <w:t xml:space="preserve">) at which a ”limit” order will be executed as a function of its distance </w:t>
      </w:r>
      <w:r>
        <w:rPr>
          <w:rFonts w:ascii="Cambria" w:eastAsia="Cambria" w:hAnsi="Cambria" w:cs="Cambria"/>
          <w:i/>
        </w:rPr>
        <w:t xml:space="preserve">δ </w:t>
      </w:r>
      <w:r>
        <w:rPr>
          <w:rFonts w:ascii="Cambria" w:eastAsia="Cambria" w:hAnsi="Cambria" w:cs="Cambria"/>
        </w:rPr>
        <w:t>to the mid-price quoted by the market-maker.</w:t>
      </w:r>
    </w:p>
    <w:p w:rsidR="00EE13F6" w:rsidRDefault="002E5BC4">
      <w:pPr>
        <w:spacing w:after="133" w:line="264" w:lineRule="auto"/>
        <w:ind w:left="19" w:right="477" w:hanging="10"/>
        <w:jc w:val="both"/>
      </w:pPr>
      <w:r>
        <w:rPr>
          <w:rFonts w:ascii="Cambria" w:eastAsia="Cambria" w:hAnsi="Cambria" w:cs="Cambria"/>
        </w:rPr>
        <w:t>The frequency of market-orders is considered constant. In this model and in ”real life”, the closer the ’</w:t>
      </w:r>
      <w:r>
        <w:rPr>
          <w:rFonts w:ascii="Cambria" w:eastAsia="Cambria" w:hAnsi="Cambria" w:cs="Cambria"/>
        </w:rPr>
        <w:t>limit’ order is to the mid-price, the better is the chance to have this order executed.</w:t>
      </w:r>
    </w:p>
    <w:p w:rsidR="00EE13F6" w:rsidRDefault="002E5BC4" w:rsidP="002E5BC4">
      <w:pPr>
        <w:numPr>
          <w:ilvl w:val="0"/>
          <w:numId w:val="13"/>
        </w:numPr>
        <w:spacing w:after="431" w:line="264" w:lineRule="auto"/>
        <w:ind w:right="477" w:hanging="279"/>
        <w:jc w:val="both"/>
      </w:pPr>
      <w:r>
        <w:rPr>
          <w:rFonts w:ascii="Cambria" w:eastAsia="Cambria" w:hAnsi="Cambria" w:cs="Cambria"/>
        </w:rPr>
        <w:t>The distribution of the size of market-orders obeys a power law such that:</w:t>
      </w:r>
    </w:p>
    <w:p w:rsidR="00EE13F6" w:rsidRDefault="002E5BC4">
      <w:pPr>
        <w:spacing w:after="211"/>
        <w:ind w:right="493"/>
        <w:jc w:val="center"/>
      </w:pPr>
      <w:r>
        <w:rPr>
          <w:rFonts w:ascii="Cambria" w:eastAsia="Cambria" w:hAnsi="Cambria" w:cs="Cambria"/>
          <w:i/>
        </w:rPr>
        <w:t>dP</w:t>
      </w:r>
      <w:r>
        <w:rPr>
          <w:rFonts w:ascii="Cambria" w:eastAsia="Cambria" w:hAnsi="Cambria" w:cs="Cambria"/>
          <w:i/>
          <w:sz w:val="16"/>
        </w:rPr>
        <w:t>Q</w:t>
      </w:r>
      <w:r>
        <w:rPr>
          <w:rFonts w:ascii="Cambria" w:eastAsia="Cambria" w:hAnsi="Cambria" w:cs="Cambria"/>
        </w:rPr>
        <w:t>(</w:t>
      </w:r>
      <w:r>
        <w:rPr>
          <w:rFonts w:ascii="Cambria" w:eastAsia="Cambria" w:hAnsi="Cambria" w:cs="Cambria"/>
          <w:i/>
        </w:rPr>
        <w:t>x</w:t>
      </w:r>
      <w:r>
        <w:rPr>
          <w:rFonts w:ascii="Cambria" w:eastAsia="Cambria" w:hAnsi="Cambria" w:cs="Cambria"/>
        </w:rPr>
        <w:t xml:space="preserve">) = </w:t>
      </w:r>
      <w:r>
        <w:rPr>
          <w:rFonts w:ascii="Cambria" w:eastAsia="Cambria" w:hAnsi="Cambria" w:cs="Cambria"/>
          <w:i/>
        </w:rPr>
        <w:t>K</w:t>
      </w:r>
      <w:r>
        <w:rPr>
          <w:rFonts w:ascii="Cambria" w:eastAsia="Cambria" w:hAnsi="Cambria" w:cs="Cambria"/>
          <w:sz w:val="16"/>
        </w:rPr>
        <w:t>1</w:t>
      </w:r>
      <w:r>
        <w:rPr>
          <w:rFonts w:ascii="Cambria" w:eastAsia="Cambria" w:hAnsi="Cambria" w:cs="Cambria"/>
          <w:i/>
        </w:rPr>
        <w:t>x</w:t>
      </w: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α</w:t>
      </w:r>
      <w:r>
        <w:rPr>
          <w:rFonts w:ascii="Cambria" w:eastAsia="Cambria" w:hAnsi="Cambria" w:cs="Cambria"/>
          <w:sz w:val="16"/>
        </w:rPr>
        <w:t>)</w:t>
      </w:r>
    </w:p>
    <w:p w:rsidR="00EE13F6" w:rsidRDefault="002E5BC4">
      <w:pPr>
        <w:spacing w:after="458" w:line="264" w:lineRule="auto"/>
        <w:ind w:left="19" w:right="477" w:hanging="10"/>
        <w:jc w:val="both"/>
      </w:pPr>
      <w:r>
        <w:rPr>
          <w:rFonts w:ascii="Cambria" w:eastAsia="Cambria" w:hAnsi="Cambria" w:cs="Cambria"/>
        </w:rPr>
        <w:t xml:space="preserve">where </w:t>
      </w:r>
      <w:r>
        <w:rPr>
          <w:rFonts w:ascii="Cambria" w:eastAsia="Cambria" w:hAnsi="Cambria" w:cs="Cambria"/>
          <w:i/>
        </w:rPr>
        <w:t>K</w:t>
      </w:r>
      <w:r>
        <w:rPr>
          <w:rFonts w:ascii="Cambria" w:eastAsia="Cambria" w:hAnsi="Cambria" w:cs="Cambria"/>
          <w:vertAlign w:val="subscript"/>
        </w:rPr>
        <w:t xml:space="preserve">1 </w:t>
      </w:r>
      <w:r>
        <w:rPr>
          <w:rFonts w:ascii="Cambria" w:eastAsia="Cambria" w:hAnsi="Cambria" w:cs="Cambria"/>
        </w:rPr>
        <w:t>is a constant.</w:t>
      </w:r>
    </w:p>
    <w:p w:rsidR="00EE13F6" w:rsidRDefault="002E5BC4">
      <w:pPr>
        <w:spacing w:after="142" w:line="262" w:lineRule="auto"/>
        <w:ind w:left="10" w:right="483" w:hanging="10"/>
        <w:jc w:val="center"/>
      </w:pPr>
      <w:r>
        <w:rPr>
          <w:rFonts w:ascii="Cambria" w:eastAsia="Cambria" w:hAnsi="Cambria" w:cs="Cambria"/>
        </w:rPr>
        <w:t>∆</w:t>
      </w:r>
      <w:r>
        <w:rPr>
          <w:rFonts w:ascii="Cambria" w:eastAsia="Cambria" w:hAnsi="Cambria" w:cs="Cambria"/>
          <w:i/>
        </w:rPr>
        <w:t xml:space="preserve">p </w:t>
      </w:r>
      <w:r>
        <w:rPr>
          <w:rFonts w:ascii="Cambria" w:eastAsia="Cambria" w:hAnsi="Cambria" w:cs="Cambria"/>
        </w:rPr>
        <w:t xml:space="preserve">= </w:t>
      </w:r>
      <w:r>
        <w:rPr>
          <w:rFonts w:ascii="Cambria" w:eastAsia="Cambria" w:hAnsi="Cambria" w:cs="Cambria"/>
          <w:i/>
        </w:rPr>
        <w:t>K</w:t>
      </w:r>
      <w:r>
        <w:rPr>
          <w:rFonts w:ascii="Cambria" w:eastAsia="Cambria" w:hAnsi="Cambria" w:cs="Cambria"/>
          <w:vertAlign w:val="subscript"/>
        </w:rPr>
        <w:t xml:space="preserve">2 </w:t>
      </w:r>
      <w:r>
        <w:rPr>
          <w:rFonts w:ascii="Cambria" w:eastAsia="Cambria" w:hAnsi="Cambria" w:cs="Cambria"/>
        </w:rPr>
        <w:t>ln(</w:t>
      </w:r>
      <w:r>
        <w:rPr>
          <w:rFonts w:ascii="Cambria" w:eastAsia="Cambria" w:hAnsi="Cambria" w:cs="Cambria"/>
          <w:i/>
        </w:rPr>
        <w:t>Q</w:t>
      </w:r>
      <w:r>
        <w:rPr>
          <w:rFonts w:ascii="Cambria" w:eastAsia="Cambria" w:hAnsi="Cambria" w:cs="Cambria"/>
        </w:rPr>
        <w:t>)</w:t>
      </w:r>
    </w:p>
    <w:p w:rsidR="00EE13F6" w:rsidRDefault="002E5BC4">
      <w:pPr>
        <w:spacing w:after="133" w:line="264" w:lineRule="auto"/>
        <w:ind w:left="19" w:right="477" w:hanging="10"/>
        <w:jc w:val="both"/>
      </w:pPr>
      <w:r>
        <w:rPr>
          <w:rFonts w:ascii="Cambria" w:eastAsia="Cambria" w:hAnsi="Cambria" w:cs="Cambria"/>
        </w:rPr>
        <w:t>where ∆</w:t>
      </w:r>
      <w:r>
        <w:rPr>
          <w:rFonts w:ascii="Cambria" w:eastAsia="Cambria" w:hAnsi="Cambria" w:cs="Cambria"/>
          <w:i/>
        </w:rPr>
        <w:t xml:space="preserve">p </w:t>
      </w:r>
      <w:r>
        <w:rPr>
          <w:rFonts w:ascii="Cambria" w:eastAsia="Cambria" w:hAnsi="Cambria" w:cs="Cambria"/>
        </w:rPr>
        <w:t xml:space="preserve">is the absolute price change following a market order of size </w:t>
      </w:r>
      <w:r>
        <w:rPr>
          <w:rFonts w:ascii="Cambria" w:eastAsia="Cambria" w:hAnsi="Cambria" w:cs="Cambria"/>
          <w:i/>
        </w:rPr>
        <w:t>Q</w:t>
      </w:r>
      <w:r>
        <w:rPr>
          <w:rFonts w:ascii="Cambria" w:eastAsia="Cambria" w:hAnsi="Cambria" w:cs="Cambria"/>
        </w:rPr>
        <w:t>.</w:t>
      </w:r>
    </w:p>
    <w:p w:rsidR="00EE13F6" w:rsidRDefault="002E5BC4">
      <w:pPr>
        <w:spacing w:after="164" w:line="264" w:lineRule="auto"/>
        <w:ind w:left="19" w:right="477" w:hanging="10"/>
        <w:jc w:val="both"/>
      </w:pPr>
      <w:r>
        <w:rPr>
          <w:rFonts w:ascii="Cambria" w:eastAsia="Cambria" w:hAnsi="Cambria" w:cs="Cambria"/>
        </w:rPr>
        <w:t>The market-maker’s behavior in such markets can be described by the Hamilton Jacobi Bellman equation (HJB) (see Ho and Stoll (1980)).</w:t>
      </w:r>
    </w:p>
    <w:p w:rsidR="00EE13F6" w:rsidRDefault="002E5BC4">
      <w:pPr>
        <w:spacing w:after="133" w:line="264" w:lineRule="auto"/>
        <w:ind w:left="19" w:right="477" w:hanging="10"/>
        <w:jc w:val="both"/>
      </w:pPr>
      <w:r>
        <w:rPr>
          <w:rFonts w:ascii="Cambria" w:eastAsia="Cambria" w:hAnsi="Cambria" w:cs="Cambria"/>
        </w:rPr>
        <w:t xml:space="preserve">The HJB equation tries to maximize the utility function by finding the optimal values </w:t>
      </w:r>
      <w:r>
        <w:rPr>
          <w:rFonts w:ascii="Cambria" w:eastAsia="Cambria" w:hAnsi="Cambria" w:cs="Cambria"/>
          <w:i/>
        </w:rPr>
        <w:t>δ</w:t>
      </w:r>
      <w:r>
        <w:rPr>
          <w:rFonts w:ascii="Cambria" w:eastAsia="Cambria" w:hAnsi="Cambria" w:cs="Cambria"/>
          <w:i/>
          <w:vertAlign w:val="superscript"/>
        </w:rPr>
        <w:t xml:space="preserve">a </w:t>
      </w:r>
      <w:r>
        <w:rPr>
          <w:rFonts w:ascii="Cambria" w:eastAsia="Cambria" w:hAnsi="Cambria" w:cs="Cambria"/>
        </w:rPr>
        <w:t xml:space="preserve">and </w:t>
      </w:r>
      <w:r>
        <w:rPr>
          <w:rFonts w:ascii="Cambria" w:eastAsia="Cambria" w:hAnsi="Cambria" w:cs="Cambria"/>
          <w:i/>
        </w:rPr>
        <w:t>δ</w:t>
      </w:r>
      <w:r>
        <w:rPr>
          <w:rFonts w:ascii="Cambria" w:eastAsia="Cambria" w:hAnsi="Cambria" w:cs="Cambria"/>
          <w:i/>
          <w:vertAlign w:val="superscript"/>
        </w:rPr>
        <w:t xml:space="preserve">b </w:t>
      </w:r>
      <w:r>
        <w:rPr>
          <w:rFonts w:ascii="Cambria" w:eastAsia="Cambria" w:hAnsi="Cambria" w:cs="Cambria"/>
        </w:rPr>
        <w:t>which designate the respective distances of the asking and bid prices to the reservation price.</w:t>
      </w:r>
    </w:p>
    <w:p w:rsidR="00EE13F6" w:rsidRDefault="002E5BC4">
      <w:pPr>
        <w:spacing w:after="167" w:line="264" w:lineRule="auto"/>
        <w:ind w:left="19" w:right="477" w:hanging="10"/>
        <w:jc w:val="both"/>
      </w:pPr>
      <w:r>
        <w:rPr>
          <w:rFonts w:ascii="Cambria" w:eastAsia="Cambria" w:hAnsi="Cambria" w:cs="Cambria"/>
        </w:rPr>
        <w:t>Those values are commanding directly:</w:t>
      </w:r>
    </w:p>
    <w:p w:rsidR="00EE13F6" w:rsidRDefault="002E5BC4" w:rsidP="002E5BC4">
      <w:pPr>
        <w:numPr>
          <w:ilvl w:val="0"/>
          <w:numId w:val="14"/>
        </w:numPr>
        <w:spacing w:after="228" w:line="264" w:lineRule="auto"/>
        <w:ind w:right="477" w:hanging="279"/>
        <w:jc w:val="both"/>
      </w:pPr>
      <w:r>
        <w:rPr>
          <w:rFonts w:ascii="Cambria" w:eastAsia="Cambria" w:hAnsi="Cambria" w:cs="Cambria"/>
        </w:rPr>
        <w:t>The execution intensity pr</w:t>
      </w:r>
      <w:r>
        <w:rPr>
          <w:rFonts w:ascii="Cambria" w:eastAsia="Cambria" w:hAnsi="Cambria" w:cs="Cambria"/>
        </w:rPr>
        <w:t xml:space="preserve">ocess </w:t>
      </w:r>
      <w:r>
        <w:rPr>
          <w:rFonts w:ascii="Cambria" w:eastAsia="Cambria" w:hAnsi="Cambria" w:cs="Cambria"/>
          <w:i/>
        </w:rPr>
        <w:t>λ</w:t>
      </w:r>
      <w:r>
        <w:rPr>
          <w:rFonts w:ascii="Cambria" w:eastAsia="Cambria" w:hAnsi="Cambria" w:cs="Cambria"/>
          <w:vertAlign w:val="subscript"/>
        </w:rPr>
        <w:t>(</w:t>
      </w:r>
      <w:r>
        <w:rPr>
          <w:rFonts w:ascii="Cambria" w:eastAsia="Cambria" w:hAnsi="Cambria" w:cs="Cambria"/>
          <w:i/>
        </w:rPr>
        <w:t>δ</w:t>
      </w:r>
      <w:r>
        <w:rPr>
          <w:rFonts w:ascii="Cambria" w:eastAsia="Cambria" w:hAnsi="Cambria" w:cs="Cambria"/>
          <w:i/>
          <w:vertAlign w:val="superscript"/>
        </w:rPr>
        <w:t>a</w:t>
      </w:r>
      <w:r>
        <w:rPr>
          <w:rFonts w:ascii="Cambria" w:eastAsia="Cambria" w:hAnsi="Cambria" w:cs="Cambria"/>
        </w:rPr>
        <w:t>) at which the sell orders are executed.</w:t>
      </w:r>
    </w:p>
    <w:p w:rsidR="00EE13F6" w:rsidRDefault="002E5BC4" w:rsidP="002E5BC4">
      <w:pPr>
        <w:numPr>
          <w:ilvl w:val="0"/>
          <w:numId w:val="14"/>
        </w:numPr>
        <w:spacing w:after="196" w:line="264" w:lineRule="auto"/>
        <w:ind w:right="477" w:hanging="279"/>
        <w:jc w:val="both"/>
      </w:pPr>
      <w:r>
        <w:rPr>
          <w:rFonts w:ascii="Cambria" w:eastAsia="Cambria" w:hAnsi="Cambria" w:cs="Cambria"/>
        </w:rPr>
        <w:t xml:space="preserve">The execution intensity process </w:t>
      </w:r>
      <w:r>
        <w:rPr>
          <w:rFonts w:ascii="Cambria" w:eastAsia="Cambria" w:hAnsi="Cambria" w:cs="Cambria"/>
          <w:i/>
        </w:rPr>
        <w:t>λ</w:t>
      </w:r>
      <w:r>
        <w:rPr>
          <w:rFonts w:ascii="Cambria" w:eastAsia="Cambria" w:hAnsi="Cambria" w:cs="Cambria"/>
          <w:vertAlign w:val="subscript"/>
        </w:rPr>
        <w:t>(</w:t>
      </w:r>
      <w:r>
        <w:rPr>
          <w:rFonts w:ascii="Cambria" w:eastAsia="Cambria" w:hAnsi="Cambria" w:cs="Cambria"/>
          <w:i/>
        </w:rPr>
        <w:t>δ</w:t>
      </w:r>
      <w:r>
        <w:rPr>
          <w:rFonts w:ascii="Cambria" w:eastAsia="Cambria" w:hAnsi="Cambria" w:cs="Cambria"/>
          <w:i/>
          <w:vertAlign w:val="superscript"/>
        </w:rPr>
        <w:t>b</w:t>
      </w:r>
      <w:r>
        <w:rPr>
          <w:rFonts w:ascii="Cambria" w:eastAsia="Cambria" w:hAnsi="Cambria" w:cs="Cambria"/>
        </w:rPr>
        <w:t>) at which the buy orders are executed.</w:t>
      </w:r>
    </w:p>
    <w:p w:rsidR="00EE13F6" w:rsidRDefault="002E5BC4">
      <w:pPr>
        <w:spacing w:after="718" w:line="264" w:lineRule="auto"/>
        <w:ind w:left="19" w:right="477" w:hanging="10"/>
        <w:jc w:val="both"/>
      </w:pPr>
      <w:r>
        <w:rPr>
          <w:rFonts w:ascii="Cambria" w:eastAsia="Cambria" w:hAnsi="Cambria" w:cs="Cambria"/>
        </w:rPr>
        <w:t xml:space="preserve">Those values of </w:t>
      </w:r>
      <w:r>
        <w:rPr>
          <w:rFonts w:ascii="Cambria" w:eastAsia="Cambria" w:hAnsi="Cambria" w:cs="Cambria"/>
          <w:i/>
        </w:rPr>
        <w:t xml:space="preserve">λ </w:t>
      </w:r>
      <w:r>
        <w:rPr>
          <w:rFonts w:ascii="Cambria" w:eastAsia="Cambria" w:hAnsi="Cambria" w:cs="Cambria"/>
        </w:rPr>
        <w:t>are linked to the micro-structure parameters:</w:t>
      </w:r>
    </w:p>
    <w:p w:rsidR="00EE13F6" w:rsidRDefault="002E5BC4">
      <w:pPr>
        <w:spacing w:after="286" w:line="262" w:lineRule="auto"/>
        <w:ind w:left="10" w:right="483" w:hanging="10"/>
        <w:jc w:val="center"/>
      </w:pPr>
      <w:r>
        <w:rPr>
          <w:rFonts w:ascii="Cambria" w:eastAsia="Cambria" w:hAnsi="Cambria" w:cs="Cambria"/>
          <w:i/>
        </w:rPr>
        <w:t>λ</w:t>
      </w:r>
      <w:r>
        <w:rPr>
          <w:rFonts w:ascii="Cambria" w:eastAsia="Cambria" w:hAnsi="Cambria" w:cs="Cambria"/>
        </w:rPr>
        <w:t>(</w:t>
      </w:r>
      <w:r>
        <w:rPr>
          <w:rFonts w:ascii="Cambria" w:eastAsia="Cambria" w:hAnsi="Cambria" w:cs="Cambria"/>
          <w:i/>
        </w:rPr>
        <w:t>δ</w:t>
      </w:r>
      <w:r>
        <w:rPr>
          <w:rFonts w:ascii="Cambria" w:eastAsia="Cambria" w:hAnsi="Cambria" w:cs="Cambria"/>
        </w:rPr>
        <w:t>) = Λ</w:t>
      </w:r>
      <w:r>
        <w:rPr>
          <w:rFonts w:ascii="Cambria" w:eastAsia="Cambria" w:hAnsi="Cambria" w:cs="Cambria"/>
          <w:i/>
        </w:rPr>
        <w:t>P</w:t>
      </w:r>
      <w:r>
        <w:rPr>
          <w:rFonts w:ascii="Cambria" w:eastAsia="Cambria" w:hAnsi="Cambria" w:cs="Cambria"/>
        </w:rPr>
        <w:t>(∆</w:t>
      </w:r>
      <w:r>
        <w:rPr>
          <w:rFonts w:ascii="Cambria" w:eastAsia="Cambria" w:hAnsi="Cambria" w:cs="Cambria"/>
          <w:i/>
        </w:rPr>
        <w:t>p &gt; δ</w:t>
      </w:r>
      <w:r>
        <w:rPr>
          <w:rFonts w:ascii="Cambria" w:eastAsia="Cambria" w:hAnsi="Cambria" w:cs="Cambria"/>
        </w:rPr>
        <w:t>)</w:t>
      </w:r>
    </w:p>
    <w:p w:rsidR="00EE13F6" w:rsidRDefault="002E5BC4">
      <w:pPr>
        <w:spacing w:after="157" w:line="262" w:lineRule="auto"/>
        <w:ind w:left="10" w:right="483" w:hanging="10"/>
        <w:jc w:val="center"/>
      </w:pPr>
      <w:r>
        <w:rPr>
          <w:rFonts w:ascii="Cambria" w:eastAsia="Cambria" w:hAnsi="Cambria" w:cs="Cambria"/>
        </w:rPr>
        <w:t>= Λ</w:t>
      </w:r>
      <w:r>
        <w:rPr>
          <w:rFonts w:ascii="Cambria" w:eastAsia="Cambria" w:hAnsi="Cambria" w:cs="Cambria"/>
          <w:i/>
        </w:rPr>
        <w:t>P</w:t>
      </w:r>
      <w:r>
        <w:rPr>
          <w:rFonts w:ascii="Cambria" w:eastAsia="Cambria" w:hAnsi="Cambria" w:cs="Cambria"/>
        </w:rPr>
        <w:t>(ln(</w:t>
      </w:r>
      <w:r>
        <w:rPr>
          <w:rFonts w:ascii="Cambria" w:eastAsia="Cambria" w:hAnsi="Cambria" w:cs="Cambria"/>
          <w:i/>
        </w:rPr>
        <w:t>Q</w:t>
      </w:r>
      <w:r>
        <w:rPr>
          <w:rFonts w:ascii="Cambria" w:eastAsia="Cambria" w:hAnsi="Cambria" w:cs="Cambria"/>
        </w:rPr>
        <w:t xml:space="preserve">) </w:t>
      </w:r>
      <w:r>
        <w:rPr>
          <w:rFonts w:ascii="Cambria" w:eastAsia="Cambria" w:hAnsi="Cambria" w:cs="Cambria"/>
          <w:i/>
        </w:rPr>
        <w:t>&gt; Kδ</w:t>
      </w:r>
      <w:r>
        <w:rPr>
          <w:rFonts w:ascii="Cambria" w:eastAsia="Cambria" w:hAnsi="Cambria" w:cs="Cambria"/>
        </w:rPr>
        <w:t>)</w:t>
      </w:r>
    </w:p>
    <w:p w:rsidR="00EE13F6" w:rsidRDefault="002E5BC4">
      <w:pPr>
        <w:spacing w:after="408" w:line="262" w:lineRule="auto"/>
        <w:ind w:left="10" w:right="483" w:hanging="10"/>
        <w:jc w:val="center"/>
      </w:pPr>
      <w:r>
        <w:rPr>
          <w:rFonts w:ascii="Cambria" w:eastAsia="Cambria" w:hAnsi="Cambria" w:cs="Cambria"/>
        </w:rPr>
        <w:t>= Λ</w:t>
      </w:r>
      <w:r>
        <w:rPr>
          <w:rFonts w:ascii="Cambria" w:eastAsia="Cambria" w:hAnsi="Cambria" w:cs="Cambria"/>
          <w:i/>
        </w:rPr>
        <w:t>P</w:t>
      </w:r>
      <w:r>
        <w:rPr>
          <w:rFonts w:ascii="Cambria" w:eastAsia="Cambria" w:hAnsi="Cambria" w:cs="Cambria"/>
        </w:rPr>
        <w:t>(</w:t>
      </w:r>
      <w:r>
        <w:rPr>
          <w:rFonts w:ascii="Cambria" w:eastAsia="Cambria" w:hAnsi="Cambria" w:cs="Cambria"/>
          <w:i/>
        </w:rPr>
        <w:t xml:space="preserve">Q &gt; </w:t>
      </w:r>
      <w:r>
        <w:rPr>
          <w:rFonts w:ascii="Cambria" w:eastAsia="Cambria" w:hAnsi="Cambria" w:cs="Cambria"/>
        </w:rPr>
        <w:t>exp(</w:t>
      </w:r>
      <w:r>
        <w:rPr>
          <w:rFonts w:ascii="Cambria" w:eastAsia="Cambria" w:hAnsi="Cambria" w:cs="Cambria"/>
          <w:i/>
        </w:rPr>
        <w:t>Kδ</w:t>
      </w:r>
      <w:r>
        <w:rPr>
          <w:rFonts w:ascii="Cambria" w:eastAsia="Cambria" w:hAnsi="Cambria" w:cs="Cambria"/>
        </w:rPr>
        <w:t>))</w:t>
      </w:r>
    </w:p>
    <w:p w:rsidR="00EE13F6" w:rsidRDefault="002E5BC4">
      <w:pPr>
        <w:spacing w:after="423"/>
        <w:ind w:left="3594"/>
      </w:pPr>
      <w:r>
        <w:rPr>
          <w:noProof/>
        </w:rPr>
        <w:drawing>
          <wp:inline distT="0" distB="0" distL="0" distR="0">
            <wp:extent cx="1371600" cy="350520"/>
            <wp:effectExtent l="0" t="0" r="0" b="0"/>
            <wp:docPr id="221845" name="Picture 221845"/>
            <wp:cNvGraphicFramePr/>
            <a:graphic xmlns:a="http://schemas.openxmlformats.org/drawingml/2006/main">
              <a:graphicData uri="http://schemas.openxmlformats.org/drawingml/2006/picture">
                <pic:pic xmlns:pic="http://schemas.openxmlformats.org/drawingml/2006/picture">
                  <pic:nvPicPr>
                    <pic:cNvPr id="221845" name="Picture 221845"/>
                    <pic:cNvPicPr/>
                  </pic:nvPicPr>
                  <pic:blipFill>
                    <a:blip r:embed="rId61"/>
                    <a:stretch>
                      <a:fillRect/>
                    </a:stretch>
                  </pic:blipFill>
                  <pic:spPr>
                    <a:xfrm>
                      <a:off x="0" y="0"/>
                      <a:ext cx="1371600" cy="350520"/>
                    </a:xfrm>
                    <a:prstGeom prst="rect">
                      <a:avLst/>
                    </a:prstGeom>
                  </pic:spPr>
                </pic:pic>
              </a:graphicData>
            </a:graphic>
          </wp:inline>
        </w:drawing>
      </w:r>
    </w:p>
    <w:p w:rsidR="00EE13F6" w:rsidRDefault="002E5BC4">
      <w:pPr>
        <w:tabs>
          <w:tab w:val="center" w:pos="4652"/>
          <w:tab w:val="center" w:pos="9166"/>
        </w:tabs>
        <w:spacing w:after="187" w:line="265" w:lineRule="auto"/>
      </w:pPr>
      <w:r>
        <w:tab/>
      </w:r>
      <w:r>
        <w:rPr>
          <w:noProof/>
        </w:rPr>
        <w:drawing>
          <wp:inline distT="0" distB="0" distL="0" distR="0">
            <wp:extent cx="1237488" cy="292608"/>
            <wp:effectExtent l="0" t="0" r="0" b="0"/>
            <wp:docPr id="221846" name="Picture 221846"/>
            <wp:cNvGraphicFramePr/>
            <a:graphic xmlns:a="http://schemas.openxmlformats.org/drawingml/2006/main">
              <a:graphicData uri="http://schemas.openxmlformats.org/drawingml/2006/picture">
                <pic:pic xmlns:pic="http://schemas.openxmlformats.org/drawingml/2006/picture">
                  <pic:nvPicPr>
                    <pic:cNvPr id="221846" name="Picture 221846"/>
                    <pic:cNvPicPr/>
                  </pic:nvPicPr>
                  <pic:blipFill>
                    <a:blip r:embed="rId62"/>
                    <a:stretch>
                      <a:fillRect/>
                    </a:stretch>
                  </pic:blipFill>
                  <pic:spPr>
                    <a:xfrm>
                      <a:off x="0" y="0"/>
                      <a:ext cx="1237488" cy="292608"/>
                    </a:xfrm>
                    <a:prstGeom prst="rect">
                      <a:avLst/>
                    </a:prstGeom>
                  </pic:spPr>
                </pic:pic>
              </a:graphicData>
            </a:graphic>
          </wp:inline>
        </w:drawing>
      </w:r>
      <w:r>
        <w:rPr>
          <w:rFonts w:ascii="Cambria" w:eastAsia="Cambria" w:hAnsi="Cambria" w:cs="Cambria"/>
        </w:rPr>
        <w:t>)</w:t>
      </w:r>
      <w:r>
        <w:rPr>
          <w:rFonts w:ascii="Cambria" w:eastAsia="Cambria" w:hAnsi="Cambria" w:cs="Cambria"/>
        </w:rPr>
        <w:tab/>
        <w:t>(11)</w:t>
      </w:r>
    </w:p>
    <w:p w:rsidR="00EE13F6" w:rsidRDefault="002E5BC4">
      <w:pPr>
        <w:spacing w:after="694" w:line="264" w:lineRule="auto"/>
        <w:ind w:left="19" w:right="477" w:hanging="10"/>
        <w:jc w:val="both"/>
      </w:pPr>
      <w:r>
        <w:rPr>
          <w:rFonts w:ascii="Cambria" w:eastAsia="Cambria" w:hAnsi="Cambria" w:cs="Cambria"/>
        </w:rPr>
        <w:lastRenderedPageBreak/>
        <w:t>According to Ho and Stoll, for instance, this leads to the resolution of the following Hamilton-Jacobi Bellman equation (using for simplicity sake, from now on, the notations of Avellaneda and Stoikov (2008))</w:t>
      </w:r>
    </w:p>
    <w:p w:rsidR="00EE13F6" w:rsidRDefault="002E5BC4">
      <w:pPr>
        <w:tabs>
          <w:tab w:val="center" w:pos="4731"/>
          <w:tab w:val="center" w:pos="9166"/>
        </w:tabs>
        <w:spacing w:after="357" w:line="265" w:lineRule="auto"/>
      </w:pPr>
      <w:r>
        <w:tab/>
      </w:r>
      <w:r>
        <w:rPr>
          <w:noProof/>
        </w:rPr>
        <w:drawing>
          <wp:inline distT="0" distB="0" distL="0" distR="0">
            <wp:extent cx="4047744" cy="728472"/>
            <wp:effectExtent l="0" t="0" r="0" b="0"/>
            <wp:docPr id="221847" name="Picture 221847"/>
            <wp:cNvGraphicFramePr/>
            <a:graphic xmlns:a="http://schemas.openxmlformats.org/drawingml/2006/main">
              <a:graphicData uri="http://schemas.openxmlformats.org/drawingml/2006/picture">
                <pic:pic xmlns:pic="http://schemas.openxmlformats.org/drawingml/2006/picture">
                  <pic:nvPicPr>
                    <pic:cNvPr id="221847" name="Picture 221847"/>
                    <pic:cNvPicPr/>
                  </pic:nvPicPr>
                  <pic:blipFill>
                    <a:blip r:embed="rId63"/>
                    <a:stretch>
                      <a:fillRect/>
                    </a:stretch>
                  </pic:blipFill>
                  <pic:spPr>
                    <a:xfrm>
                      <a:off x="0" y="0"/>
                      <a:ext cx="4047744" cy="728472"/>
                    </a:xfrm>
                    <a:prstGeom prst="rect">
                      <a:avLst/>
                    </a:prstGeom>
                  </pic:spPr>
                </pic:pic>
              </a:graphicData>
            </a:graphic>
          </wp:inline>
        </w:drawing>
      </w:r>
      <w:r>
        <w:rPr>
          <w:rFonts w:ascii="Cambria" w:eastAsia="Cambria" w:hAnsi="Cambria" w:cs="Cambria"/>
        </w:rPr>
        <w:tab/>
        <w:t>(12)</w:t>
      </w:r>
    </w:p>
    <w:p w:rsidR="00EE13F6" w:rsidRDefault="002E5BC4">
      <w:pPr>
        <w:spacing w:after="1626" w:line="262" w:lineRule="auto"/>
        <w:ind w:left="167" w:hanging="10"/>
        <w:jc w:val="center"/>
      </w:pPr>
      <w:r>
        <w:rPr>
          <w:rFonts w:ascii="Cambria" w:eastAsia="Cambria" w:hAnsi="Cambria" w:cs="Cambria"/>
          <w:i/>
        </w:rPr>
        <w:t>u</w:t>
      </w:r>
      <w:r>
        <w:rPr>
          <w:rFonts w:ascii="Cambria" w:eastAsia="Cambria" w:hAnsi="Cambria" w:cs="Cambria"/>
        </w:rPr>
        <w:t>(</w:t>
      </w:r>
      <w:r>
        <w:rPr>
          <w:rFonts w:ascii="Cambria" w:eastAsia="Cambria" w:hAnsi="Cambria" w:cs="Cambria"/>
          <w:i/>
        </w:rPr>
        <w:t>s,x,q,T</w:t>
      </w:r>
      <w:r>
        <w:rPr>
          <w:rFonts w:ascii="Cambria" w:eastAsia="Cambria" w:hAnsi="Cambria" w:cs="Cambria"/>
        </w:rPr>
        <w:t>) = −exp(−</w:t>
      </w:r>
      <w:r>
        <w:rPr>
          <w:rFonts w:ascii="Cambria" w:eastAsia="Cambria" w:hAnsi="Cambria" w:cs="Cambria"/>
          <w:i/>
        </w:rPr>
        <w:t>γ</w:t>
      </w:r>
      <w:r>
        <w:rPr>
          <w:rFonts w:ascii="Cambria" w:eastAsia="Cambria" w:hAnsi="Cambria" w:cs="Cambria"/>
        </w:rPr>
        <w:t>(</w:t>
      </w:r>
      <w:r>
        <w:rPr>
          <w:rFonts w:ascii="Cambria" w:eastAsia="Cambria" w:hAnsi="Cambria" w:cs="Cambria"/>
          <w:i/>
        </w:rPr>
        <w:t xml:space="preserve">x </w:t>
      </w:r>
      <w:r>
        <w:rPr>
          <w:rFonts w:ascii="Cambria" w:eastAsia="Cambria" w:hAnsi="Cambria" w:cs="Cambria"/>
        </w:rPr>
        <w:t xml:space="preserve">+ </w:t>
      </w:r>
      <w:r>
        <w:rPr>
          <w:rFonts w:ascii="Cambria" w:eastAsia="Cambria" w:hAnsi="Cambria" w:cs="Cambria"/>
          <w:i/>
        </w:rPr>
        <w:t>qs</w:t>
      </w:r>
      <w:r>
        <w:rPr>
          <w:rFonts w:ascii="Cambria" w:eastAsia="Cambria" w:hAnsi="Cambria" w:cs="Cambria"/>
        </w:rPr>
        <w:t>))</w:t>
      </w:r>
    </w:p>
    <w:p w:rsidR="00EE13F6" w:rsidRDefault="002E5BC4">
      <w:pPr>
        <w:spacing w:after="162" w:line="261" w:lineRule="auto"/>
        <w:ind w:left="-5" w:right="468" w:hanging="10"/>
        <w:jc w:val="both"/>
      </w:pPr>
      <w:r>
        <w:rPr>
          <w:rFonts w:ascii="Cambria" w:eastAsia="Cambria" w:hAnsi="Cambria" w:cs="Cambria"/>
          <w:b/>
        </w:rPr>
        <w:t>Resolutio</w:t>
      </w:r>
      <w:r>
        <w:rPr>
          <w:rFonts w:ascii="Cambria" w:eastAsia="Cambria" w:hAnsi="Cambria" w:cs="Cambria"/>
          <w:b/>
        </w:rPr>
        <w:t>n</w:t>
      </w:r>
    </w:p>
    <w:p w:rsidR="00EE13F6" w:rsidRDefault="002E5BC4">
      <w:pPr>
        <w:spacing w:after="243" w:line="264" w:lineRule="auto"/>
        <w:ind w:left="19" w:right="477" w:hanging="10"/>
        <w:jc w:val="both"/>
      </w:pPr>
      <w:r>
        <w:rPr>
          <w:rFonts w:ascii="Cambria" w:eastAsia="Cambria" w:hAnsi="Cambria" w:cs="Cambria"/>
        </w:rPr>
        <w:t xml:space="preserve">The HJB equation is usually simplified by using an ansatz </w:t>
      </w:r>
      <w:r>
        <w:rPr>
          <w:rFonts w:ascii="Cambria" w:eastAsia="Cambria" w:hAnsi="Cambria" w:cs="Cambria"/>
          <w:i/>
        </w:rPr>
        <w:t>θ</w:t>
      </w:r>
      <w:r>
        <w:rPr>
          <w:rFonts w:ascii="Cambria" w:eastAsia="Cambria" w:hAnsi="Cambria" w:cs="Cambria"/>
        </w:rPr>
        <w:t>(</w:t>
      </w:r>
      <w:r>
        <w:rPr>
          <w:rFonts w:ascii="Cambria" w:eastAsia="Cambria" w:hAnsi="Cambria" w:cs="Cambria"/>
          <w:i/>
        </w:rPr>
        <w:t>s,q,t</w:t>
      </w:r>
      <w:r>
        <w:rPr>
          <w:rFonts w:ascii="Cambria" w:eastAsia="Cambria" w:hAnsi="Cambria" w:cs="Cambria"/>
        </w:rPr>
        <w:t>) such that:</w:t>
      </w:r>
    </w:p>
    <w:p w:rsidR="00EE13F6" w:rsidRDefault="002E5BC4">
      <w:pPr>
        <w:spacing w:after="244" w:line="265" w:lineRule="auto"/>
        <w:ind w:left="167" w:right="640" w:hanging="10"/>
        <w:jc w:val="center"/>
      </w:pPr>
      <w:r>
        <w:rPr>
          <w:rFonts w:ascii="Cambria" w:eastAsia="Cambria" w:hAnsi="Cambria" w:cs="Cambria"/>
          <w:i/>
        </w:rPr>
        <w:t>u</w:t>
      </w:r>
      <w:r>
        <w:rPr>
          <w:rFonts w:ascii="Cambria" w:eastAsia="Cambria" w:hAnsi="Cambria" w:cs="Cambria"/>
        </w:rPr>
        <w:t>(</w:t>
      </w:r>
      <w:r>
        <w:rPr>
          <w:rFonts w:ascii="Cambria" w:eastAsia="Cambria" w:hAnsi="Cambria" w:cs="Cambria"/>
          <w:i/>
        </w:rPr>
        <w:t>s,x,q,t</w:t>
      </w:r>
      <w:r>
        <w:rPr>
          <w:rFonts w:ascii="Cambria" w:eastAsia="Cambria" w:hAnsi="Cambria" w:cs="Cambria"/>
        </w:rPr>
        <w:t>) = −exp(−</w:t>
      </w:r>
      <w:r>
        <w:rPr>
          <w:rFonts w:ascii="Cambria" w:eastAsia="Cambria" w:hAnsi="Cambria" w:cs="Cambria"/>
          <w:i/>
        </w:rPr>
        <w:t>γx</w:t>
      </w:r>
      <w:r>
        <w:rPr>
          <w:rFonts w:ascii="Cambria" w:eastAsia="Cambria" w:hAnsi="Cambria" w:cs="Cambria"/>
        </w:rPr>
        <w:t>)exp(−</w:t>
      </w:r>
      <w:r>
        <w:rPr>
          <w:rFonts w:ascii="Cambria" w:eastAsia="Cambria" w:hAnsi="Cambria" w:cs="Cambria"/>
          <w:i/>
        </w:rPr>
        <w:t>γθ</w:t>
      </w:r>
      <w:r>
        <w:rPr>
          <w:rFonts w:ascii="Cambria" w:eastAsia="Cambria" w:hAnsi="Cambria" w:cs="Cambria"/>
        </w:rPr>
        <w:t>(</w:t>
      </w:r>
      <w:r>
        <w:rPr>
          <w:rFonts w:ascii="Cambria" w:eastAsia="Cambria" w:hAnsi="Cambria" w:cs="Cambria"/>
          <w:i/>
        </w:rPr>
        <w:t>s,q,t</w:t>
      </w:r>
      <w:r>
        <w:rPr>
          <w:rFonts w:ascii="Cambria" w:eastAsia="Cambria" w:hAnsi="Cambria" w:cs="Cambria"/>
        </w:rPr>
        <w:t>))</w:t>
      </w:r>
    </w:p>
    <w:p w:rsidR="00EE13F6" w:rsidRDefault="002E5BC4">
      <w:pPr>
        <w:spacing w:after="692" w:line="264" w:lineRule="auto"/>
        <w:ind w:left="19" w:right="477" w:hanging="10"/>
        <w:jc w:val="both"/>
      </w:pPr>
      <w:r>
        <w:rPr>
          <w:rFonts w:ascii="Cambria" w:eastAsia="Cambria" w:hAnsi="Cambria" w:cs="Cambria"/>
        </w:rPr>
        <w:t xml:space="preserve">This leads to a PDE in </w:t>
      </w:r>
      <w:r>
        <w:rPr>
          <w:rFonts w:ascii="Cambria" w:eastAsia="Cambria" w:hAnsi="Cambria" w:cs="Cambria"/>
          <w:i/>
        </w:rPr>
        <w:t xml:space="preserve">θ </w:t>
      </w:r>
      <w:r>
        <w:rPr>
          <w:rFonts w:ascii="Cambria" w:eastAsia="Cambria" w:hAnsi="Cambria" w:cs="Cambria"/>
        </w:rPr>
        <w:t>as follows:</w:t>
      </w:r>
    </w:p>
    <w:p w:rsidR="00EE13F6" w:rsidRDefault="002E5BC4">
      <w:pPr>
        <w:tabs>
          <w:tab w:val="center" w:pos="4713"/>
          <w:tab w:val="center" w:pos="9166"/>
        </w:tabs>
        <w:spacing w:after="338" w:line="265" w:lineRule="auto"/>
      </w:pPr>
      <w:r>
        <w:tab/>
      </w:r>
      <w:r>
        <w:rPr>
          <w:noProof/>
        </w:rPr>
        <w:drawing>
          <wp:inline distT="0" distB="0" distL="0" distR="0">
            <wp:extent cx="3596640" cy="728473"/>
            <wp:effectExtent l="0" t="0" r="0" b="0"/>
            <wp:docPr id="221848" name="Picture 221848"/>
            <wp:cNvGraphicFramePr/>
            <a:graphic xmlns:a="http://schemas.openxmlformats.org/drawingml/2006/main">
              <a:graphicData uri="http://schemas.openxmlformats.org/drawingml/2006/picture">
                <pic:pic xmlns:pic="http://schemas.openxmlformats.org/drawingml/2006/picture">
                  <pic:nvPicPr>
                    <pic:cNvPr id="221848" name="Picture 221848"/>
                    <pic:cNvPicPr/>
                  </pic:nvPicPr>
                  <pic:blipFill>
                    <a:blip r:embed="rId64"/>
                    <a:stretch>
                      <a:fillRect/>
                    </a:stretch>
                  </pic:blipFill>
                  <pic:spPr>
                    <a:xfrm>
                      <a:off x="0" y="0"/>
                      <a:ext cx="3596640" cy="728473"/>
                    </a:xfrm>
                    <a:prstGeom prst="rect">
                      <a:avLst/>
                    </a:prstGeom>
                  </pic:spPr>
                </pic:pic>
              </a:graphicData>
            </a:graphic>
          </wp:inline>
        </w:drawing>
      </w:r>
      <w:r>
        <w:rPr>
          <w:rFonts w:ascii="Cambria" w:eastAsia="Cambria" w:hAnsi="Cambria" w:cs="Cambria"/>
        </w:rPr>
        <w:tab/>
        <w:t>(13)</w:t>
      </w:r>
    </w:p>
    <w:p w:rsidR="00EE13F6" w:rsidRDefault="002E5BC4">
      <w:pPr>
        <w:spacing w:after="244" w:line="265" w:lineRule="auto"/>
        <w:ind w:left="167" w:hanging="10"/>
        <w:jc w:val="center"/>
      </w:pPr>
      <w:r>
        <w:rPr>
          <w:rFonts w:ascii="Cambria" w:eastAsia="Cambria" w:hAnsi="Cambria" w:cs="Cambria"/>
          <w:i/>
        </w:rPr>
        <w:t>θ</w:t>
      </w:r>
      <w:r>
        <w:rPr>
          <w:rFonts w:ascii="Cambria" w:eastAsia="Cambria" w:hAnsi="Cambria" w:cs="Cambria"/>
        </w:rPr>
        <w:t>(</w:t>
      </w:r>
      <w:r>
        <w:rPr>
          <w:rFonts w:ascii="Cambria" w:eastAsia="Cambria" w:hAnsi="Cambria" w:cs="Cambria"/>
          <w:i/>
        </w:rPr>
        <w:t>s,q,T</w:t>
      </w:r>
      <w:r>
        <w:rPr>
          <w:rFonts w:ascii="Cambria" w:eastAsia="Cambria" w:hAnsi="Cambria" w:cs="Cambria"/>
        </w:rPr>
        <w:t xml:space="preserve">) = </w:t>
      </w:r>
      <w:r>
        <w:rPr>
          <w:rFonts w:ascii="Cambria" w:eastAsia="Cambria" w:hAnsi="Cambria" w:cs="Cambria"/>
          <w:i/>
        </w:rPr>
        <w:t>qs</w:t>
      </w:r>
    </w:p>
    <w:p w:rsidR="00EE13F6" w:rsidRDefault="002E5BC4">
      <w:pPr>
        <w:spacing w:after="0" w:line="264" w:lineRule="auto"/>
        <w:ind w:left="19" w:right="477" w:hanging="10"/>
        <w:jc w:val="both"/>
      </w:pPr>
      <w:r>
        <w:rPr>
          <w:rFonts w:ascii="Cambria" w:eastAsia="Cambria" w:hAnsi="Cambria" w:cs="Cambria"/>
        </w:rPr>
        <w:t xml:space="preserve">The solutions for </w:t>
      </w:r>
      <w:r>
        <w:rPr>
          <w:rFonts w:ascii="Cambria" w:eastAsia="Cambria" w:hAnsi="Cambria" w:cs="Cambria"/>
          <w:i/>
        </w:rPr>
        <w:t>r</w:t>
      </w:r>
      <w:r>
        <w:rPr>
          <w:rFonts w:ascii="Cambria" w:eastAsia="Cambria" w:hAnsi="Cambria" w:cs="Cambria"/>
          <w:i/>
          <w:vertAlign w:val="superscript"/>
        </w:rPr>
        <w:t xml:space="preserve">a </w:t>
      </w:r>
      <w:r>
        <w:rPr>
          <w:rFonts w:ascii="Cambria" w:eastAsia="Cambria" w:hAnsi="Cambria" w:cs="Cambria"/>
        </w:rPr>
        <w:t xml:space="preserve">and </w:t>
      </w:r>
      <w:r>
        <w:rPr>
          <w:rFonts w:ascii="Cambria" w:eastAsia="Cambria" w:hAnsi="Cambria" w:cs="Cambria"/>
          <w:i/>
        </w:rPr>
        <w:t>r</w:t>
      </w:r>
      <w:r>
        <w:rPr>
          <w:rFonts w:ascii="Cambria" w:eastAsia="Cambria" w:hAnsi="Cambria" w:cs="Cambria"/>
          <w:i/>
          <w:vertAlign w:val="superscript"/>
        </w:rPr>
        <w:t xml:space="preserve">b </w:t>
      </w:r>
      <w:r>
        <w:rPr>
          <w:rFonts w:ascii="Cambria" w:eastAsia="Cambria" w:hAnsi="Cambria" w:cs="Cambria"/>
        </w:rPr>
        <w:t xml:space="preserve">are directly linked to </w:t>
      </w:r>
      <w:r>
        <w:rPr>
          <w:rFonts w:ascii="Cambria" w:eastAsia="Cambria" w:hAnsi="Cambria" w:cs="Cambria"/>
          <w:i/>
        </w:rPr>
        <w:t>θ</w:t>
      </w:r>
      <w:r>
        <w:rPr>
          <w:rFonts w:ascii="Cambria" w:eastAsia="Cambria" w:hAnsi="Cambria" w:cs="Cambria"/>
        </w:rPr>
        <w:t xml:space="preserve">: Reservation prices are explained by the level of inventory </w:t>
      </w:r>
      <w:r>
        <w:rPr>
          <w:rFonts w:ascii="Cambria" w:eastAsia="Cambria" w:hAnsi="Cambria" w:cs="Cambria"/>
          <w:i/>
        </w:rPr>
        <w:t xml:space="preserve">q </w:t>
      </w:r>
      <w:r>
        <w:rPr>
          <w:rFonts w:ascii="Cambria" w:eastAsia="Cambria" w:hAnsi="Cambria" w:cs="Cambria"/>
        </w:rPr>
        <w:t xml:space="preserve">( The convention being </w:t>
      </w:r>
      <w:r>
        <w:rPr>
          <w:rFonts w:ascii="Cambria" w:eastAsia="Cambria" w:hAnsi="Cambria" w:cs="Cambria"/>
          <w:i/>
        </w:rPr>
        <w:t xml:space="preserve">q &lt; </w:t>
      </w:r>
      <w:r>
        <w:rPr>
          <w:rFonts w:ascii="Cambria" w:eastAsia="Cambria" w:hAnsi="Cambria" w:cs="Cambria"/>
        </w:rPr>
        <w:t>0 if the market-maker is short).</w:t>
      </w:r>
    </w:p>
    <w:tbl>
      <w:tblPr>
        <w:tblStyle w:val="TableGrid"/>
        <w:tblW w:w="6332" w:type="dxa"/>
        <w:tblInd w:w="3028" w:type="dxa"/>
        <w:tblCellMar>
          <w:top w:w="47" w:type="dxa"/>
          <w:left w:w="0" w:type="dxa"/>
          <w:bottom w:w="0" w:type="dxa"/>
          <w:right w:w="0" w:type="dxa"/>
        </w:tblCellMar>
        <w:tblLook w:val="04A0" w:firstRow="1" w:lastRow="0" w:firstColumn="1" w:lastColumn="0" w:noHBand="0" w:noVBand="1"/>
      </w:tblPr>
      <w:tblGrid>
        <w:gridCol w:w="5920"/>
        <w:gridCol w:w="412"/>
      </w:tblGrid>
      <w:tr w:rsidR="00EE13F6">
        <w:trPr>
          <w:trHeight w:val="351"/>
        </w:trPr>
        <w:tc>
          <w:tcPr>
            <w:tcW w:w="5944" w:type="dxa"/>
            <w:tcBorders>
              <w:top w:val="nil"/>
              <w:left w:val="nil"/>
              <w:bottom w:val="nil"/>
              <w:right w:val="nil"/>
            </w:tcBorders>
          </w:tcPr>
          <w:p w:rsidR="00EE13F6" w:rsidRDefault="002E5BC4">
            <w:pPr>
              <w:spacing w:after="0"/>
              <w:ind w:left="9"/>
            </w:pPr>
            <w:r>
              <w:rPr>
                <w:rFonts w:ascii="Cambria" w:eastAsia="Cambria" w:hAnsi="Cambria" w:cs="Cambria"/>
                <w:i/>
              </w:rPr>
              <w:t>r</w:t>
            </w:r>
            <w:r>
              <w:rPr>
                <w:rFonts w:ascii="Cambria" w:eastAsia="Cambria" w:hAnsi="Cambria" w:cs="Cambria"/>
                <w:i/>
                <w:vertAlign w:val="superscript"/>
              </w:rPr>
              <w:t>b</w:t>
            </w:r>
            <w:r>
              <w:rPr>
                <w:rFonts w:ascii="Cambria" w:eastAsia="Cambria" w:hAnsi="Cambria" w:cs="Cambria"/>
              </w:rPr>
              <w:t>(</w:t>
            </w:r>
            <w:r>
              <w:rPr>
                <w:rFonts w:ascii="Cambria" w:eastAsia="Cambria" w:hAnsi="Cambria" w:cs="Cambria"/>
                <w:i/>
              </w:rPr>
              <w:t>s,q,t</w:t>
            </w:r>
            <w:r>
              <w:rPr>
                <w:rFonts w:ascii="Cambria" w:eastAsia="Cambria" w:hAnsi="Cambria" w:cs="Cambria"/>
              </w:rPr>
              <w:t xml:space="preserve">) = </w:t>
            </w:r>
            <w:r>
              <w:rPr>
                <w:rFonts w:ascii="Cambria" w:eastAsia="Cambria" w:hAnsi="Cambria" w:cs="Cambria"/>
                <w:i/>
              </w:rPr>
              <w:t>θ</w:t>
            </w:r>
            <w:r>
              <w:rPr>
                <w:rFonts w:ascii="Cambria" w:eastAsia="Cambria" w:hAnsi="Cambria" w:cs="Cambria"/>
              </w:rPr>
              <w:t>(</w:t>
            </w:r>
            <w:r>
              <w:rPr>
                <w:rFonts w:ascii="Cambria" w:eastAsia="Cambria" w:hAnsi="Cambria" w:cs="Cambria"/>
                <w:i/>
              </w:rPr>
              <w:t xml:space="preserve">s,q </w:t>
            </w:r>
            <w:r>
              <w:rPr>
                <w:rFonts w:ascii="Cambria" w:eastAsia="Cambria" w:hAnsi="Cambria" w:cs="Cambria"/>
              </w:rPr>
              <w:t>+ 1</w:t>
            </w:r>
            <w:r>
              <w:rPr>
                <w:rFonts w:ascii="Cambria" w:eastAsia="Cambria" w:hAnsi="Cambria" w:cs="Cambria"/>
                <w:i/>
              </w:rPr>
              <w:t>,t</w:t>
            </w:r>
            <w:r>
              <w:rPr>
                <w:rFonts w:ascii="Cambria" w:eastAsia="Cambria" w:hAnsi="Cambria" w:cs="Cambria"/>
              </w:rPr>
              <w:t xml:space="preserve">) − </w:t>
            </w:r>
            <w:r>
              <w:rPr>
                <w:rFonts w:ascii="Cambria" w:eastAsia="Cambria" w:hAnsi="Cambria" w:cs="Cambria"/>
                <w:i/>
              </w:rPr>
              <w:t>θ</w:t>
            </w:r>
            <w:r>
              <w:rPr>
                <w:rFonts w:ascii="Cambria" w:eastAsia="Cambria" w:hAnsi="Cambria" w:cs="Cambria"/>
              </w:rPr>
              <w:t>(</w:t>
            </w:r>
            <w:r>
              <w:rPr>
                <w:rFonts w:ascii="Cambria" w:eastAsia="Cambria" w:hAnsi="Cambria" w:cs="Cambria"/>
                <w:i/>
              </w:rPr>
              <w:t>s,q,t</w:t>
            </w:r>
            <w:r>
              <w:rPr>
                <w:rFonts w:ascii="Cambria" w:eastAsia="Cambria" w:hAnsi="Cambria" w:cs="Cambria"/>
              </w:rPr>
              <w:t>)</w:t>
            </w:r>
          </w:p>
        </w:tc>
        <w:tc>
          <w:tcPr>
            <w:tcW w:w="388" w:type="dxa"/>
            <w:tcBorders>
              <w:top w:val="nil"/>
              <w:left w:val="nil"/>
              <w:bottom w:val="nil"/>
              <w:right w:val="nil"/>
            </w:tcBorders>
          </w:tcPr>
          <w:p w:rsidR="00EE13F6" w:rsidRDefault="002E5BC4">
            <w:pPr>
              <w:spacing w:after="0"/>
              <w:jc w:val="both"/>
            </w:pPr>
            <w:r>
              <w:rPr>
                <w:rFonts w:ascii="Cambria" w:eastAsia="Cambria" w:hAnsi="Cambria" w:cs="Cambria"/>
              </w:rPr>
              <w:t>(14)</w:t>
            </w:r>
          </w:p>
        </w:tc>
      </w:tr>
      <w:tr w:rsidR="00EE13F6">
        <w:trPr>
          <w:trHeight w:val="351"/>
        </w:trPr>
        <w:tc>
          <w:tcPr>
            <w:tcW w:w="5944" w:type="dxa"/>
            <w:tcBorders>
              <w:top w:val="nil"/>
              <w:left w:val="nil"/>
              <w:bottom w:val="nil"/>
              <w:right w:val="nil"/>
            </w:tcBorders>
            <w:vAlign w:val="bottom"/>
          </w:tcPr>
          <w:p w:rsidR="00EE13F6" w:rsidRDefault="002E5BC4">
            <w:pPr>
              <w:spacing w:after="0"/>
            </w:pPr>
            <w:r>
              <w:rPr>
                <w:rFonts w:ascii="Cambria" w:eastAsia="Cambria" w:hAnsi="Cambria" w:cs="Cambria"/>
                <w:i/>
              </w:rPr>
              <w:t>r</w:t>
            </w:r>
            <w:r>
              <w:rPr>
                <w:rFonts w:ascii="Cambria" w:eastAsia="Cambria" w:hAnsi="Cambria" w:cs="Cambria"/>
                <w:i/>
                <w:vertAlign w:val="superscript"/>
              </w:rPr>
              <w:t>a</w:t>
            </w:r>
            <w:r>
              <w:rPr>
                <w:rFonts w:ascii="Cambria" w:eastAsia="Cambria" w:hAnsi="Cambria" w:cs="Cambria"/>
              </w:rPr>
              <w:t>(</w:t>
            </w:r>
            <w:r>
              <w:rPr>
                <w:rFonts w:ascii="Cambria" w:eastAsia="Cambria" w:hAnsi="Cambria" w:cs="Cambria"/>
                <w:i/>
              </w:rPr>
              <w:t>s,q,t</w:t>
            </w:r>
            <w:r>
              <w:rPr>
                <w:rFonts w:ascii="Cambria" w:eastAsia="Cambria" w:hAnsi="Cambria" w:cs="Cambria"/>
              </w:rPr>
              <w:t xml:space="preserve">) = </w:t>
            </w:r>
            <w:r>
              <w:rPr>
                <w:rFonts w:ascii="Cambria" w:eastAsia="Cambria" w:hAnsi="Cambria" w:cs="Cambria"/>
                <w:i/>
              </w:rPr>
              <w:t>θ</w:t>
            </w:r>
            <w:r>
              <w:rPr>
                <w:rFonts w:ascii="Cambria" w:eastAsia="Cambria" w:hAnsi="Cambria" w:cs="Cambria"/>
              </w:rPr>
              <w:t>(</w:t>
            </w:r>
            <w:r>
              <w:rPr>
                <w:rFonts w:ascii="Cambria" w:eastAsia="Cambria" w:hAnsi="Cambria" w:cs="Cambria"/>
                <w:i/>
              </w:rPr>
              <w:t>s,q,t</w:t>
            </w:r>
            <w:r>
              <w:rPr>
                <w:rFonts w:ascii="Cambria" w:eastAsia="Cambria" w:hAnsi="Cambria" w:cs="Cambria"/>
              </w:rPr>
              <w:t xml:space="preserve">) − </w:t>
            </w:r>
            <w:r>
              <w:rPr>
                <w:rFonts w:ascii="Cambria" w:eastAsia="Cambria" w:hAnsi="Cambria" w:cs="Cambria"/>
                <w:i/>
              </w:rPr>
              <w:t>θ</w:t>
            </w:r>
            <w:r>
              <w:rPr>
                <w:rFonts w:ascii="Cambria" w:eastAsia="Cambria" w:hAnsi="Cambria" w:cs="Cambria"/>
              </w:rPr>
              <w:t>(</w:t>
            </w:r>
            <w:r>
              <w:rPr>
                <w:rFonts w:ascii="Cambria" w:eastAsia="Cambria" w:hAnsi="Cambria" w:cs="Cambria"/>
                <w:i/>
              </w:rPr>
              <w:t xml:space="preserve">s,q </w:t>
            </w:r>
            <w:r>
              <w:rPr>
                <w:rFonts w:ascii="Cambria" w:eastAsia="Cambria" w:hAnsi="Cambria" w:cs="Cambria"/>
              </w:rPr>
              <w:t>−</w:t>
            </w:r>
            <w:r>
              <w:rPr>
                <w:rFonts w:ascii="Cambria" w:eastAsia="Cambria" w:hAnsi="Cambria" w:cs="Cambria"/>
              </w:rPr>
              <w:t xml:space="preserve"> 1</w:t>
            </w:r>
            <w:r>
              <w:rPr>
                <w:rFonts w:ascii="Cambria" w:eastAsia="Cambria" w:hAnsi="Cambria" w:cs="Cambria"/>
                <w:i/>
              </w:rPr>
              <w:t>,t</w:t>
            </w:r>
            <w:r>
              <w:rPr>
                <w:rFonts w:ascii="Cambria" w:eastAsia="Cambria" w:hAnsi="Cambria" w:cs="Cambria"/>
              </w:rPr>
              <w:t>)</w:t>
            </w:r>
          </w:p>
        </w:tc>
        <w:tc>
          <w:tcPr>
            <w:tcW w:w="388" w:type="dxa"/>
            <w:tcBorders>
              <w:top w:val="nil"/>
              <w:left w:val="nil"/>
              <w:bottom w:val="nil"/>
              <w:right w:val="nil"/>
            </w:tcBorders>
            <w:vAlign w:val="bottom"/>
          </w:tcPr>
          <w:p w:rsidR="00EE13F6" w:rsidRDefault="002E5BC4">
            <w:pPr>
              <w:spacing w:after="0"/>
              <w:jc w:val="both"/>
            </w:pPr>
            <w:r>
              <w:rPr>
                <w:rFonts w:ascii="Cambria" w:eastAsia="Cambria" w:hAnsi="Cambria" w:cs="Cambria"/>
              </w:rPr>
              <w:t>(15)</w:t>
            </w:r>
          </w:p>
        </w:tc>
      </w:tr>
    </w:tbl>
    <w:p w:rsidR="00EE13F6" w:rsidRDefault="002E5BC4">
      <w:pPr>
        <w:spacing w:after="133" w:line="264" w:lineRule="auto"/>
        <w:ind w:left="19" w:right="477" w:hanging="10"/>
        <w:jc w:val="both"/>
      </w:pPr>
      <w:r>
        <w:rPr>
          <w:rFonts w:ascii="Cambria" w:eastAsia="Cambria" w:hAnsi="Cambria" w:cs="Cambria"/>
        </w:rPr>
        <w:t>Those reservation prices give then a reservation price which is the average of the two.</w:t>
      </w:r>
    </w:p>
    <w:p w:rsidR="00EE13F6" w:rsidRDefault="002E5BC4">
      <w:pPr>
        <w:spacing w:after="133" w:line="264" w:lineRule="auto"/>
        <w:ind w:left="19" w:right="477" w:hanging="10"/>
        <w:jc w:val="both"/>
      </w:pPr>
      <w:r>
        <w:rPr>
          <w:rFonts w:ascii="Cambria" w:eastAsia="Cambria" w:hAnsi="Cambria" w:cs="Cambria"/>
        </w:rPr>
        <w:t xml:space="preserve">Once the bid-ask reservation prices are determined, the first order condition provides the following relationships for the optimal distances </w:t>
      </w:r>
      <w:r>
        <w:rPr>
          <w:rFonts w:ascii="Cambria" w:eastAsia="Cambria" w:hAnsi="Cambria" w:cs="Cambria"/>
          <w:i/>
        </w:rPr>
        <w:t>δ</w:t>
      </w:r>
      <w:r>
        <w:rPr>
          <w:rFonts w:ascii="Cambria" w:eastAsia="Cambria" w:hAnsi="Cambria" w:cs="Cambria"/>
          <w:i/>
          <w:vertAlign w:val="superscript"/>
        </w:rPr>
        <w:t xml:space="preserve">a </w:t>
      </w:r>
      <w:r>
        <w:rPr>
          <w:rFonts w:ascii="Cambria" w:eastAsia="Cambria" w:hAnsi="Cambria" w:cs="Cambria"/>
        </w:rPr>
        <w:t xml:space="preserve">and </w:t>
      </w:r>
      <w:r>
        <w:rPr>
          <w:rFonts w:ascii="Cambria" w:eastAsia="Cambria" w:hAnsi="Cambria" w:cs="Cambria"/>
          <w:i/>
        </w:rPr>
        <w:t>δ</w:t>
      </w:r>
      <w:r>
        <w:rPr>
          <w:rFonts w:ascii="Cambria" w:eastAsia="Cambria" w:hAnsi="Cambria" w:cs="Cambria"/>
          <w:i/>
          <w:vertAlign w:val="superscript"/>
        </w:rPr>
        <w:t xml:space="preserve">b </w:t>
      </w:r>
      <w:r>
        <w:rPr>
          <w:rFonts w:ascii="Cambria" w:eastAsia="Cambria" w:hAnsi="Cambria" w:cs="Cambria"/>
        </w:rPr>
        <w:t>as follows:</w:t>
      </w:r>
    </w:p>
    <w:p w:rsidR="00EE13F6" w:rsidRDefault="002E5BC4">
      <w:pPr>
        <w:tabs>
          <w:tab w:val="center" w:pos="4691"/>
          <w:tab w:val="center" w:pos="9166"/>
        </w:tabs>
        <w:spacing w:after="227" w:line="265" w:lineRule="auto"/>
      </w:pPr>
      <w:r>
        <w:tab/>
      </w:r>
      <w:r>
        <w:rPr>
          <w:noProof/>
        </w:rPr>
        <w:drawing>
          <wp:inline distT="0" distB="0" distL="0" distR="0">
            <wp:extent cx="2404873" cy="417576"/>
            <wp:effectExtent l="0" t="0" r="0" b="0"/>
            <wp:docPr id="221849" name="Picture 221849"/>
            <wp:cNvGraphicFramePr/>
            <a:graphic xmlns:a="http://schemas.openxmlformats.org/drawingml/2006/main">
              <a:graphicData uri="http://schemas.openxmlformats.org/drawingml/2006/picture">
                <pic:pic xmlns:pic="http://schemas.openxmlformats.org/drawingml/2006/picture">
                  <pic:nvPicPr>
                    <pic:cNvPr id="221849" name="Picture 221849"/>
                    <pic:cNvPicPr/>
                  </pic:nvPicPr>
                  <pic:blipFill>
                    <a:blip r:embed="rId65"/>
                    <a:stretch>
                      <a:fillRect/>
                    </a:stretch>
                  </pic:blipFill>
                  <pic:spPr>
                    <a:xfrm>
                      <a:off x="0" y="0"/>
                      <a:ext cx="2404873" cy="417576"/>
                    </a:xfrm>
                    <a:prstGeom prst="rect">
                      <a:avLst/>
                    </a:prstGeom>
                  </pic:spPr>
                </pic:pic>
              </a:graphicData>
            </a:graphic>
          </wp:inline>
        </w:drawing>
      </w:r>
      <w:r>
        <w:rPr>
          <w:rFonts w:ascii="Cambria" w:eastAsia="Cambria" w:hAnsi="Cambria" w:cs="Cambria"/>
        </w:rPr>
        <w:tab/>
        <w:t>(1</w:t>
      </w:r>
      <w:r>
        <w:rPr>
          <w:rFonts w:ascii="Cambria" w:eastAsia="Cambria" w:hAnsi="Cambria" w:cs="Cambria"/>
        </w:rPr>
        <w:t>6)</w:t>
      </w:r>
    </w:p>
    <w:p w:rsidR="00EE13F6" w:rsidRDefault="002E5BC4">
      <w:pPr>
        <w:tabs>
          <w:tab w:val="center" w:pos="4691"/>
          <w:tab w:val="center" w:pos="9166"/>
        </w:tabs>
        <w:spacing w:after="217" w:line="265" w:lineRule="auto"/>
      </w:pPr>
      <w:r>
        <w:lastRenderedPageBreak/>
        <w:tab/>
      </w:r>
      <w:r>
        <w:rPr>
          <w:noProof/>
        </w:rPr>
        <w:drawing>
          <wp:inline distT="0" distB="0" distL="0" distR="0">
            <wp:extent cx="2453640" cy="414528"/>
            <wp:effectExtent l="0" t="0" r="0" b="0"/>
            <wp:docPr id="221850" name="Picture 221850"/>
            <wp:cNvGraphicFramePr/>
            <a:graphic xmlns:a="http://schemas.openxmlformats.org/drawingml/2006/main">
              <a:graphicData uri="http://schemas.openxmlformats.org/drawingml/2006/picture">
                <pic:pic xmlns:pic="http://schemas.openxmlformats.org/drawingml/2006/picture">
                  <pic:nvPicPr>
                    <pic:cNvPr id="221850" name="Picture 221850"/>
                    <pic:cNvPicPr/>
                  </pic:nvPicPr>
                  <pic:blipFill>
                    <a:blip r:embed="rId66"/>
                    <a:stretch>
                      <a:fillRect/>
                    </a:stretch>
                  </pic:blipFill>
                  <pic:spPr>
                    <a:xfrm>
                      <a:off x="0" y="0"/>
                      <a:ext cx="2453640" cy="414528"/>
                    </a:xfrm>
                    <a:prstGeom prst="rect">
                      <a:avLst/>
                    </a:prstGeom>
                  </pic:spPr>
                </pic:pic>
              </a:graphicData>
            </a:graphic>
          </wp:inline>
        </w:drawing>
      </w:r>
      <w:r>
        <w:rPr>
          <w:rFonts w:ascii="Cambria" w:eastAsia="Cambria" w:hAnsi="Cambria" w:cs="Cambria"/>
        </w:rPr>
        <w:tab/>
        <w:t>(17)</w:t>
      </w:r>
    </w:p>
    <w:p w:rsidR="00EE13F6" w:rsidRDefault="002E5BC4">
      <w:pPr>
        <w:spacing w:after="169" w:line="264" w:lineRule="auto"/>
        <w:ind w:left="19" w:right="477" w:hanging="10"/>
        <w:jc w:val="both"/>
      </w:pPr>
      <w:r>
        <w:rPr>
          <w:rFonts w:ascii="Cambria" w:eastAsia="Cambria" w:hAnsi="Cambria" w:cs="Cambria"/>
        </w:rPr>
        <w:t>Equations (8) and (9) are quite important as they can be used to assess the possible reaction to the FTT. First, one can notice that despite the framework is set-up for risk adverse market-makers, this framework can be applied by considering tha</w:t>
      </w:r>
      <w:r>
        <w:rPr>
          <w:rFonts w:ascii="Cambria" w:eastAsia="Cambria" w:hAnsi="Cambria" w:cs="Cambria"/>
        </w:rPr>
        <w:t xml:space="preserve">t risk neutral market makers are representing the ”limit” case, when </w:t>
      </w:r>
      <w:r>
        <w:rPr>
          <w:rFonts w:ascii="Cambria" w:eastAsia="Cambria" w:hAnsi="Cambria" w:cs="Cambria"/>
          <w:i/>
        </w:rPr>
        <w:t xml:space="preserve">γ </w:t>
      </w:r>
      <w:r>
        <w:rPr>
          <w:rFonts w:ascii="Cambria" w:eastAsia="Cambria" w:hAnsi="Cambria" w:cs="Cambria"/>
        </w:rPr>
        <w:t>tends toward zero.</w:t>
      </w:r>
    </w:p>
    <w:p w:rsidR="00EE13F6" w:rsidRDefault="002E5BC4">
      <w:pPr>
        <w:spacing w:after="268" w:line="264" w:lineRule="auto"/>
        <w:ind w:left="19" w:right="477" w:hanging="10"/>
        <w:jc w:val="both"/>
      </w:pPr>
      <w:r>
        <w:rPr>
          <w:rFonts w:ascii="Cambria" w:eastAsia="Cambria" w:hAnsi="Cambria" w:cs="Cambria"/>
        </w:rPr>
        <w:t xml:space="preserve">Considering small values of </w:t>
      </w:r>
      <w:r>
        <w:rPr>
          <w:rFonts w:ascii="Cambria" w:eastAsia="Cambria" w:hAnsi="Cambria" w:cs="Cambria"/>
          <w:i/>
        </w:rPr>
        <w:t xml:space="preserve">γ </w:t>
      </w:r>
      <w:r>
        <w:rPr>
          <w:rFonts w:ascii="Cambria" w:eastAsia="Cambria" w:hAnsi="Cambria" w:cs="Cambria"/>
        </w:rPr>
        <w:t>and using well known properties of the logarithm function, we get the following equations for risk neutral market-makers.</w:t>
      </w:r>
    </w:p>
    <w:p w:rsidR="00EE13F6" w:rsidRDefault="002E5BC4">
      <w:pPr>
        <w:tabs>
          <w:tab w:val="center" w:pos="4691"/>
          <w:tab w:val="center" w:pos="9166"/>
        </w:tabs>
        <w:spacing w:after="27" w:line="265" w:lineRule="auto"/>
      </w:pPr>
      <w:r>
        <w:tab/>
      </w:r>
      <w:r>
        <w:rPr>
          <w:noProof/>
        </w:rPr>
        <w:drawing>
          <wp:inline distT="0" distB="0" distL="0" distR="0">
            <wp:extent cx="1816608" cy="420624"/>
            <wp:effectExtent l="0" t="0" r="0" b="0"/>
            <wp:docPr id="221851" name="Picture 221851"/>
            <wp:cNvGraphicFramePr/>
            <a:graphic xmlns:a="http://schemas.openxmlformats.org/drawingml/2006/main">
              <a:graphicData uri="http://schemas.openxmlformats.org/drawingml/2006/picture">
                <pic:pic xmlns:pic="http://schemas.openxmlformats.org/drawingml/2006/picture">
                  <pic:nvPicPr>
                    <pic:cNvPr id="221851" name="Picture 221851"/>
                    <pic:cNvPicPr/>
                  </pic:nvPicPr>
                  <pic:blipFill>
                    <a:blip r:embed="rId67"/>
                    <a:stretch>
                      <a:fillRect/>
                    </a:stretch>
                  </pic:blipFill>
                  <pic:spPr>
                    <a:xfrm>
                      <a:off x="0" y="0"/>
                      <a:ext cx="1816608" cy="420624"/>
                    </a:xfrm>
                    <a:prstGeom prst="rect">
                      <a:avLst/>
                    </a:prstGeom>
                  </pic:spPr>
                </pic:pic>
              </a:graphicData>
            </a:graphic>
          </wp:inline>
        </w:drawing>
      </w:r>
      <w:r>
        <w:rPr>
          <w:rFonts w:ascii="Cambria" w:eastAsia="Cambria" w:hAnsi="Cambria" w:cs="Cambria"/>
        </w:rPr>
        <w:tab/>
        <w:t>(18)</w:t>
      </w:r>
    </w:p>
    <w:p w:rsidR="00EE13F6" w:rsidRDefault="002E5BC4">
      <w:pPr>
        <w:tabs>
          <w:tab w:val="center" w:pos="4691"/>
          <w:tab w:val="center" w:pos="9166"/>
        </w:tabs>
        <w:spacing w:after="396" w:line="265" w:lineRule="auto"/>
      </w:pPr>
      <w:r>
        <w:tab/>
      </w:r>
      <w:r>
        <w:rPr>
          <w:noProof/>
        </w:rPr>
        <w:drawing>
          <wp:inline distT="0" distB="0" distL="0" distR="0">
            <wp:extent cx="1862328" cy="417576"/>
            <wp:effectExtent l="0" t="0" r="0" b="0"/>
            <wp:docPr id="221852" name="Picture 221852"/>
            <wp:cNvGraphicFramePr/>
            <a:graphic xmlns:a="http://schemas.openxmlformats.org/drawingml/2006/main">
              <a:graphicData uri="http://schemas.openxmlformats.org/drawingml/2006/picture">
                <pic:pic xmlns:pic="http://schemas.openxmlformats.org/drawingml/2006/picture">
                  <pic:nvPicPr>
                    <pic:cNvPr id="221852" name="Picture 221852"/>
                    <pic:cNvPicPr/>
                  </pic:nvPicPr>
                  <pic:blipFill>
                    <a:blip r:embed="rId68"/>
                    <a:stretch>
                      <a:fillRect/>
                    </a:stretch>
                  </pic:blipFill>
                  <pic:spPr>
                    <a:xfrm>
                      <a:off x="0" y="0"/>
                      <a:ext cx="1862328" cy="417576"/>
                    </a:xfrm>
                    <a:prstGeom prst="rect">
                      <a:avLst/>
                    </a:prstGeom>
                  </pic:spPr>
                </pic:pic>
              </a:graphicData>
            </a:graphic>
          </wp:inline>
        </w:drawing>
      </w:r>
      <w:r>
        <w:rPr>
          <w:rFonts w:ascii="Cambria" w:eastAsia="Cambria" w:hAnsi="Cambria" w:cs="Cambria"/>
        </w:rPr>
        <w:tab/>
        <w:t>(19</w:t>
      </w:r>
      <w:r>
        <w:rPr>
          <w:rFonts w:ascii="Cambria" w:eastAsia="Cambria" w:hAnsi="Cambria" w:cs="Cambria"/>
        </w:rPr>
        <w:t>)</w:t>
      </w:r>
    </w:p>
    <w:p w:rsidR="00EE13F6" w:rsidRDefault="002E5BC4">
      <w:pPr>
        <w:spacing w:after="691" w:line="261" w:lineRule="auto"/>
        <w:ind w:left="752" w:right="468" w:hanging="767"/>
        <w:jc w:val="both"/>
      </w:pPr>
      <w:r>
        <w:rPr>
          <w:rFonts w:ascii="Cambria" w:eastAsia="Cambria" w:hAnsi="Cambria" w:cs="Cambria"/>
          <w:b/>
        </w:rPr>
        <w:t>2.1.4 The Asymptotic Approximation of the Hamilton Jacobi Bellman for Highly Liquid Option Markets</w:t>
      </w:r>
    </w:p>
    <w:p w:rsidR="00EE13F6" w:rsidRDefault="002E5BC4">
      <w:pPr>
        <w:spacing w:after="133" w:line="264" w:lineRule="auto"/>
        <w:ind w:left="19" w:right="477" w:hanging="10"/>
        <w:jc w:val="both"/>
      </w:pPr>
      <w:r>
        <w:rPr>
          <w:rFonts w:ascii="Cambria" w:eastAsia="Cambria" w:hAnsi="Cambria" w:cs="Cambria"/>
        </w:rPr>
        <w:t xml:space="preserve">Let’s consider now, highly liquid markets which are generally based on ”auction exchange ” based and animated by automated ”robot” trading, especially ”high frequency” trading. Such markets are opposed to the broker based markets discussed above which are </w:t>
      </w:r>
      <w:r>
        <w:rPr>
          <w:rFonts w:ascii="Cambria" w:eastAsia="Cambria" w:hAnsi="Cambria" w:cs="Cambria"/>
        </w:rPr>
        <w:t>”human based”. They are characterized by a very high liquidity. This allows the presence of high frequency traders as well as the possibility of placing ”limit” orders in the market. Those markets can be of any kind, for instance we will consider equity ma</w:t>
      </w:r>
      <w:r>
        <w:rPr>
          <w:rFonts w:ascii="Cambria" w:eastAsia="Cambria" w:hAnsi="Cambria" w:cs="Cambria"/>
        </w:rPr>
        <w:t>rkets or equity option markets.</w:t>
      </w:r>
    </w:p>
    <w:p w:rsidR="00EE13F6" w:rsidRDefault="002E5BC4">
      <w:pPr>
        <w:spacing w:after="441" w:line="264" w:lineRule="auto"/>
        <w:ind w:left="19" w:right="477" w:hanging="10"/>
        <w:jc w:val="both"/>
      </w:pPr>
      <w:r>
        <w:rPr>
          <w:rFonts w:ascii="Cambria" w:eastAsia="Cambria" w:hAnsi="Cambria" w:cs="Cambria"/>
        </w:rPr>
        <w:t xml:space="preserve">In such markets, the intensity of arrivals can be considered as symmetric. This means that if we assume that </w:t>
      </w:r>
      <w:r>
        <w:rPr>
          <w:rFonts w:ascii="Cambria" w:eastAsia="Cambria" w:hAnsi="Cambria" w:cs="Cambria"/>
          <w:i/>
        </w:rPr>
        <w:t xml:space="preserve">δ </w:t>
      </w:r>
      <w:r>
        <w:rPr>
          <w:rFonts w:ascii="Cambria" w:eastAsia="Cambria" w:hAnsi="Cambria" w:cs="Cambria"/>
        </w:rPr>
        <w:t>is the distance of the quote to the reservation mid-price, we have:</w:t>
      </w:r>
    </w:p>
    <w:p w:rsidR="00EE13F6" w:rsidRDefault="002E5BC4">
      <w:pPr>
        <w:tabs>
          <w:tab w:val="center" w:pos="4680"/>
          <w:tab w:val="center" w:pos="9166"/>
        </w:tabs>
        <w:spacing w:after="187" w:line="265" w:lineRule="auto"/>
      </w:pPr>
      <w:r>
        <w:tab/>
      </w:r>
      <w:r>
        <w:rPr>
          <w:rFonts w:ascii="Cambria" w:eastAsia="Cambria" w:hAnsi="Cambria" w:cs="Cambria"/>
          <w:i/>
        </w:rPr>
        <w:t>λ</w:t>
      </w:r>
      <w:r>
        <w:rPr>
          <w:rFonts w:ascii="Cambria" w:eastAsia="Cambria" w:hAnsi="Cambria" w:cs="Cambria"/>
          <w:i/>
          <w:vertAlign w:val="superscript"/>
        </w:rPr>
        <w:t>a</w:t>
      </w:r>
      <w:r>
        <w:rPr>
          <w:rFonts w:ascii="Cambria" w:eastAsia="Cambria" w:hAnsi="Cambria" w:cs="Cambria"/>
        </w:rPr>
        <w:t>(</w:t>
      </w:r>
      <w:r>
        <w:rPr>
          <w:rFonts w:ascii="Cambria" w:eastAsia="Cambria" w:hAnsi="Cambria" w:cs="Cambria"/>
          <w:i/>
        </w:rPr>
        <w:t>δ</w:t>
      </w:r>
      <w:r>
        <w:rPr>
          <w:rFonts w:ascii="Cambria" w:eastAsia="Cambria" w:hAnsi="Cambria" w:cs="Cambria"/>
        </w:rPr>
        <w:t xml:space="preserve">) = </w:t>
      </w:r>
      <w:r>
        <w:rPr>
          <w:rFonts w:ascii="Cambria" w:eastAsia="Cambria" w:hAnsi="Cambria" w:cs="Cambria"/>
          <w:i/>
        </w:rPr>
        <w:t>λ</w:t>
      </w:r>
      <w:r>
        <w:rPr>
          <w:rFonts w:ascii="Cambria" w:eastAsia="Cambria" w:hAnsi="Cambria" w:cs="Cambria"/>
          <w:i/>
          <w:vertAlign w:val="superscript"/>
        </w:rPr>
        <w:t>b</w:t>
      </w:r>
      <w:r>
        <w:rPr>
          <w:rFonts w:ascii="Cambria" w:eastAsia="Cambria" w:hAnsi="Cambria" w:cs="Cambria"/>
        </w:rPr>
        <w:t>(</w:t>
      </w:r>
      <w:r>
        <w:rPr>
          <w:rFonts w:ascii="Cambria" w:eastAsia="Cambria" w:hAnsi="Cambria" w:cs="Cambria"/>
          <w:i/>
        </w:rPr>
        <w:t>δ</w:t>
      </w:r>
      <w:r>
        <w:rPr>
          <w:rFonts w:ascii="Cambria" w:eastAsia="Cambria" w:hAnsi="Cambria" w:cs="Cambria"/>
        </w:rPr>
        <w:t>)</w:t>
      </w:r>
      <w:r>
        <w:rPr>
          <w:rFonts w:ascii="Cambria" w:eastAsia="Cambria" w:hAnsi="Cambria" w:cs="Cambria"/>
        </w:rPr>
        <w:tab/>
        <w:t>(20)</w:t>
      </w:r>
    </w:p>
    <w:p w:rsidR="00EE13F6" w:rsidRDefault="002E5BC4">
      <w:pPr>
        <w:spacing w:after="0" w:line="264" w:lineRule="auto"/>
        <w:ind w:left="19" w:right="477" w:hanging="10"/>
        <w:jc w:val="both"/>
      </w:pPr>
      <w:r>
        <w:rPr>
          <w:rFonts w:ascii="Cambria" w:eastAsia="Cambria" w:hAnsi="Cambria" w:cs="Cambria"/>
        </w:rPr>
        <w:t xml:space="preserve">Especially, if </w:t>
      </w:r>
      <w:r>
        <w:rPr>
          <w:rFonts w:ascii="Cambria" w:eastAsia="Cambria" w:hAnsi="Cambria" w:cs="Cambria"/>
          <w:i/>
        </w:rPr>
        <w:t xml:space="preserve">δ </w:t>
      </w:r>
      <w:r>
        <w:rPr>
          <w:rFonts w:ascii="Cambria" w:eastAsia="Cambria" w:hAnsi="Cambria" w:cs="Cambria"/>
        </w:rPr>
        <w:t xml:space="preserve">= 0 we see that </w:t>
      </w:r>
      <w:r>
        <w:rPr>
          <w:noProof/>
        </w:rPr>
        <w:drawing>
          <wp:inline distT="0" distB="0" distL="0" distR="0">
            <wp:extent cx="423672" cy="179832"/>
            <wp:effectExtent l="0" t="0" r="0" b="0"/>
            <wp:docPr id="221853" name="Picture 221853"/>
            <wp:cNvGraphicFramePr/>
            <a:graphic xmlns:a="http://schemas.openxmlformats.org/drawingml/2006/main">
              <a:graphicData uri="http://schemas.openxmlformats.org/drawingml/2006/picture">
                <pic:pic xmlns:pic="http://schemas.openxmlformats.org/drawingml/2006/picture">
                  <pic:nvPicPr>
                    <pic:cNvPr id="221853" name="Picture 221853"/>
                    <pic:cNvPicPr/>
                  </pic:nvPicPr>
                  <pic:blipFill>
                    <a:blip r:embed="rId69"/>
                    <a:stretch>
                      <a:fillRect/>
                    </a:stretch>
                  </pic:blipFill>
                  <pic:spPr>
                    <a:xfrm>
                      <a:off x="0" y="0"/>
                      <a:ext cx="423672" cy="179832"/>
                    </a:xfrm>
                    <a:prstGeom prst="rect">
                      <a:avLst/>
                    </a:prstGeom>
                  </pic:spPr>
                </pic:pic>
              </a:graphicData>
            </a:graphic>
          </wp:inline>
        </w:drawing>
      </w:r>
      <w:r>
        <w:rPr>
          <w:rFonts w:ascii="Cambria" w:eastAsia="Cambria" w:hAnsi="Cambria" w:cs="Cambria"/>
        </w:rPr>
        <w:t xml:space="preserve"> and that all trades are executed at the mid-price </w:t>
      </w:r>
      <w:r>
        <w:rPr>
          <w:rFonts w:ascii="Cambria" w:eastAsia="Cambria" w:hAnsi="Cambria" w:cs="Cambria"/>
          <w:i/>
        </w:rPr>
        <w:t>S</w:t>
      </w:r>
      <w:r>
        <w:rPr>
          <w:rFonts w:ascii="Cambria" w:eastAsia="Cambria" w:hAnsi="Cambria" w:cs="Cambria"/>
        </w:rPr>
        <w:t>. According to the results established by Avellaneda and Stoikov (2008), it is possible to have a simple asymptotic expression of the prices quoted by the market-maker. The solution of th</w:t>
      </w:r>
      <w:r>
        <w:rPr>
          <w:rFonts w:ascii="Cambria" w:eastAsia="Cambria" w:hAnsi="Cambria" w:cs="Cambria"/>
        </w:rPr>
        <w:t>e marketmaker’s optimisation program at time t for the horizon T, is as follows, in terms of bid-ask spread and reservation (mid) price.</w:t>
      </w:r>
    </w:p>
    <w:tbl>
      <w:tblPr>
        <w:tblStyle w:val="TableGrid"/>
        <w:tblW w:w="9360" w:type="dxa"/>
        <w:tblInd w:w="0" w:type="dxa"/>
        <w:tblCellMar>
          <w:top w:w="0" w:type="dxa"/>
          <w:left w:w="0" w:type="dxa"/>
          <w:bottom w:w="0" w:type="dxa"/>
          <w:right w:w="0" w:type="dxa"/>
        </w:tblCellMar>
        <w:tblLook w:val="04A0" w:firstRow="1" w:lastRow="0" w:firstColumn="1" w:lastColumn="0" w:noHBand="0" w:noVBand="1"/>
      </w:tblPr>
      <w:tblGrid>
        <w:gridCol w:w="6158"/>
        <w:gridCol w:w="3202"/>
      </w:tblGrid>
      <w:tr w:rsidR="00EE13F6">
        <w:trPr>
          <w:trHeight w:val="208"/>
        </w:trPr>
        <w:tc>
          <w:tcPr>
            <w:tcW w:w="6158" w:type="dxa"/>
            <w:tcBorders>
              <w:top w:val="nil"/>
              <w:left w:val="nil"/>
              <w:bottom w:val="nil"/>
              <w:right w:val="nil"/>
            </w:tcBorders>
          </w:tcPr>
          <w:p w:rsidR="00EE13F6" w:rsidRDefault="002E5BC4">
            <w:pPr>
              <w:spacing w:after="0"/>
            </w:pPr>
            <w:r>
              <w:rPr>
                <w:rFonts w:ascii="Cambria" w:eastAsia="Cambria" w:hAnsi="Cambria" w:cs="Cambria"/>
              </w:rPr>
              <w:t>Reservation price is given by:</w:t>
            </w:r>
          </w:p>
        </w:tc>
        <w:tc>
          <w:tcPr>
            <w:tcW w:w="3202" w:type="dxa"/>
            <w:tcBorders>
              <w:top w:val="nil"/>
              <w:left w:val="nil"/>
              <w:bottom w:val="nil"/>
              <w:right w:val="nil"/>
            </w:tcBorders>
            <w:vAlign w:val="bottom"/>
          </w:tcPr>
          <w:p w:rsidR="00EE13F6" w:rsidRDefault="00EE13F6"/>
        </w:tc>
      </w:tr>
      <w:tr w:rsidR="00EE13F6">
        <w:trPr>
          <w:trHeight w:val="641"/>
        </w:trPr>
        <w:tc>
          <w:tcPr>
            <w:tcW w:w="6158" w:type="dxa"/>
            <w:tcBorders>
              <w:top w:val="nil"/>
              <w:left w:val="nil"/>
              <w:bottom w:val="nil"/>
              <w:right w:val="nil"/>
            </w:tcBorders>
          </w:tcPr>
          <w:p w:rsidR="00EE13F6" w:rsidRDefault="002E5BC4">
            <w:pPr>
              <w:spacing w:after="131"/>
              <w:ind w:right="271"/>
              <w:jc w:val="right"/>
            </w:pPr>
            <w:r>
              <w:rPr>
                <w:rFonts w:ascii="Cambria" w:eastAsia="Cambria" w:hAnsi="Cambria" w:cs="Cambria"/>
                <w:i/>
              </w:rPr>
              <w:t>r</w:t>
            </w:r>
            <w:r>
              <w:rPr>
                <w:rFonts w:ascii="Cambria" w:eastAsia="Cambria" w:hAnsi="Cambria" w:cs="Cambria"/>
              </w:rPr>
              <w:t>(</w:t>
            </w:r>
            <w:r>
              <w:rPr>
                <w:rFonts w:ascii="Cambria" w:eastAsia="Cambria" w:hAnsi="Cambria" w:cs="Cambria"/>
                <w:i/>
              </w:rPr>
              <w:t>s,t</w:t>
            </w:r>
            <w:r>
              <w:rPr>
                <w:rFonts w:ascii="Cambria" w:eastAsia="Cambria" w:hAnsi="Cambria" w:cs="Cambria"/>
              </w:rPr>
              <w:t xml:space="preserve">) = </w:t>
            </w:r>
            <w:r>
              <w:rPr>
                <w:rFonts w:ascii="Cambria" w:eastAsia="Cambria" w:hAnsi="Cambria" w:cs="Cambria"/>
                <w:i/>
              </w:rPr>
              <w:t xml:space="preserve">s </w:t>
            </w:r>
            <w:r>
              <w:rPr>
                <w:rFonts w:ascii="Cambria" w:eastAsia="Cambria" w:hAnsi="Cambria" w:cs="Cambria"/>
              </w:rPr>
              <w:t>−</w:t>
            </w:r>
            <w:r>
              <w:rPr>
                <w:rFonts w:ascii="Cambria" w:eastAsia="Cambria" w:hAnsi="Cambria" w:cs="Cambria"/>
              </w:rPr>
              <w:t xml:space="preserve"> </w:t>
            </w:r>
            <w:r>
              <w:rPr>
                <w:rFonts w:ascii="Cambria" w:eastAsia="Cambria" w:hAnsi="Cambria" w:cs="Cambria"/>
                <w:i/>
              </w:rPr>
              <w:t>qγσ</w:t>
            </w:r>
            <w:r>
              <w:rPr>
                <w:rFonts w:ascii="Cambria" w:eastAsia="Cambria" w:hAnsi="Cambria" w:cs="Cambria"/>
                <w:vertAlign w:val="superscript"/>
              </w:rPr>
              <w:t xml:space="preserve">2 </w:t>
            </w:r>
            <w:r>
              <w:rPr>
                <w:rFonts w:ascii="Cambria" w:eastAsia="Cambria" w:hAnsi="Cambria" w:cs="Cambria"/>
              </w:rPr>
              <w:t>(</w:t>
            </w:r>
            <w:r>
              <w:rPr>
                <w:rFonts w:ascii="Cambria" w:eastAsia="Cambria" w:hAnsi="Cambria" w:cs="Cambria"/>
                <w:i/>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t</w:t>
            </w:r>
            <w:r>
              <w:rPr>
                <w:rFonts w:ascii="Cambria" w:eastAsia="Cambria" w:hAnsi="Cambria" w:cs="Cambria"/>
              </w:rPr>
              <w:t>)</w:t>
            </w:r>
          </w:p>
          <w:p w:rsidR="00EE13F6" w:rsidRDefault="002E5BC4">
            <w:pPr>
              <w:spacing w:after="0"/>
            </w:pPr>
            <w:r>
              <w:rPr>
                <w:rFonts w:ascii="Cambria" w:eastAsia="Cambria" w:hAnsi="Cambria" w:cs="Cambria"/>
              </w:rPr>
              <w:t>Bid-ask spread at time t is:</w:t>
            </w:r>
          </w:p>
        </w:tc>
        <w:tc>
          <w:tcPr>
            <w:tcW w:w="3202" w:type="dxa"/>
            <w:tcBorders>
              <w:top w:val="nil"/>
              <w:left w:val="nil"/>
              <w:bottom w:val="nil"/>
              <w:right w:val="nil"/>
            </w:tcBorders>
          </w:tcPr>
          <w:p w:rsidR="00EE13F6" w:rsidRDefault="002E5BC4">
            <w:pPr>
              <w:spacing w:after="0"/>
              <w:jc w:val="right"/>
            </w:pPr>
            <w:r>
              <w:rPr>
                <w:rFonts w:ascii="Cambria" w:eastAsia="Cambria" w:hAnsi="Cambria" w:cs="Cambria"/>
              </w:rPr>
              <w:t>(21)</w:t>
            </w:r>
          </w:p>
        </w:tc>
      </w:tr>
    </w:tbl>
    <w:p w:rsidR="00EE13F6" w:rsidRDefault="002E5BC4">
      <w:pPr>
        <w:tabs>
          <w:tab w:val="center" w:pos="4656"/>
          <w:tab w:val="center" w:pos="9166"/>
        </w:tabs>
        <w:spacing w:after="187" w:line="265" w:lineRule="auto"/>
      </w:pPr>
      <w:r>
        <w:tab/>
      </w:r>
      <w:r>
        <w:rPr>
          <w:noProof/>
        </w:rPr>
        <w:drawing>
          <wp:inline distT="0" distB="0" distL="0" distR="0">
            <wp:extent cx="2103120" cy="313944"/>
            <wp:effectExtent l="0" t="0" r="0" b="0"/>
            <wp:docPr id="221854" name="Picture 221854"/>
            <wp:cNvGraphicFramePr/>
            <a:graphic xmlns:a="http://schemas.openxmlformats.org/drawingml/2006/main">
              <a:graphicData uri="http://schemas.openxmlformats.org/drawingml/2006/picture">
                <pic:pic xmlns:pic="http://schemas.openxmlformats.org/drawingml/2006/picture">
                  <pic:nvPicPr>
                    <pic:cNvPr id="221854" name="Picture 221854"/>
                    <pic:cNvPicPr/>
                  </pic:nvPicPr>
                  <pic:blipFill>
                    <a:blip r:embed="rId70"/>
                    <a:stretch>
                      <a:fillRect/>
                    </a:stretch>
                  </pic:blipFill>
                  <pic:spPr>
                    <a:xfrm>
                      <a:off x="0" y="0"/>
                      <a:ext cx="2103120" cy="313944"/>
                    </a:xfrm>
                    <a:prstGeom prst="rect">
                      <a:avLst/>
                    </a:prstGeom>
                  </pic:spPr>
                </pic:pic>
              </a:graphicData>
            </a:graphic>
          </wp:inline>
        </w:drawing>
      </w:r>
      <w:r>
        <w:rPr>
          <w:rFonts w:ascii="Cambria" w:eastAsia="Cambria" w:hAnsi="Cambria" w:cs="Cambria"/>
        </w:rPr>
        <w:t>)</w:t>
      </w:r>
      <w:r>
        <w:rPr>
          <w:rFonts w:ascii="Cambria" w:eastAsia="Cambria" w:hAnsi="Cambria" w:cs="Cambria"/>
        </w:rPr>
        <w:tab/>
        <w:t>(22)</w:t>
      </w:r>
    </w:p>
    <w:p w:rsidR="00EE13F6" w:rsidRDefault="002E5BC4">
      <w:pPr>
        <w:spacing w:after="92" w:line="264" w:lineRule="auto"/>
        <w:ind w:left="19" w:right="477" w:hanging="10"/>
        <w:jc w:val="both"/>
      </w:pPr>
      <w:r>
        <w:rPr>
          <w:rFonts w:ascii="Cambria" w:eastAsia="Cambria" w:hAnsi="Cambria" w:cs="Cambria"/>
        </w:rPr>
        <w:lastRenderedPageBreak/>
        <w:t xml:space="preserve">whith </w:t>
      </w:r>
      <w:r>
        <w:rPr>
          <w:rFonts w:ascii="Cambria" w:eastAsia="Cambria" w:hAnsi="Cambria" w:cs="Cambria"/>
          <w:i/>
        </w:rPr>
        <w:t xml:space="preserve">h </w:t>
      </w:r>
      <w:r>
        <w:rPr>
          <w:rFonts w:ascii="Cambria" w:eastAsia="Cambria" w:hAnsi="Cambria" w:cs="Cambria"/>
        </w:rPr>
        <w:t xml:space="preserve">= </w:t>
      </w:r>
      <w:r>
        <w:rPr>
          <w:rFonts w:ascii="Cambria" w:eastAsia="Cambria" w:hAnsi="Cambria" w:cs="Cambria"/>
          <w:i/>
        </w:rPr>
        <w:t xml:space="preserve">Kα </w:t>
      </w:r>
      <w:r>
        <w:rPr>
          <w:rFonts w:ascii="Cambria" w:eastAsia="Cambria" w:hAnsi="Cambria" w:cs="Cambria"/>
        </w:rPr>
        <w:t xml:space="preserve">and </w:t>
      </w:r>
      <w:r>
        <w:rPr>
          <w:rFonts w:ascii="Cambria" w:eastAsia="Cambria" w:hAnsi="Cambria" w:cs="Cambria"/>
          <w:i/>
        </w:rPr>
        <w:t>σ</w:t>
      </w:r>
      <w:r>
        <w:rPr>
          <w:rFonts w:ascii="Cambria" w:eastAsia="Cambria" w:hAnsi="Cambria" w:cs="Cambria"/>
          <w:vertAlign w:val="superscript"/>
        </w:rPr>
        <w:t>2</w:t>
      </w:r>
      <w:r>
        <w:rPr>
          <w:rFonts w:ascii="Cambria" w:eastAsia="Cambria" w:hAnsi="Cambria" w:cs="Cambria"/>
        </w:rPr>
        <w:t>(</w:t>
      </w:r>
      <w:r>
        <w:rPr>
          <w:rFonts w:ascii="Cambria" w:eastAsia="Cambria" w:hAnsi="Cambria" w:cs="Cambria"/>
          <w:i/>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t</w:t>
      </w:r>
      <w:r>
        <w:rPr>
          <w:rFonts w:ascii="Cambria" w:eastAsia="Cambria" w:hAnsi="Cambria" w:cs="Cambria"/>
        </w:rPr>
        <w:t>) is the cost incurred by the market-maker, if it carries the position until maturity. Clearly this is an opportunity cost, as the market-maker is exposed to the market risk without having the opportunity to unwind its position.</w:t>
      </w:r>
    </w:p>
    <w:p w:rsidR="00EE13F6" w:rsidRDefault="002E5BC4">
      <w:pPr>
        <w:spacing w:after="84" w:line="264" w:lineRule="auto"/>
        <w:ind w:left="19" w:right="477" w:hanging="10"/>
        <w:jc w:val="both"/>
      </w:pPr>
      <w:r>
        <w:rPr>
          <w:rFonts w:ascii="Cambria" w:eastAsia="Cambria" w:hAnsi="Cambria" w:cs="Cambria"/>
        </w:rPr>
        <w:t xml:space="preserve">Finally </w:t>
      </w:r>
      <w:r>
        <w:rPr>
          <w:noProof/>
        </w:rPr>
        <w:drawing>
          <wp:inline distT="0" distB="0" distL="0" distR="0">
            <wp:extent cx="591312" cy="195072"/>
            <wp:effectExtent l="0" t="0" r="0" b="0"/>
            <wp:docPr id="221855" name="Picture 221855"/>
            <wp:cNvGraphicFramePr/>
            <a:graphic xmlns:a="http://schemas.openxmlformats.org/drawingml/2006/main">
              <a:graphicData uri="http://schemas.openxmlformats.org/drawingml/2006/picture">
                <pic:pic xmlns:pic="http://schemas.openxmlformats.org/drawingml/2006/picture">
                  <pic:nvPicPr>
                    <pic:cNvPr id="221855" name="Picture 221855"/>
                    <pic:cNvPicPr/>
                  </pic:nvPicPr>
                  <pic:blipFill>
                    <a:blip r:embed="rId71"/>
                    <a:stretch>
                      <a:fillRect/>
                    </a:stretch>
                  </pic:blipFill>
                  <pic:spPr>
                    <a:xfrm>
                      <a:off x="0" y="0"/>
                      <a:ext cx="591312" cy="195072"/>
                    </a:xfrm>
                    <a:prstGeom prst="rect">
                      <a:avLst/>
                    </a:prstGeom>
                  </pic:spPr>
                </pic:pic>
              </a:graphicData>
            </a:graphic>
          </wp:inline>
        </w:drawing>
      </w:r>
      <w:r>
        <w:rPr>
          <w:rFonts w:ascii="Cambria" w:eastAsia="Cambria" w:hAnsi="Cambria" w:cs="Cambria"/>
        </w:rPr>
        <w:t>) meas</w:t>
      </w:r>
      <w:r>
        <w:rPr>
          <w:rFonts w:ascii="Cambria" w:eastAsia="Cambria" w:hAnsi="Cambria" w:cs="Cambria"/>
        </w:rPr>
        <w:t>ures the price impact of the market-maker’s quote on the market.</w:t>
      </w:r>
    </w:p>
    <w:p w:rsidR="00EE13F6" w:rsidRDefault="002E5BC4">
      <w:pPr>
        <w:spacing w:after="0" w:line="264" w:lineRule="auto"/>
        <w:ind w:left="19" w:right="477" w:hanging="10"/>
        <w:jc w:val="both"/>
      </w:pPr>
      <w:r>
        <w:rPr>
          <w:rFonts w:ascii="Cambria" w:eastAsia="Cambria" w:hAnsi="Cambria" w:cs="Cambria"/>
        </w:rPr>
        <w:t>It can be seen then immediately that the corresponding impact for a risk neutral market-maker is</w:t>
      </w:r>
    </w:p>
    <w:p w:rsidR="00EE13F6" w:rsidRDefault="002E5BC4">
      <w:pPr>
        <w:spacing w:after="0"/>
        <w:ind w:left="30"/>
      </w:pPr>
      <w:r>
        <w:rPr>
          <w:rFonts w:ascii="Cambria" w:eastAsia="Cambria" w:hAnsi="Cambria" w:cs="Cambria"/>
          <w:sz w:val="16"/>
          <w:u w:val="single" w:color="000000"/>
        </w:rPr>
        <w:t>2</w:t>
      </w:r>
    </w:p>
    <w:p w:rsidR="00EE13F6" w:rsidRDefault="002E5BC4">
      <w:pPr>
        <w:spacing w:after="518" w:line="264" w:lineRule="auto"/>
        <w:ind w:left="19" w:right="477" w:hanging="10"/>
        <w:jc w:val="both"/>
      </w:pPr>
      <w:r>
        <w:rPr>
          <w:rFonts w:ascii="Cambria" w:eastAsia="Cambria" w:hAnsi="Cambria" w:cs="Cambria"/>
          <w:i/>
          <w:sz w:val="16"/>
        </w:rPr>
        <w:t xml:space="preserve">h </w:t>
      </w:r>
      <w:r>
        <w:rPr>
          <w:rFonts w:ascii="Cambria" w:eastAsia="Cambria" w:hAnsi="Cambria" w:cs="Cambria"/>
        </w:rPr>
        <w:t xml:space="preserve">by considering that </w:t>
      </w:r>
      <w:r>
        <w:rPr>
          <w:rFonts w:ascii="Cambria" w:eastAsia="Cambria" w:hAnsi="Cambria" w:cs="Cambria"/>
          <w:i/>
        </w:rPr>
        <w:t xml:space="preserve">γ </w:t>
      </w:r>
      <w:r>
        <w:rPr>
          <w:rFonts w:ascii="Cambria" w:eastAsia="Cambria" w:hAnsi="Cambria" w:cs="Cambria"/>
        </w:rPr>
        <w:t>tends toward zero.</w:t>
      </w:r>
    </w:p>
    <w:p w:rsidR="00EE13F6" w:rsidRDefault="002E5BC4">
      <w:pPr>
        <w:pStyle w:val="Heading2"/>
        <w:ind w:left="598" w:right="302" w:hanging="613"/>
      </w:pPr>
      <w:r>
        <w:t>2.2 Upper Bound for the Market’s-Maker Risk Aversion Coefficient in a Competitive Highly Liquid Option Market</w:t>
      </w:r>
    </w:p>
    <w:p w:rsidR="00EE13F6" w:rsidRDefault="002E5BC4">
      <w:pPr>
        <w:spacing w:after="133" w:line="264" w:lineRule="auto"/>
        <w:ind w:left="19" w:right="477" w:hanging="10"/>
        <w:jc w:val="both"/>
      </w:pPr>
      <w:r>
        <w:rPr>
          <w:rFonts w:ascii="Cambria" w:eastAsia="Cambria" w:hAnsi="Cambria" w:cs="Cambria"/>
        </w:rPr>
        <w:t>Through these two equations we can assess the impact of the introduction of the FTT on the prices quoted by market-makers in order to derive any p</w:t>
      </w:r>
      <w:r>
        <w:rPr>
          <w:rFonts w:ascii="Cambria" w:eastAsia="Cambria" w:hAnsi="Cambria" w:cs="Cambria"/>
        </w:rPr>
        <w:t>ossible effect on the implied volatility.</w:t>
      </w:r>
    </w:p>
    <w:p w:rsidR="00EE13F6" w:rsidRDefault="002E5BC4">
      <w:pPr>
        <w:spacing w:after="133" w:line="264" w:lineRule="auto"/>
        <w:ind w:left="19" w:right="477" w:hanging="10"/>
        <w:jc w:val="both"/>
      </w:pPr>
      <w:r>
        <w:rPr>
          <w:rFonts w:ascii="Cambria" w:eastAsia="Cambria" w:hAnsi="Cambria" w:cs="Cambria"/>
        </w:rPr>
        <w:t>Applying the HJB framework directly to the option prices would prove difficult as we will have to deal with the volatility of the call or the put considered as an asset.</w:t>
      </w:r>
    </w:p>
    <w:p w:rsidR="00EE13F6" w:rsidRDefault="002E5BC4">
      <w:pPr>
        <w:spacing w:after="133" w:line="264" w:lineRule="auto"/>
        <w:ind w:left="19" w:right="477" w:hanging="10"/>
        <w:jc w:val="both"/>
      </w:pPr>
      <w:r>
        <w:rPr>
          <w:rFonts w:ascii="Cambria" w:eastAsia="Cambria" w:hAnsi="Cambria" w:cs="Cambria"/>
        </w:rPr>
        <w:t xml:space="preserve">However, we can turn around this difficulty </w:t>
      </w:r>
      <w:r>
        <w:rPr>
          <w:rFonts w:ascii="Cambria" w:eastAsia="Cambria" w:hAnsi="Cambria" w:cs="Cambria"/>
        </w:rPr>
        <w:t>by considering the synthetic stock which is a combination of a call and a put with the same strike and maturity. It is well known that this synthetic security is itself a single stock future on the underlying equity whose maturity is the option’s maturity.</w:t>
      </w:r>
      <w:r>
        <w:rPr>
          <w:rFonts w:ascii="Cambria" w:eastAsia="Cambria" w:hAnsi="Cambria" w:cs="Cambria"/>
        </w:rPr>
        <w:t xml:space="preserve"> We consider that the volatility of the synthetic stock can be approximated by the volatility of the cash stock (cf Appendix B).</w:t>
      </w:r>
    </w:p>
    <w:p w:rsidR="00EE13F6" w:rsidRDefault="002E5BC4">
      <w:pPr>
        <w:spacing w:line="264" w:lineRule="auto"/>
        <w:ind w:left="19" w:right="477" w:hanging="10"/>
        <w:jc w:val="both"/>
      </w:pPr>
      <w:r>
        <w:rPr>
          <w:rFonts w:ascii="Cambria" w:eastAsia="Cambria" w:hAnsi="Cambria" w:cs="Cambria"/>
        </w:rPr>
        <w:t>This framework would be suitable for highly liquid option markets, such there exists already significant volumes on the synthet</w:t>
      </w:r>
      <w:r>
        <w:rPr>
          <w:rFonts w:ascii="Cambria" w:eastAsia="Cambria" w:hAnsi="Cambria" w:cs="Cambria"/>
        </w:rPr>
        <w:t>ic security, and consequently on the corresponding options. The option markets for Apple or Microsoft, appears as good candidate. Such stocks enjoy the privilege of having dedicated exchange traded variance swap markets which cannot be possible without a h</w:t>
      </w:r>
      <w:r>
        <w:rPr>
          <w:rFonts w:ascii="Cambria" w:eastAsia="Cambria" w:hAnsi="Cambria" w:cs="Cambria"/>
        </w:rPr>
        <w:t>ighly liquid market.</w:t>
      </w:r>
    </w:p>
    <w:p w:rsidR="00EE13F6" w:rsidRDefault="002E5BC4">
      <w:pPr>
        <w:spacing w:after="184" w:line="264" w:lineRule="auto"/>
        <w:ind w:left="19" w:right="477" w:hanging="10"/>
        <w:jc w:val="both"/>
      </w:pPr>
      <w:r>
        <w:rPr>
          <w:rFonts w:ascii="Cambria" w:eastAsia="Cambria" w:hAnsi="Cambria" w:cs="Cambria"/>
          <w:b/>
        </w:rPr>
        <w:t xml:space="preserve">Assumption: </w:t>
      </w:r>
      <w:r>
        <w:rPr>
          <w:rFonts w:ascii="Cambria" w:eastAsia="Cambria" w:hAnsi="Cambria" w:cs="Cambria"/>
        </w:rPr>
        <w:t>We can try to calibrate the ”HJB” equation, using the ”boundary condition” that the HJB solution must respect in case the (’frozen”) inventory is held until maturity. In that case, we can compare the results to the Leland o</w:t>
      </w:r>
      <w:r>
        <w:rPr>
          <w:rFonts w:ascii="Cambria" w:eastAsia="Cambria" w:hAnsi="Cambria" w:cs="Cambria"/>
        </w:rPr>
        <w:t xml:space="preserve">r Boyle and Vorst calculations. </w:t>
      </w:r>
      <w:r>
        <w:rPr>
          <w:rFonts w:ascii="Cambria" w:eastAsia="Cambria" w:hAnsi="Cambria" w:cs="Cambria"/>
          <w:b/>
        </w:rPr>
        <w:t xml:space="preserve">The idea behind this comparison is that in such markets, risk adverse market-makers will have to compete with risk neutral players, such as other types of ”flash traders” as well as ”informed traders”. </w:t>
      </w:r>
      <w:r>
        <w:rPr>
          <w:rFonts w:ascii="Cambria" w:eastAsia="Cambria" w:hAnsi="Cambria" w:cs="Cambria"/>
        </w:rPr>
        <w:t>Those last ones are ge</w:t>
      </w:r>
      <w:r>
        <w:rPr>
          <w:rFonts w:ascii="Cambria" w:eastAsia="Cambria" w:hAnsi="Cambria" w:cs="Cambria"/>
        </w:rPr>
        <w:t xml:space="preserve">nerally taking directional positions on the expected direction of the market, for the stock. Practically, to stay in business, risk adverse market-makers will face the general constraint that the increase in their </w:t>
      </w:r>
      <w:r>
        <w:rPr>
          <w:rFonts w:ascii="Cambria" w:eastAsia="Cambria" w:hAnsi="Cambria" w:cs="Cambria"/>
          <w:b/>
        </w:rPr>
        <w:t xml:space="preserve">bid-ask spread following the introduction </w:t>
      </w:r>
      <w:r>
        <w:rPr>
          <w:rFonts w:ascii="Cambria" w:eastAsia="Cambria" w:hAnsi="Cambria" w:cs="Cambria"/>
          <w:b/>
        </w:rPr>
        <w:t>of the FTT, is not more than the one quoted by risk neutral market-makers</w:t>
      </w:r>
      <w:r>
        <w:rPr>
          <w:rFonts w:ascii="Cambria" w:eastAsia="Cambria" w:hAnsi="Cambria" w:cs="Cambria"/>
        </w:rPr>
        <w:t>. Thus, despite the fact that the asymptotic approximation of HJB for a Risk-adverse market maker supposes a monopolistic competition with one representative market-maker, we will adm</w:t>
      </w:r>
      <w:r>
        <w:rPr>
          <w:rFonts w:ascii="Cambria" w:eastAsia="Cambria" w:hAnsi="Cambria" w:cs="Cambria"/>
        </w:rPr>
        <w:t xml:space="preserve">it that there could be other ”market-making agents” following a risk neutral strategy and competing for business with the risk adverse market-makers. </w:t>
      </w:r>
      <w:r>
        <w:rPr>
          <w:rFonts w:ascii="Cambria" w:eastAsia="Cambria" w:hAnsi="Cambria" w:cs="Cambria"/>
          <w:vertAlign w:val="superscript"/>
        </w:rPr>
        <w:footnoteReference w:id="2"/>
      </w:r>
    </w:p>
    <w:p w:rsidR="00EE13F6" w:rsidRDefault="002E5BC4">
      <w:pPr>
        <w:spacing w:after="167" w:line="264" w:lineRule="auto"/>
        <w:ind w:left="19" w:right="477" w:hanging="10"/>
        <w:jc w:val="both"/>
      </w:pPr>
      <w:r>
        <w:rPr>
          <w:rFonts w:ascii="Cambria" w:eastAsia="Cambria" w:hAnsi="Cambria" w:cs="Cambria"/>
        </w:rPr>
        <w:t xml:space="preserve">As explained above, we consider the synthetic stock which is a combination of a call and a put with the </w:t>
      </w:r>
      <w:r>
        <w:rPr>
          <w:rFonts w:ascii="Cambria" w:eastAsia="Cambria" w:hAnsi="Cambria" w:cs="Cambria"/>
        </w:rPr>
        <w:t xml:space="preserve">same strike and maturity. It is well know that this synthetic security has the same pay-off as a </w:t>
      </w:r>
      <w:r>
        <w:rPr>
          <w:rFonts w:ascii="Cambria" w:eastAsia="Cambria" w:hAnsi="Cambria" w:cs="Cambria"/>
        </w:rPr>
        <w:lastRenderedPageBreak/>
        <w:t>single stock future on the underlying equity whose maturity is the option’s maturity. Recall that we proxy the volatility of the synthetic stock by the volatil</w:t>
      </w:r>
      <w:r>
        <w:rPr>
          <w:rFonts w:ascii="Cambria" w:eastAsia="Cambria" w:hAnsi="Cambria" w:cs="Cambria"/>
        </w:rPr>
        <w:t>ity of the cash stock.</w:t>
      </w:r>
    </w:p>
    <w:p w:rsidR="00EE13F6" w:rsidRDefault="002E5BC4">
      <w:pPr>
        <w:spacing w:after="214" w:line="264" w:lineRule="auto"/>
        <w:ind w:left="19" w:right="477" w:hanging="10"/>
        <w:jc w:val="both"/>
      </w:pPr>
      <w:r>
        <w:rPr>
          <w:rFonts w:ascii="Cambria" w:eastAsia="Cambria" w:hAnsi="Cambria" w:cs="Cambria"/>
        </w:rPr>
        <w:t xml:space="preserve">From the bid-ask spread formulation we get: </w:t>
      </w:r>
      <w:r>
        <w:rPr>
          <w:rFonts w:ascii="Cambria" w:eastAsia="Cambria" w:hAnsi="Cambria" w:cs="Cambria"/>
          <w:i/>
        </w:rPr>
        <w:t>δ</w:t>
      </w:r>
      <w:r>
        <w:rPr>
          <w:rFonts w:ascii="Cambria" w:eastAsia="Cambria" w:hAnsi="Cambria" w:cs="Cambria"/>
          <w:i/>
          <w:vertAlign w:val="superscript"/>
        </w:rPr>
        <w:t xml:space="preserve">a </w:t>
      </w:r>
      <w:r>
        <w:rPr>
          <w:rFonts w:ascii="Cambria" w:eastAsia="Cambria" w:hAnsi="Cambria" w:cs="Cambria"/>
        </w:rPr>
        <w:t xml:space="preserve">+ </w:t>
      </w:r>
      <w:r>
        <w:rPr>
          <w:rFonts w:ascii="Cambria" w:eastAsia="Cambria" w:hAnsi="Cambria" w:cs="Cambria"/>
          <w:i/>
        </w:rPr>
        <w:t>δ</w:t>
      </w:r>
      <w:r>
        <w:rPr>
          <w:rFonts w:ascii="Cambria" w:eastAsia="Cambria" w:hAnsi="Cambria" w:cs="Cambria"/>
          <w:i/>
          <w:vertAlign w:val="superscript"/>
        </w:rPr>
        <w:t xml:space="preserve">b </w:t>
      </w:r>
      <w:r>
        <w:rPr>
          <w:rFonts w:ascii="Cambria" w:eastAsia="Cambria" w:hAnsi="Cambria" w:cs="Cambria"/>
        </w:rPr>
        <w:t xml:space="preserve">= </w:t>
      </w:r>
      <w:r>
        <w:rPr>
          <w:rFonts w:ascii="Cambria" w:eastAsia="Cambria" w:hAnsi="Cambria" w:cs="Cambria"/>
          <w:i/>
        </w:rPr>
        <w:t>γσ</w:t>
      </w:r>
      <w:r>
        <w:rPr>
          <w:rFonts w:ascii="Cambria" w:eastAsia="Cambria" w:hAnsi="Cambria" w:cs="Cambria"/>
          <w:vertAlign w:val="superscript"/>
        </w:rPr>
        <w:t xml:space="preserve">2 </w:t>
      </w:r>
      <w:r>
        <w:rPr>
          <w:rFonts w:ascii="Cambria" w:eastAsia="Cambria" w:hAnsi="Cambria" w:cs="Cambria"/>
        </w:rPr>
        <w:t>(</w:t>
      </w:r>
      <w:r>
        <w:rPr>
          <w:rFonts w:ascii="Cambria" w:eastAsia="Cambria" w:hAnsi="Cambria" w:cs="Cambria"/>
          <w:i/>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t</w:t>
      </w:r>
      <w:r>
        <w:rPr>
          <w:rFonts w:ascii="Cambria" w:eastAsia="Cambria" w:hAnsi="Cambria" w:cs="Cambria"/>
        </w:rPr>
        <w:t>)</w:t>
      </w:r>
    </w:p>
    <w:p w:rsidR="00EE13F6" w:rsidRDefault="002E5BC4">
      <w:pPr>
        <w:spacing w:after="0" w:line="315" w:lineRule="auto"/>
        <w:ind w:left="19" w:right="477" w:hanging="10"/>
        <w:jc w:val="both"/>
      </w:pPr>
      <w:r>
        <w:rPr>
          <w:rFonts w:ascii="Cambria" w:eastAsia="Cambria" w:hAnsi="Cambria" w:cs="Cambria"/>
        </w:rPr>
        <w:t xml:space="preserve">If </w:t>
      </w:r>
      <w:r>
        <w:rPr>
          <w:rFonts w:ascii="Cambria" w:eastAsia="Cambria" w:hAnsi="Cambria" w:cs="Cambria"/>
          <w:i/>
        </w:rPr>
        <w:t>σ</w:t>
      </w:r>
      <w:r>
        <w:rPr>
          <w:rFonts w:ascii="Cambria" w:eastAsia="Cambria" w:hAnsi="Cambria" w:cs="Cambria"/>
          <w:i/>
          <w:vertAlign w:val="subscript"/>
        </w:rPr>
        <w:t>A</w:t>
      </w:r>
      <w:r>
        <w:rPr>
          <w:rFonts w:ascii="Cambria" w:eastAsia="Cambria" w:hAnsi="Cambria" w:cs="Cambria"/>
          <w:i/>
          <w:vertAlign w:val="superscript"/>
        </w:rPr>
        <w:t xml:space="preserve">N </w:t>
      </w:r>
      <w:r>
        <w:rPr>
          <w:rFonts w:ascii="Cambria" w:eastAsia="Cambria" w:hAnsi="Cambria" w:cs="Cambria"/>
        </w:rPr>
        <w:t>is the normal volatility of the underlying asset after transaction costs, we proxy the corresponding log-normal volatility by:</w:t>
      </w:r>
    </w:p>
    <w:p w:rsidR="00EE13F6" w:rsidRDefault="002E5BC4">
      <w:pPr>
        <w:spacing w:after="114"/>
        <w:ind w:left="4200"/>
      </w:pPr>
      <w:r>
        <w:rPr>
          <w:noProof/>
        </w:rPr>
        <w:drawing>
          <wp:inline distT="0" distB="0" distL="0" distR="0">
            <wp:extent cx="554736" cy="338328"/>
            <wp:effectExtent l="0" t="0" r="0" b="0"/>
            <wp:docPr id="221856" name="Picture 221856"/>
            <wp:cNvGraphicFramePr/>
            <a:graphic xmlns:a="http://schemas.openxmlformats.org/drawingml/2006/main">
              <a:graphicData uri="http://schemas.openxmlformats.org/drawingml/2006/picture">
                <pic:pic xmlns:pic="http://schemas.openxmlformats.org/drawingml/2006/picture">
                  <pic:nvPicPr>
                    <pic:cNvPr id="221856" name="Picture 221856"/>
                    <pic:cNvPicPr/>
                  </pic:nvPicPr>
                  <pic:blipFill>
                    <a:blip r:embed="rId72"/>
                    <a:stretch>
                      <a:fillRect/>
                    </a:stretch>
                  </pic:blipFill>
                  <pic:spPr>
                    <a:xfrm>
                      <a:off x="0" y="0"/>
                      <a:ext cx="554736" cy="338328"/>
                    </a:xfrm>
                    <a:prstGeom prst="rect">
                      <a:avLst/>
                    </a:prstGeom>
                  </pic:spPr>
                </pic:pic>
              </a:graphicData>
            </a:graphic>
          </wp:inline>
        </w:drawing>
      </w:r>
    </w:p>
    <w:p w:rsidR="00EE13F6" w:rsidRDefault="002E5BC4">
      <w:pPr>
        <w:spacing w:after="175" w:line="264" w:lineRule="auto"/>
        <w:ind w:left="19" w:right="477" w:hanging="10"/>
        <w:jc w:val="both"/>
      </w:pPr>
      <w:r>
        <w:rPr>
          <w:rFonts w:ascii="Cambria" w:eastAsia="Cambria" w:hAnsi="Cambria" w:cs="Cambria"/>
        </w:rPr>
        <w:t>(</w:t>
      </w:r>
      <w:r>
        <w:rPr>
          <w:rFonts w:ascii="Cambria" w:eastAsia="Cambria" w:hAnsi="Cambria" w:cs="Cambria"/>
          <w:i/>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t</w:t>
      </w:r>
      <w:r>
        <w:rPr>
          <w:rFonts w:ascii="Cambria" w:eastAsia="Cambria" w:hAnsi="Cambria" w:cs="Cambria"/>
        </w:rPr>
        <w:t>) designates the time horizon on which the market-maker maximizes its expected utility.</w:t>
      </w:r>
    </w:p>
    <w:p w:rsidR="00EE13F6" w:rsidRDefault="002E5BC4">
      <w:pPr>
        <w:spacing w:after="203" w:line="264" w:lineRule="auto"/>
        <w:ind w:left="19" w:right="477" w:hanging="10"/>
        <w:jc w:val="both"/>
      </w:pPr>
      <w:r>
        <w:rPr>
          <w:rFonts w:ascii="Cambria" w:eastAsia="Cambria" w:hAnsi="Cambria" w:cs="Cambria"/>
        </w:rPr>
        <w:t xml:space="preserve">We designate by ∆ the quantity </w:t>
      </w:r>
      <w:r>
        <w:rPr>
          <w:rFonts w:ascii="Cambria" w:eastAsia="Cambria" w:hAnsi="Cambria" w:cs="Cambria"/>
          <w:i/>
        </w:rPr>
        <w:t>δ</w:t>
      </w:r>
      <w:r>
        <w:rPr>
          <w:rFonts w:ascii="Cambria" w:eastAsia="Cambria" w:hAnsi="Cambria" w:cs="Cambria"/>
          <w:i/>
          <w:vertAlign w:val="superscript"/>
        </w:rPr>
        <w:t xml:space="preserve">a </w:t>
      </w:r>
      <w:r>
        <w:rPr>
          <w:rFonts w:ascii="Cambria" w:eastAsia="Cambria" w:hAnsi="Cambria" w:cs="Cambria"/>
        </w:rPr>
        <w:t xml:space="preserve">+ </w:t>
      </w:r>
      <w:r>
        <w:rPr>
          <w:rFonts w:ascii="Cambria" w:eastAsia="Cambria" w:hAnsi="Cambria" w:cs="Cambria"/>
          <w:i/>
        </w:rPr>
        <w:t>δ</w:t>
      </w:r>
      <w:r>
        <w:rPr>
          <w:rFonts w:ascii="Cambria" w:eastAsia="Cambria" w:hAnsi="Cambria" w:cs="Cambria"/>
          <w:i/>
          <w:vertAlign w:val="superscript"/>
        </w:rPr>
        <w:t>b</w:t>
      </w:r>
      <w:r>
        <w:rPr>
          <w:rFonts w:ascii="Cambria" w:eastAsia="Cambria" w:hAnsi="Cambria" w:cs="Cambria"/>
        </w:rPr>
        <w:t>.</w:t>
      </w:r>
    </w:p>
    <w:p w:rsidR="00EE13F6" w:rsidRDefault="002E5BC4">
      <w:pPr>
        <w:spacing w:after="133" w:line="264" w:lineRule="auto"/>
        <w:ind w:left="19" w:right="477" w:hanging="10"/>
        <w:jc w:val="both"/>
      </w:pPr>
      <w:r>
        <w:rPr>
          <w:rFonts w:ascii="Cambria" w:eastAsia="Cambria" w:hAnsi="Cambria" w:cs="Cambria"/>
        </w:rPr>
        <w:t xml:space="preserve">We use the following notation for Vega. </w:t>
      </w:r>
      <w:r>
        <w:rPr>
          <w:rFonts w:ascii="Cambria" w:eastAsia="Cambria" w:hAnsi="Cambria" w:cs="Cambria"/>
          <w:i/>
        </w:rPr>
        <w:t>V ega</w:t>
      </w:r>
      <w:r>
        <w:rPr>
          <w:rFonts w:ascii="Cambria" w:eastAsia="Cambria" w:hAnsi="Cambria" w:cs="Cambria"/>
        </w:rPr>
        <w:t>(</w:t>
      </w:r>
      <w:r>
        <w:rPr>
          <w:rFonts w:ascii="Cambria" w:eastAsia="Cambria" w:hAnsi="Cambria" w:cs="Cambria"/>
          <w:i/>
        </w:rPr>
        <w:t>S</w:t>
      </w:r>
      <w:r>
        <w:rPr>
          <w:rFonts w:ascii="Cambria" w:eastAsia="Cambria" w:hAnsi="Cambria" w:cs="Cambria"/>
          <w:vertAlign w:val="subscript"/>
        </w:rPr>
        <w:t>0</w:t>
      </w:r>
      <w:r>
        <w:rPr>
          <w:rFonts w:ascii="Cambria" w:eastAsia="Cambria" w:hAnsi="Cambria" w:cs="Cambria"/>
          <w:i/>
        </w:rPr>
        <w:t>,K,σ,T,t</w:t>
      </w:r>
      <w:r>
        <w:rPr>
          <w:rFonts w:ascii="Cambria" w:eastAsia="Cambria" w:hAnsi="Cambria" w:cs="Cambria"/>
        </w:rPr>
        <w:t xml:space="preserve">) = </w:t>
      </w:r>
      <w:r>
        <w:rPr>
          <w:rFonts w:ascii="Cambria" w:eastAsia="Cambria" w:hAnsi="Cambria" w:cs="Cambria"/>
          <w:i/>
        </w:rPr>
        <w:t>ϑ</w:t>
      </w:r>
      <w:r>
        <w:rPr>
          <w:rFonts w:ascii="Cambria" w:eastAsia="Cambria" w:hAnsi="Cambria" w:cs="Cambria"/>
        </w:rPr>
        <w:t>((</w:t>
      </w:r>
      <w:r>
        <w:rPr>
          <w:rFonts w:ascii="Cambria" w:eastAsia="Cambria" w:hAnsi="Cambria" w:cs="Cambria"/>
          <w:i/>
        </w:rPr>
        <w:t>S</w:t>
      </w:r>
      <w:r>
        <w:rPr>
          <w:rFonts w:ascii="Cambria" w:eastAsia="Cambria" w:hAnsi="Cambria" w:cs="Cambria"/>
          <w:vertAlign w:val="subscript"/>
        </w:rPr>
        <w:t>0</w:t>
      </w:r>
      <w:r>
        <w:rPr>
          <w:rFonts w:ascii="Cambria" w:eastAsia="Cambria" w:hAnsi="Cambria" w:cs="Cambria"/>
          <w:i/>
        </w:rPr>
        <w:t>,K,σ,T,t</w:t>
      </w:r>
      <w:r>
        <w:rPr>
          <w:rFonts w:ascii="Cambria" w:eastAsia="Cambria" w:hAnsi="Cambria" w:cs="Cambria"/>
        </w:rPr>
        <w:t>)</w:t>
      </w:r>
    </w:p>
    <w:p w:rsidR="00EE13F6" w:rsidRDefault="002E5BC4">
      <w:pPr>
        <w:spacing w:after="382" w:line="264" w:lineRule="auto"/>
        <w:ind w:left="19" w:right="477" w:hanging="10"/>
        <w:jc w:val="both"/>
      </w:pPr>
      <w:r>
        <w:rPr>
          <w:rFonts w:ascii="Cambria" w:eastAsia="Cambria" w:hAnsi="Cambria" w:cs="Cambria"/>
        </w:rPr>
        <w:t xml:space="preserve">The competitiveness constraint imposes that the bid-ask spread for risk adverse market-makers will not increase more than the bid-ask spread of risk neutral market makers. Moreover, we know that according to HJB, the increase in the synthetic stock spread </w:t>
      </w:r>
      <w:r>
        <w:rPr>
          <w:rFonts w:ascii="Cambria" w:eastAsia="Cambria" w:hAnsi="Cambria" w:cs="Cambria"/>
        </w:rPr>
        <w:t>writes:</w:t>
      </w:r>
    </w:p>
    <w:p w:rsidR="00EE13F6" w:rsidRDefault="002E5BC4">
      <w:pPr>
        <w:tabs>
          <w:tab w:val="center" w:pos="4726"/>
          <w:tab w:val="center" w:pos="9166"/>
        </w:tabs>
        <w:spacing w:after="210" w:line="265" w:lineRule="auto"/>
      </w:pPr>
      <w:r>
        <w:tab/>
      </w:r>
      <w:r>
        <w:rPr>
          <w:noProof/>
        </w:rPr>
        <w:drawing>
          <wp:inline distT="0" distB="0" distL="0" distR="0">
            <wp:extent cx="1536192" cy="164592"/>
            <wp:effectExtent l="0" t="0" r="0" b="0"/>
            <wp:docPr id="221857" name="Picture 221857"/>
            <wp:cNvGraphicFramePr/>
            <a:graphic xmlns:a="http://schemas.openxmlformats.org/drawingml/2006/main">
              <a:graphicData uri="http://schemas.openxmlformats.org/drawingml/2006/picture">
                <pic:pic xmlns:pic="http://schemas.openxmlformats.org/drawingml/2006/picture">
                  <pic:nvPicPr>
                    <pic:cNvPr id="221857" name="Picture 221857"/>
                    <pic:cNvPicPr/>
                  </pic:nvPicPr>
                  <pic:blipFill>
                    <a:blip r:embed="rId73"/>
                    <a:stretch>
                      <a:fillRect/>
                    </a:stretch>
                  </pic:blipFill>
                  <pic:spPr>
                    <a:xfrm>
                      <a:off x="0" y="0"/>
                      <a:ext cx="1536192" cy="164592"/>
                    </a:xfrm>
                    <a:prstGeom prst="rect">
                      <a:avLst/>
                    </a:prstGeom>
                  </pic:spPr>
                </pic:pic>
              </a:graphicData>
            </a:graphic>
          </wp:inline>
        </w:drawing>
      </w:r>
      <w:r>
        <w:rPr>
          <w:rFonts w:ascii="Cambria" w:eastAsia="Cambria" w:hAnsi="Cambria" w:cs="Cambria"/>
        </w:rPr>
        <w:tab/>
        <w:t>(23)</w:t>
      </w:r>
    </w:p>
    <w:p w:rsidR="00EE13F6" w:rsidRDefault="002E5BC4">
      <w:pPr>
        <w:spacing w:after="442" w:line="264" w:lineRule="auto"/>
        <w:ind w:left="19" w:right="477" w:hanging="10"/>
        <w:jc w:val="both"/>
      </w:pPr>
      <w:r>
        <w:rPr>
          <w:rFonts w:ascii="Cambria" w:eastAsia="Cambria" w:hAnsi="Cambria" w:cs="Cambria"/>
        </w:rPr>
        <w:t>On the other hand, Boyle and Vorst or Leland analysis retain a ”volatility bump” for the call and the put so a consequent bump on the synthetic security bid-ask spread which writes:</w:t>
      </w:r>
    </w:p>
    <w:p w:rsidR="00EE13F6" w:rsidRDefault="002E5BC4">
      <w:pPr>
        <w:tabs>
          <w:tab w:val="center" w:pos="4680"/>
          <w:tab w:val="center" w:pos="9166"/>
        </w:tabs>
        <w:spacing w:after="123" w:line="265" w:lineRule="auto"/>
      </w:pPr>
      <w:r>
        <w:tab/>
      </w:r>
      <w:r>
        <w:rPr>
          <w:rFonts w:ascii="Cambria" w:eastAsia="Cambria" w:hAnsi="Cambria" w:cs="Cambria"/>
        </w:rPr>
        <w:t>∆</w:t>
      </w:r>
      <w:r>
        <w:rPr>
          <w:rFonts w:ascii="Cambria" w:eastAsia="Cambria" w:hAnsi="Cambria" w:cs="Cambria"/>
        </w:rPr>
        <w:t xml:space="preserve"> = 2</w:t>
      </w:r>
      <w:r>
        <w:rPr>
          <w:rFonts w:ascii="Cambria" w:eastAsia="Cambria" w:hAnsi="Cambria" w:cs="Cambria"/>
          <w:i/>
        </w:rPr>
        <w:t>ϑ</w:t>
      </w:r>
      <w:r>
        <w:rPr>
          <w:rFonts w:ascii="Cambria" w:eastAsia="Cambria" w:hAnsi="Cambria" w:cs="Cambria"/>
        </w:rPr>
        <w:t>(</w:t>
      </w:r>
      <w:r>
        <w:rPr>
          <w:rFonts w:ascii="Cambria" w:eastAsia="Cambria" w:hAnsi="Cambria" w:cs="Cambria"/>
          <w:i/>
        </w:rPr>
        <w:t>S</w:t>
      </w:r>
      <w:r>
        <w:rPr>
          <w:rFonts w:ascii="Cambria" w:eastAsia="Cambria" w:hAnsi="Cambria" w:cs="Cambria"/>
          <w:vertAlign w:val="subscript"/>
        </w:rPr>
        <w:t>0</w:t>
      </w:r>
      <w:r>
        <w:rPr>
          <w:rFonts w:ascii="Cambria" w:eastAsia="Cambria" w:hAnsi="Cambria" w:cs="Cambria"/>
          <w:i/>
        </w:rPr>
        <w:t>,K,σ T,t</w:t>
      </w:r>
      <w:r>
        <w:rPr>
          <w:rFonts w:ascii="Cambria" w:eastAsia="Cambria" w:hAnsi="Cambria" w:cs="Cambria"/>
        </w:rPr>
        <w:t>)(</w:t>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w:t>
      </w:r>
      <w:r>
        <w:rPr>
          <w:rFonts w:ascii="Cambria" w:eastAsia="Cambria" w:hAnsi="Cambria" w:cs="Cambria"/>
        </w:rPr>
        <w:t xml:space="preserve"> </w:t>
      </w:r>
      <w:r>
        <w:rPr>
          <w:rFonts w:ascii="Cambria" w:eastAsia="Cambria" w:hAnsi="Cambria" w:cs="Cambria"/>
          <w:i/>
        </w:rPr>
        <w:t>σ</w:t>
      </w:r>
      <w:r>
        <w:rPr>
          <w:rFonts w:ascii="Cambria" w:eastAsia="Cambria" w:hAnsi="Cambria" w:cs="Cambria"/>
        </w:rPr>
        <w:t>)</w:t>
      </w:r>
      <w:r>
        <w:rPr>
          <w:rFonts w:ascii="Cambria" w:eastAsia="Cambria" w:hAnsi="Cambria" w:cs="Cambria"/>
        </w:rPr>
        <w:tab/>
        <w:t>(24)</w:t>
      </w:r>
    </w:p>
    <w:p w:rsidR="00EE13F6" w:rsidRDefault="002E5BC4">
      <w:pPr>
        <w:spacing w:after="113" w:line="264" w:lineRule="auto"/>
        <w:ind w:left="19" w:right="477" w:hanging="10"/>
        <w:jc w:val="both"/>
      </w:pPr>
      <w:r>
        <w:rPr>
          <w:rFonts w:ascii="Cambria" w:eastAsia="Cambria" w:hAnsi="Cambria" w:cs="Cambria"/>
        </w:rPr>
        <w:t>we know from Black-Scholes framework that</w:t>
      </w:r>
    </w:p>
    <w:p w:rsidR="00EE13F6" w:rsidRDefault="002E5BC4">
      <w:pPr>
        <w:tabs>
          <w:tab w:val="center" w:pos="4662"/>
          <w:tab w:val="center" w:pos="9166"/>
        </w:tabs>
        <w:spacing w:after="285" w:line="265" w:lineRule="auto"/>
      </w:pPr>
      <w:r>
        <w:tab/>
      </w:r>
      <w:r>
        <w:rPr>
          <w:noProof/>
        </w:rPr>
        <w:drawing>
          <wp:inline distT="0" distB="0" distL="0" distR="0">
            <wp:extent cx="2642616" cy="164592"/>
            <wp:effectExtent l="0" t="0" r="0" b="0"/>
            <wp:docPr id="221858" name="Picture 221858"/>
            <wp:cNvGraphicFramePr/>
            <a:graphic xmlns:a="http://schemas.openxmlformats.org/drawingml/2006/main">
              <a:graphicData uri="http://schemas.openxmlformats.org/drawingml/2006/picture">
                <pic:pic xmlns:pic="http://schemas.openxmlformats.org/drawingml/2006/picture">
                  <pic:nvPicPr>
                    <pic:cNvPr id="221858" name="Picture 221858"/>
                    <pic:cNvPicPr/>
                  </pic:nvPicPr>
                  <pic:blipFill>
                    <a:blip r:embed="rId74"/>
                    <a:stretch>
                      <a:fillRect/>
                    </a:stretch>
                  </pic:blipFill>
                  <pic:spPr>
                    <a:xfrm>
                      <a:off x="0" y="0"/>
                      <a:ext cx="2642616" cy="164592"/>
                    </a:xfrm>
                    <a:prstGeom prst="rect">
                      <a:avLst/>
                    </a:prstGeom>
                  </pic:spPr>
                </pic:pic>
              </a:graphicData>
            </a:graphic>
          </wp:inline>
        </w:drawing>
      </w:r>
      <w:r>
        <w:rPr>
          <w:rFonts w:ascii="Cambria" w:eastAsia="Cambria" w:hAnsi="Cambria" w:cs="Cambria"/>
        </w:rPr>
        <w:t>)</w:t>
      </w:r>
      <w:r>
        <w:rPr>
          <w:rFonts w:ascii="Cambria" w:eastAsia="Cambria" w:hAnsi="Cambria" w:cs="Cambria"/>
        </w:rPr>
        <w:tab/>
        <w:t>(25)</w:t>
      </w:r>
    </w:p>
    <w:p w:rsidR="00EE13F6" w:rsidRDefault="002E5BC4">
      <w:pPr>
        <w:spacing w:after="74" w:line="264" w:lineRule="auto"/>
        <w:ind w:left="19" w:right="477" w:hanging="10"/>
        <w:jc w:val="both"/>
      </w:pPr>
      <w:r>
        <w:rPr>
          <w:rFonts w:ascii="Cambria" w:eastAsia="Cambria" w:hAnsi="Cambria" w:cs="Cambria"/>
        </w:rPr>
        <w:t>Because of the competitive condition, both risk neutral and risk adverse market-makers must quote the same bid-ask interval on the synthetic stock. We further assume that they consider the same market impa</w:t>
      </w:r>
      <w:r>
        <w:rPr>
          <w:rFonts w:ascii="Cambria" w:eastAsia="Cambria" w:hAnsi="Cambria" w:cs="Cambria"/>
        </w:rPr>
        <w:t>ct. Consequently, we have the following relationship.</w:t>
      </w:r>
    </w:p>
    <w:p w:rsidR="00EE13F6" w:rsidRDefault="002E5BC4">
      <w:pPr>
        <w:tabs>
          <w:tab w:val="center" w:pos="4691"/>
          <w:tab w:val="center" w:pos="9166"/>
        </w:tabs>
        <w:spacing w:after="161" w:line="265" w:lineRule="auto"/>
      </w:pPr>
      <w:r>
        <w:tab/>
      </w:r>
      <w:r>
        <w:rPr>
          <w:noProof/>
        </w:rPr>
        <w:drawing>
          <wp:inline distT="0" distB="0" distL="0" distR="0">
            <wp:extent cx="4386072" cy="335280"/>
            <wp:effectExtent l="0" t="0" r="0" b="0"/>
            <wp:docPr id="221859" name="Picture 221859"/>
            <wp:cNvGraphicFramePr/>
            <a:graphic xmlns:a="http://schemas.openxmlformats.org/drawingml/2006/main">
              <a:graphicData uri="http://schemas.openxmlformats.org/drawingml/2006/picture">
                <pic:pic xmlns:pic="http://schemas.openxmlformats.org/drawingml/2006/picture">
                  <pic:nvPicPr>
                    <pic:cNvPr id="221859" name="Picture 221859"/>
                    <pic:cNvPicPr/>
                  </pic:nvPicPr>
                  <pic:blipFill>
                    <a:blip r:embed="rId75"/>
                    <a:stretch>
                      <a:fillRect/>
                    </a:stretch>
                  </pic:blipFill>
                  <pic:spPr>
                    <a:xfrm>
                      <a:off x="0" y="0"/>
                      <a:ext cx="4386072" cy="335280"/>
                    </a:xfrm>
                    <a:prstGeom prst="rect">
                      <a:avLst/>
                    </a:prstGeom>
                  </pic:spPr>
                </pic:pic>
              </a:graphicData>
            </a:graphic>
          </wp:inline>
        </w:drawing>
      </w:r>
      <w:r>
        <w:rPr>
          <w:rFonts w:ascii="Cambria" w:eastAsia="Cambria" w:hAnsi="Cambria" w:cs="Cambria"/>
        </w:rPr>
        <w:tab/>
        <w:t>(26)</w:t>
      </w:r>
    </w:p>
    <w:p w:rsidR="00EE13F6" w:rsidRDefault="002E5BC4">
      <w:pPr>
        <w:spacing w:after="215" w:line="216" w:lineRule="auto"/>
        <w:ind w:left="19" w:right="477" w:hanging="10"/>
        <w:jc w:val="both"/>
      </w:pPr>
      <w:r>
        <w:rPr>
          <w:rFonts w:ascii="Cambria" w:eastAsia="Cambria" w:hAnsi="Cambria" w:cs="Cambria"/>
        </w:rPr>
        <w:t xml:space="preserve">Where </w:t>
      </w:r>
      <w:r>
        <w:rPr>
          <w:rFonts w:ascii="Cambria" w:eastAsia="Cambria" w:hAnsi="Cambria" w:cs="Cambria"/>
          <w:i/>
        </w:rPr>
        <w:t xml:space="preserve">k </w:t>
      </w:r>
      <w:r>
        <w:rPr>
          <w:rFonts w:ascii="Cambria" w:eastAsia="Cambria" w:hAnsi="Cambria" w:cs="Cambria"/>
        </w:rPr>
        <w:t xml:space="preserve">designates the effective tax rate, which is </w:t>
      </w:r>
      <w:r>
        <w:rPr>
          <w:noProof/>
        </w:rPr>
        <w:drawing>
          <wp:inline distT="0" distB="0" distL="0" distR="0">
            <wp:extent cx="167640" cy="176785"/>
            <wp:effectExtent l="0" t="0" r="0" b="0"/>
            <wp:docPr id="221860" name="Picture 221860"/>
            <wp:cNvGraphicFramePr/>
            <a:graphic xmlns:a="http://schemas.openxmlformats.org/drawingml/2006/main">
              <a:graphicData uri="http://schemas.openxmlformats.org/drawingml/2006/picture">
                <pic:pic xmlns:pic="http://schemas.openxmlformats.org/drawingml/2006/picture">
                  <pic:nvPicPr>
                    <pic:cNvPr id="221860" name="Picture 221860"/>
                    <pic:cNvPicPr/>
                  </pic:nvPicPr>
                  <pic:blipFill>
                    <a:blip r:embed="rId76"/>
                    <a:stretch>
                      <a:fillRect/>
                    </a:stretch>
                  </pic:blipFill>
                  <pic:spPr>
                    <a:xfrm>
                      <a:off x="0" y="0"/>
                      <a:ext cx="167640" cy="176785"/>
                    </a:xfrm>
                    <a:prstGeom prst="rect">
                      <a:avLst/>
                    </a:prstGeom>
                  </pic:spPr>
                </pic:pic>
              </a:graphicData>
            </a:graphic>
          </wp:inline>
        </w:drawing>
      </w:r>
      <w:r>
        <w:rPr>
          <w:rFonts w:ascii="Cambria" w:eastAsia="Cambria" w:hAnsi="Cambria" w:cs="Cambria"/>
        </w:rPr>
        <w:t xml:space="preserve"> for cash instruments and </w:t>
      </w:r>
      <w:r>
        <w:rPr>
          <w:noProof/>
        </w:rPr>
        <w:drawing>
          <wp:inline distT="0" distB="0" distL="0" distR="0">
            <wp:extent cx="222504" cy="176785"/>
            <wp:effectExtent l="0" t="0" r="0" b="0"/>
            <wp:docPr id="221861" name="Picture 221861"/>
            <wp:cNvGraphicFramePr/>
            <a:graphic xmlns:a="http://schemas.openxmlformats.org/drawingml/2006/main">
              <a:graphicData uri="http://schemas.openxmlformats.org/drawingml/2006/picture">
                <pic:pic xmlns:pic="http://schemas.openxmlformats.org/drawingml/2006/picture">
                  <pic:nvPicPr>
                    <pic:cNvPr id="221861" name="Picture 221861"/>
                    <pic:cNvPicPr/>
                  </pic:nvPicPr>
                  <pic:blipFill>
                    <a:blip r:embed="rId77"/>
                    <a:stretch>
                      <a:fillRect/>
                    </a:stretch>
                  </pic:blipFill>
                  <pic:spPr>
                    <a:xfrm>
                      <a:off x="0" y="0"/>
                      <a:ext cx="222504" cy="176785"/>
                    </a:xfrm>
                    <a:prstGeom prst="rect">
                      <a:avLst/>
                    </a:prstGeom>
                  </pic:spPr>
                </pic:pic>
              </a:graphicData>
            </a:graphic>
          </wp:inline>
        </w:drawing>
      </w:r>
      <w:r>
        <w:rPr>
          <w:rFonts w:ascii="Cambria" w:eastAsia="Cambria" w:hAnsi="Cambria" w:cs="Cambria"/>
        </w:rPr>
        <w:t xml:space="preserve"> for derivatives such as Single Stock Futures.</w:t>
      </w:r>
    </w:p>
    <w:p w:rsidR="00EE13F6" w:rsidRDefault="002E5BC4">
      <w:pPr>
        <w:spacing w:after="133" w:line="264" w:lineRule="auto"/>
        <w:ind w:left="19" w:right="477" w:hanging="10"/>
        <w:jc w:val="both"/>
      </w:pPr>
      <w:r>
        <w:rPr>
          <w:rFonts w:ascii="Cambria" w:eastAsia="Cambria" w:hAnsi="Cambria" w:cs="Cambria"/>
        </w:rPr>
        <w:t>If we further assume that the natural ”time horizon” in such market</w:t>
      </w:r>
      <w:r>
        <w:rPr>
          <w:rFonts w:ascii="Cambria" w:eastAsia="Cambria" w:hAnsi="Cambria" w:cs="Cambria"/>
        </w:rPr>
        <w:t>s is the day ∆</w:t>
      </w:r>
      <w:r>
        <w:rPr>
          <w:rFonts w:ascii="Cambria" w:eastAsia="Cambria" w:hAnsi="Cambria" w:cs="Cambria"/>
          <w:i/>
          <w:vertAlign w:val="subscript"/>
        </w:rPr>
        <w:t xml:space="preserve">t </w:t>
      </w:r>
      <w:r>
        <w:rPr>
          <w:rFonts w:ascii="Cambria" w:eastAsia="Cambria" w:hAnsi="Cambria" w:cs="Cambria"/>
        </w:rPr>
        <w:t>= (</w:t>
      </w:r>
      <w:r>
        <w:rPr>
          <w:rFonts w:ascii="Cambria" w:eastAsia="Cambria" w:hAnsi="Cambria" w:cs="Cambria"/>
          <w:i/>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t</w:t>
      </w:r>
      <w:r>
        <w:rPr>
          <w:rFonts w:ascii="Cambria" w:eastAsia="Cambria" w:hAnsi="Cambria" w:cs="Cambria"/>
        </w:rPr>
        <w:t>) and also that the re-hedging frequency is daily. Equation above simplifies into:</w:t>
      </w:r>
    </w:p>
    <w:p w:rsidR="00EE13F6" w:rsidRDefault="002E5BC4">
      <w:pPr>
        <w:tabs>
          <w:tab w:val="center" w:pos="4698"/>
          <w:tab w:val="center" w:pos="9166"/>
        </w:tabs>
        <w:spacing w:after="230" w:line="265" w:lineRule="auto"/>
      </w:pPr>
      <w:r>
        <w:tab/>
      </w:r>
      <w:r>
        <w:rPr>
          <w:noProof/>
        </w:rPr>
        <w:drawing>
          <wp:inline distT="0" distB="0" distL="0" distR="0">
            <wp:extent cx="1307592" cy="332232"/>
            <wp:effectExtent l="0" t="0" r="0" b="0"/>
            <wp:docPr id="221862" name="Picture 221862"/>
            <wp:cNvGraphicFramePr/>
            <a:graphic xmlns:a="http://schemas.openxmlformats.org/drawingml/2006/main">
              <a:graphicData uri="http://schemas.openxmlformats.org/drawingml/2006/picture">
                <pic:pic xmlns:pic="http://schemas.openxmlformats.org/drawingml/2006/picture">
                  <pic:nvPicPr>
                    <pic:cNvPr id="221862" name="Picture 221862"/>
                    <pic:cNvPicPr/>
                  </pic:nvPicPr>
                  <pic:blipFill>
                    <a:blip r:embed="rId78"/>
                    <a:stretch>
                      <a:fillRect/>
                    </a:stretch>
                  </pic:blipFill>
                  <pic:spPr>
                    <a:xfrm>
                      <a:off x="0" y="0"/>
                      <a:ext cx="1307592" cy="332232"/>
                    </a:xfrm>
                    <a:prstGeom prst="rect">
                      <a:avLst/>
                    </a:prstGeom>
                  </pic:spPr>
                </pic:pic>
              </a:graphicData>
            </a:graphic>
          </wp:inline>
        </w:drawing>
      </w:r>
      <w:r>
        <w:rPr>
          <w:rFonts w:ascii="Cambria" w:eastAsia="Cambria" w:hAnsi="Cambria" w:cs="Cambria"/>
        </w:rPr>
        <w:tab/>
        <w:t>(27)</w:t>
      </w:r>
    </w:p>
    <w:p w:rsidR="00EE13F6" w:rsidRDefault="002E5BC4">
      <w:pPr>
        <w:spacing w:after="246" w:line="264" w:lineRule="auto"/>
        <w:ind w:left="19" w:right="477" w:hanging="10"/>
        <w:jc w:val="both"/>
      </w:pPr>
      <w:r>
        <w:rPr>
          <w:rFonts w:ascii="Cambria" w:eastAsia="Cambria" w:hAnsi="Cambria" w:cs="Cambria"/>
        </w:rPr>
        <w:t>According to equation 2 (Boyle and Vorst), we have:</w:t>
      </w:r>
    </w:p>
    <w:p w:rsidR="00EE13F6" w:rsidRDefault="002E5BC4">
      <w:pPr>
        <w:tabs>
          <w:tab w:val="center" w:pos="4676"/>
          <w:tab w:val="center" w:pos="9166"/>
        </w:tabs>
        <w:spacing w:after="372" w:line="265" w:lineRule="auto"/>
      </w:pPr>
      <w:r>
        <w:tab/>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 xml:space="preserve">= (1 + </w:t>
      </w:r>
      <w:r>
        <w:rPr>
          <w:rFonts w:ascii="Cambria" w:eastAsia="Cambria" w:hAnsi="Cambria" w:cs="Cambria"/>
          <w:i/>
        </w:rPr>
        <w:t>µ</w:t>
      </w:r>
      <w:r>
        <w:rPr>
          <w:rFonts w:ascii="Cambria" w:eastAsia="Cambria" w:hAnsi="Cambria" w:cs="Cambria"/>
        </w:rPr>
        <w:t>)</w:t>
      </w:r>
      <w:r>
        <w:rPr>
          <w:rFonts w:ascii="Cambria" w:eastAsia="Cambria" w:hAnsi="Cambria" w:cs="Cambria"/>
          <w:i/>
        </w:rPr>
        <w:t>σ</w:t>
      </w:r>
      <w:r>
        <w:rPr>
          <w:rFonts w:ascii="Cambria" w:eastAsia="Cambria" w:hAnsi="Cambria" w:cs="Cambria"/>
          <w:i/>
        </w:rPr>
        <w:tab/>
      </w:r>
      <w:r>
        <w:rPr>
          <w:rFonts w:ascii="Cambria" w:eastAsia="Cambria" w:hAnsi="Cambria" w:cs="Cambria"/>
        </w:rPr>
        <w:t>(28)</w:t>
      </w:r>
    </w:p>
    <w:p w:rsidR="00EE13F6" w:rsidRDefault="002E5BC4">
      <w:pPr>
        <w:spacing w:after="0" w:line="264" w:lineRule="auto"/>
        <w:ind w:left="19" w:right="4563" w:hanging="10"/>
        <w:jc w:val="both"/>
      </w:pPr>
      <w:r>
        <w:rPr>
          <w:rFonts w:ascii="Cambria" w:eastAsia="Cambria" w:hAnsi="Cambria" w:cs="Cambria"/>
        </w:rPr>
        <w:lastRenderedPageBreak/>
        <w:t>with</w:t>
      </w:r>
    </w:p>
    <w:p w:rsidR="00EE13F6" w:rsidRDefault="002E5BC4">
      <w:pPr>
        <w:spacing w:after="168"/>
        <w:ind w:left="4040"/>
      </w:pPr>
      <w:r>
        <w:rPr>
          <w:noProof/>
        </w:rPr>
        <w:drawing>
          <wp:inline distT="0" distB="0" distL="0" distR="0">
            <wp:extent cx="752856" cy="335280"/>
            <wp:effectExtent l="0" t="0" r="0" b="0"/>
            <wp:docPr id="221863" name="Picture 221863"/>
            <wp:cNvGraphicFramePr/>
            <a:graphic xmlns:a="http://schemas.openxmlformats.org/drawingml/2006/main">
              <a:graphicData uri="http://schemas.openxmlformats.org/drawingml/2006/picture">
                <pic:pic xmlns:pic="http://schemas.openxmlformats.org/drawingml/2006/picture">
                  <pic:nvPicPr>
                    <pic:cNvPr id="221863" name="Picture 221863"/>
                    <pic:cNvPicPr/>
                  </pic:nvPicPr>
                  <pic:blipFill>
                    <a:blip r:embed="rId79"/>
                    <a:stretch>
                      <a:fillRect/>
                    </a:stretch>
                  </pic:blipFill>
                  <pic:spPr>
                    <a:xfrm>
                      <a:off x="0" y="0"/>
                      <a:ext cx="752856" cy="335280"/>
                    </a:xfrm>
                    <a:prstGeom prst="rect">
                      <a:avLst/>
                    </a:prstGeom>
                  </pic:spPr>
                </pic:pic>
              </a:graphicData>
            </a:graphic>
          </wp:inline>
        </w:drawing>
      </w:r>
    </w:p>
    <w:p w:rsidR="00EE13F6" w:rsidRDefault="002E5BC4">
      <w:pPr>
        <w:spacing w:after="0" w:line="409" w:lineRule="auto"/>
        <w:ind w:left="19" w:right="2043" w:hanging="10"/>
        <w:jc w:val="both"/>
      </w:pPr>
      <w:r>
        <w:rPr>
          <w:rFonts w:ascii="Cambria" w:eastAsia="Cambria" w:hAnsi="Cambria" w:cs="Cambria"/>
        </w:rPr>
        <w:t xml:space="preserve">where </w:t>
      </w:r>
      <w:r>
        <w:rPr>
          <w:rFonts w:ascii="Cambria" w:eastAsia="Cambria" w:hAnsi="Cambria" w:cs="Cambria"/>
          <w:i/>
        </w:rPr>
        <w:t xml:space="preserve">ν </w:t>
      </w:r>
      <w:r>
        <w:rPr>
          <w:rFonts w:ascii="Cambria" w:eastAsia="Cambria" w:hAnsi="Cambria" w:cs="Cambria"/>
        </w:rPr>
        <w:t xml:space="preserve">designate the threshold for applying the </w:t>
      </w:r>
      <w:r>
        <w:rPr>
          <w:rFonts w:ascii="Cambria" w:eastAsia="Cambria" w:hAnsi="Cambria" w:cs="Cambria"/>
          <w:i/>
        </w:rPr>
        <w:t xml:space="preserve">ν </w:t>
      </w:r>
      <w:r>
        <w:rPr>
          <w:rFonts w:ascii="Cambria" w:eastAsia="Cambria" w:hAnsi="Cambria" w:cs="Cambria"/>
        </w:rPr>
        <w:t>based ∆</w:t>
      </w:r>
      <w:r>
        <w:rPr>
          <w:rFonts w:ascii="Cambria" w:eastAsia="Cambria" w:hAnsi="Cambria" w:cs="Cambria"/>
          <w:i/>
          <w:vertAlign w:val="subscript"/>
        </w:rPr>
        <w:t xml:space="preserve">s </w:t>
      </w:r>
      <w:r>
        <w:rPr>
          <w:rFonts w:ascii="Cambria" w:eastAsia="Cambria" w:hAnsi="Cambria" w:cs="Cambria"/>
          <w:i/>
        </w:rPr>
        <w:t xml:space="preserve">ν </w:t>
      </w:r>
      <w:r>
        <w:rPr>
          <w:rFonts w:ascii="Cambria" w:eastAsia="Cambria" w:hAnsi="Cambria" w:cs="Cambria"/>
        </w:rPr>
        <w:t>rule of hedging. so, we find finally:</w:t>
      </w:r>
    </w:p>
    <w:p w:rsidR="00EE13F6" w:rsidRDefault="002E5BC4">
      <w:pPr>
        <w:spacing w:after="283"/>
        <w:ind w:left="3760"/>
      </w:pPr>
      <w:r>
        <w:rPr>
          <w:noProof/>
        </w:rPr>
        <w:drawing>
          <wp:inline distT="0" distB="0" distL="0" distR="0">
            <wp:extent cx="1085088" cy="323088"/>
            <wp:effectExtent l="0" t="0" r="0" b="0"/>
            <wp:docPr id="221864" name="Picture 221864"/>
            <wp:cNvGraphicFramePr/>
            <a:graphic xmlns:a="http://schemas.openxmlformats.org/drawingml/2006/main">
              <a:graphicData uri="http://schemas.openxmlformats.org/drawingml/2006/picture">
                <pic:pic xmlns:pic="http://schemas.openxmlformats.org/drawingml/2006/picture">
                  <pic:nvPicPr>
                    <pic:cNvPr id="221864" name="Picture 221864"/>
                    <pic:cNvPicPr/>
                  </pic:nvPicPr>
                  <pic:blipFill>
                    <a:blip r:embed="rId80"/>
                    <a:stretch>
                      <a:fillRect/>
                    </a:stretch>
                  </pic:blipFill>
                  <pic:spPr>
                    <a:xfrm>
                      <a:off x="0" y="0"/>
                      <a:ext cx="1085088" cy="323088"/>
                    </a:xfrm>
                    <a:prstGeom prst="rect">
                      <a:avLst/>
                    </a:prstGeom>
                  </pic:spPr>
                </pic:pic>
              </a:graphicData>
            </a:graphic>
          </wp:inline>
        </w:drawing>
      </w:r>
    </w:p>
    <w:p w:rsidR="00EE13F6" w:rsidRDefault="002E5BC4">
      <w:pPr>
        <w:spacing w:after="135" w:line="261" w:lineRule="auto"/>
        <w:ind w:left="-5" w:right="468" w:hanging="10"/>
        <w:jc w:val="both"/>
      </w:pPr>
      <w:r>
        <w:rPr>
          <w:rFonts w:ascii="Cambria" w:eastAsia="Cambria" w:hAnsi="Cambria" w:cs="Cambria"/>
          <w:b/>
        </w:rPr>
        <w:t>Interpretation</w:t>
      </w:r>
    </w:p>
    <w:p w:rsidR="00EE13F6" w:rsidRDefault="002E5BC4">
      <w:pPr>
        <w:spacing w:after="543" w:line="264" w:lineRule="auto"/>
        <w:ind w:left="19" w:right="477" w:hanging="10"/>
        <w:jc w:val="both"/>
      </w:pPr>
      <w:r>
        <w:rPr>
          <w:rFonts w:ascii="Cambria" w:eastAsia="Cambria" w:hAnsi="Cambria" w:cs="Cambria"/>
        </w:rPr>
        <w:t>Therefore, we find a very interesting proposition regarding the maximization of the risk adverse option market-maker’s utility function.</w:t>
      </w:r>
    </w:p>
    <w:p w:rsidR="00EE13F6" w:rsidRDefault="002E5BC4">
      <w:pPr>
        <w:spacing w:after="133" w:line="264" w:lineRule="auto"/>
        <w:ind w:left="19" w:right="477" w:hanging="10"/>
        <w:jc w:val="both"/>
      </w:pPr>
      <w:r>
        <w:rPr>
          <w:rFonts w:ascii="Cambria" w:eastAsia="Cambria" w:hAnsi="Cambria" w:cs="Cambria"/>
          <w:b/>
        </w:rPr>
        <w:t xml:space="preserve">Proposition 1: </w:t>
      </w:r>
      <w:r>
        <w:rPr>
          <w:rFonts w:ascii="Cambria" w:eastAsia="Cambria" w:hAnsi="Cambria" w:cs="Cambria"/>
        </w:rPr>
        <w:t>Consider that:</w:t>
      </w:r>
    </w:p>
    <w:p w:rsidR="00EE13F6" w:rsidRDefault="002E5BC4" w:rsidP="002E5BC4">
      <w:pPr>
        <w:numPr>
          <w:ilvl w:val="0"/>
          <w:numId w:val="15"/>
        </w:numPr>
        <w:spacing w:after="133" w:line="264" w:lineRule="auto"/>
        <w:ind w:right="477" w:hanging="415"/>
        <w:jc w:val="both"/>
      </w:pPr>
      <w:r>
        <w:rPr>
          <w:rFonts w:ascii="Cambria" w:eastAsia="Cambria" w:hAnsi="Cambria" w:cs="Cambria"/>
        </w:rPr>
        <w:t>A Risk adverse option market-maker</w:t>
      </w:r>
      <w:r>
        <w:rPr>
          <w:rFonts w:ascii="Cambria" w:eastAsia="Cambria" w:hAnsi="Cambria" w:cs="Cambria"/>
        </w:rPr>
        <w:t xml:space="preserve"> operating on an option market accepting limit orders.</w:t>
      </w:r>
    </w:p>
    <w:p w:rsidR="00EE13F6" w:rsidRDefault="002E5BC4" w:rsidP="002E5BC4">
      <w:pPr>
        <w:numPr>
          <w:ilvl w:val="0"/>
          <w:numId w:val="15"/>
        </w:numPr>
        <w:spacing w:after="133" w:line="264" w:lineRule="auto"/>
        <w:ind w:right="477" w:hanging="415"/>
        <w:jc w:val="both"/>
      </w:pPr>
      <w:r>
        <w:rPr>
          <w:rFonts w:ascii="Cambria" w:eastAsia="Cambria" w:hAnsi="Cambria" w:cs="Cambria"/>
        </w:rPr>
        <w:t>Quoting on specific strikes and maturities, as well as on the synthetic stock for a given underlyingasset,</w:t>
      </w:r>
    </w:p>
    <w:p w:rsidR="00EE13F6" w:rsidRDefault="002E5BC4" w:rsidP="002E5BC4">
      <w:pPr>
        <w:numPr>
          <w:ilvl w:val="0"/>
          <w:numId w:val="15"/>
        </w:numPr>
        <w:spacing w:line="264" w:lineRule="auto"/>
        <w:ind w:right="477" w:hanging="415"/>
        <w:jc w:val="both"/>
      </w:pPr>
      <w:r>
        <w:rPr>
          <w:rFonts w:ascii="Cambria" w:eastAsia="Cambria" w:hAnsi="Cambria" w:cs="Cambria"/>
        </w:rPr>
        <w:t>Subject to competition with risk neutral market makers, and quoting the same bid-ask spread.</w:t>
      </w:r>
    </w:p>
    <w:p w:rsidR="00EE13F6" w:rsidRDefault="002E5BC4">
      <w:pPr>
        <w:spacing w:after="133" w:line="264" w:lineRule="auto"/>
        <w:ind w:left="19" w:right="477" w:hanging="10"/>
        <w:jc w:val="both"/>
      </w:pPr>
      <w:r>
        <w:rPr>
          <w:rFonts w:ascii="Cambria" w:eastAsia="Cambria" w:hAnsi="Cambria" w:cs="Cambria"/>
        </w:rPr>
        <w:t xml:space="preserve">(iii) This market-maker maximizes the following utility function </w:t>
      </w:r>
      <w:r>
        <w:rPr>
          <w:rFonts w:ascii="Cambria" w:eastAsia="Cambria" w:hAnsi="Cambria" w:cs="Cambria"/>
          <w:i/>
        </w:rPr>
        <w:t>v</w:t>
      </w:r>
      <w:r>
        <w:rPr>
          <w:rFonts w:ascii="Cambria" w:eastAsia="Cambria" w:hAnsi="Cambria" w:cs="Cambria"/>
        </w:rPr>
        <w:t>(</w:t>
      </w:r>
      <w:r>
        <w:rPr>
          <w:rFonts w:ascii="Cambria" w:eastAsia="Cambria" w:hAnsi="Cambria" w:cs="Cambria"/>
          <w:i/>
        </w:rPr>
        <w:t>x,s,q,t</w:t>
      </w:r>
      <w:r>
        <w:rPr>
          <w:rFonts w:ascii="Cambria" w:eastAsia="Cambria" w:hAnsi="Cambria" w:cs="Cambria"/>
        </w:rPr>
        <w:t xml:space="preserve">) = </w:t>
      </w:r>
      <w:r>
        <w:rPr>
          <w:rFonts w:ascii="Cambria" w:eastAsia="Cambria" w:hAnsi="Cambria" w:cs="Cambria"/>
          <w:i/>
        </w:rPr>
        <w:t>E</w:t>
      </w:r>
      <w:r>
        <w:rPr>
          <w:rFonts w:ascii="Cambria" w:eastAsia="Cambria" w:hAnsi="Cambria" w:cs="Cambria"/>
          <w:i/>
          <w:vertAlign w:val="subscript"/>
        </w:rPr>
        <w:t>t</w:t>
      </w:r>
      <w:r>
        <w:rPr>
          <w:rFonts w:ascii="Cambria" w:eastAsia="Cambria" w:hAnsi="Cambria" w:cs="Cambria"/>
        </w:rPr>
        <w:t>[−exp(−</w:t>
      </w:r>
      <w:r>
        <w:rPr>
          <w:rFonts w:ascii="Cambria" w:eastAsia="Cambria" w:hAnsi="Cambria" w:cs="Cambria"/>
          <w:i/>
        </w:rPr>
        <w:t>γ</w:t>
      </w:r>
      <w:r>
        <w:rPr>
          <w:rFonts w:ascii="Cambria" w:eastAsia="Cambria" w:hAnsi="Cambria" w:cs="Cambria"/>
        </w:rPr>
        <w:t>(</w:t>
      </w:r>
      <w:r>
        <w:rPr>
          <w:rFonts w:ascii="Cambria" w:eastAsia="Cambria" w:hAnsi="Cambria" w:cs="Cambria"/>
          <w:i/>
        </w:rPr>
        <w:t xml:space="preserve">x </w:t>
      </w:r>
      <w:r>
        <w:rPr>
          <w:rFonts w:ascii="Cambria" w:eastAsia="Cambria" w:hAnsi="Cambria" w:cs="Cambria"/>
        </w:rPr>
        <w:t xml:space="preserve">+ </w:t>
      </w:r>
      <w:r>
        <w:rPr>
          <w:rFonts w:ascii="Cambria" w:eastAsia="Cambria" w:hAnsi="Cambria" w:cs="Cambria"/>
          <w:i/>
        </w:rPr>
        <w:t>qT</w:t>
      </w:r>
      <w:r>
        <w:rPr>
          <w:rFonts w:ascii="Cambria" w:eastAsia="Cambria" w:hAnsi="Cambria" w:cs="Cambria"/>
        </w:rPr>
        <w:t xml:space="preserve">))],where </w:t>
      </w:r>
      <w:r>
        <w:rPr>
          <w:rFonts w:ascii="Cambria" w:eastAsia="Cambria" w:hAnsi="Cambria" w:cs="Cambria"/>
          <w:i/>
        </w:rPr>
        <w:t xml:space="preserve">γ </w:t>
      </w:r>
      <w:r>
        <w:rPr>
          <w:rFonts w:ascii="Cambria" w:eastAsia="Cambria" w:hAnsi="Cambria" w:cs="Cambria"/>
        </w:rPr>
        <w:t>designates its risk aversion coefficient.</w:t>
      </w:r>
    </w:p>
    <w:p w:rsidR="00EE13F6" w:rsidRDefault="002E5BC4" w:rsidP="002E5BC4">
      <w:pPr>
        <w:numPr>
          <w:ilvl w:val="0"/>
          <w:numId w:val="16"/>
        </w:numPr>
        <w:spacing w:line="264" w:lineRule="auto"/>
        <w:ind w:right="477" w:hanging="10"/>
        <w:jc w:val="both"/>
      </w:pPr>
      <w:r>
        <w:rPr>
          <w:rFonts w:ascii="Cambria" w:eastAsia="Cambria" w:hAnsi="Cambria" w:cs="Cambria"/>
        </w:rPr>
        <w:t>The asymptotic estimation of HJB from Avellaneda and Stoikov (2008) is valid in the optionmarket considered</w:t>
      </w:r>
      <w:r>
        <w:rPr>
          <w:rFonts w:ascii="Cambria" w:eastAsia="Cambria" w:hAnsi="Cambria" w:cs="Cambria"/>
        </w:rPr>
        <w:t>.</w:t>
      </w:r>
    </w:p>
    <w:p w:rsidR="00EE13F6" w:rsidRDefault="002E5BC4">
      <w:pPr>
        <w:spacing w:after="107" w:line="264" w:lineRule="auto"/>
        <w:ind w:left="19" w:right="477" w:hanging="10"/>
        <w:jc w:val="both"/>
      </w:pPr>
      <w:r>
        <w:rPr>
          <w:rFonts w:ascii="Cambria" w:eastAsia="Cambria" w:hAnsi="Cambria" w:cs="Cambria"/>
        </w:rPr>
        <w:t xml:space="preserve">Then the risk aversion </w:t>
      </w:r>
      <w:r>
        <w:rPr>
          <w:rFonts w:ascii="Cambria" w:eastAsia="Cambria" w:hAnsi="Cambria" w:cs="Cambria"/>
          <w:i/>
        </w:rPr>
        <w:t xml:space="preserve">γ </w:t>
      </w:r>
      <w:r>
        <w:rPr>
          <w:rFonts w:ascii="Cambria" w:eastAsia="Cambria" w:hAnsi="Cambria" w:cs="Cambria"/>
        </w:rPr>
        <w:t>coefficient to consider in the market-maker’s utility function, depends upon the option traded, and has an upper bound which is :</w:t>
      </w:r>
    </w:p>
    <w:p w:rsidR="00EE13F6" w:rsidRDefault="002E5BC4">
      <w:pPr>
        <w:spacing w:after="263"/>
        <w:ind w:left="4417"/>
      </w:pPr>
      <w:r>
        <w:rPr>
          <w:noProof/>
        </w:rPr>
        <w:drawing>
          <wp:inline distT="0" distB="0" distL="0" distR="0">
            <wp:extent cx="341376" cy="335280"/>
            <wp:effectExtent l="0" t="0" r="0" b="0"/>
            <wp:docPr id="221865" name="Picture 221865"/>
            <wp:cNvGraphicFramePr/>
            <a:graphic xmlns:a="http://schemas.openxmlformats.org/drawingml/2006/main">
              <a:graphicData uri="http://schemas.openxmlformats.org/drawingml/2006/picture">
                <pic:pic xmlns:pic="http://schemas.openxmlformats.org/drawingml/2006/picture">
                  <pic:nvPicPr>
                    <pic:cNvPr id="221865" name="Picture 221865"/>
                    <pic:cNvPicPr/>
                  </pic:nvPicPr>
                  <pic:blipFill>
                    <a:blip r:embed="rId81"/>
                    <a:stretch>
                      <a:fillRect/>
                    </a:stretch>
                  </pic:blipFill>
                  <pic:spPr>
                    <a:xfrm>
                      <a:off x="0" y="0"/>
                      <a:ext cx="341376" cy="335280"/>
                    </a:xfrm>
                    <a:prstGeom prst="rect">
                      <a:avLst/>
                    </a:prstGeom>
                  </pic:spPr>
                </pic:pic>
              </a:graphicData>
            </a:graphic>
          </wp:inline>
        </w:drawing>
      </w:r>
    </w:p>
    <w:p w:rsidR="00EE13F6" w:rsidRDefault="002E5BC4">
      <w:pPr>
        <w:spacing w:after="166" w:line="264" w:lineRule="auto"/>
        <w:ind w:left="19" w:right="477" w:hanging="10"/>
        <w:jc w:val="both"/>
      </w:pPr>
      <w:r>
        <w:rPr>
          <w:rFonts w:ascii="Cambria" w:eastAsia="Cambria" w:hAnsi="Cambria" w:cs="Cambria"/>
        </w:rPr>
        <w:t>where Γ designates the Greek ”Gamma” of the corresponding option computed according to the Black-</w:t>
      </w:r>
      <w:r>
        <w:rPr>
          <w:rFonts w:ascii="Cambria" w:eastAsia="Cambria" w:hAnsi="Cambria" w:cs="Cambria"/>
        </w:rPr>
        <w:t xml:space="preserve">Scholes formula and </w:t>
      </w:r>
      <w:r>
        <w:rPr>
          <w:rFonts w:ascii="Cambria" w:eastAsia="Cambria" w:hAnsi="Cambria" w:cs="Cambria"/>
          <w:i/>
        </w:rPr>
        <w:t xml:space="preserve">µ </w:t>
      </w:r>
      <w:r>
        <w:rPr>
          <w:rFonts w:ascii="Cambria" w:eastAsia="Cambria" w:hAnsi="Cambria" w:cs="Cambria"/>
        </w:rPr>
        <w:t>is defined according to equation (28).</w:t>
      </w:r>
    </w:p>
    <w:p w:rsidR="00EE13F6" w:rsidRDefault="002E5BC4">
      <w:pPr>
        <w:spacing w:after="133" w:line="264" w:lineRule="auto"/>
        <w:ind w:left="19" w:right="477" w:hanging="10"/>
        <w:jc w:val="both"/>
      </w:pPr>
      <w:r>
        <w:rPr>
          <w:rFonts w:ascii="Cambria" w:eastAsia="Cambria" w:hAnsi="Cambria" w:cs="Cambria"/>
          <w:b/>
        </w:rPr>
        <w:t xml:space="preserve">Corollary: </w:t>
      </w:r>
      <w:r>
        <w:rPr>
          <w:rFonts w:ascii="Cambria" w:eastAsia="Cambria" w:hAnsi="Cambria" w:cs="Cambria"/>
        </w:rPr>
        <w:t>Consider additionally that:</w:t>
      </w:r>
    </w:p>
    <w:p w:rsidR="00EE13F6" w:rsidRDefault="002E5BC4" w:rsidP="002E5BC4">
      <w:pPr>
        <w:numPr>
          <w:ilvl w:val="0"/>
          <w:numId w:val="16"/>
        </w:numPr>
        <w:spacing w:after="133" w:line="264" w:lineRule="auto"/>
        <w:ind w:right="477" w:hanging="10"/>
        <w:jc w:val="both"/>
      </w:pPr>
      <w:r>
        <w:rPr>
          <w:rFonts w:ascii="Cambria" w:eastAsia="Cambria" w:hAnsi="Cambria" w:cs="Cambria"/>
        </w:rPr>
        <w:t>The risk adverse market-maker is subject to the constraint of having the same market-impactreaction than the risk neutral players</w:t>
      </w:r>
    </w:p>
    <w:p w:rsidR="00EE13F6" w:rsidRDefault="002E5BC4">
      <w:pPr>
        <w:spacing w:after="0" w:line="264" w:lineRule="auto"/>
        <w:ind w:left="19" w:right="477" w:hanging="10"/>
        <w:jc w:val="both"/>
      </w:pPr>
      <w:r>
        <w:rPr>
          <w:rFonts w:ascii="Cambria" w:eastAsia="Cambria" w:hAnsi="Cambria" w:cs="Cambria"/>
        </w:rPr>
        <w:t xml:space="preserve">Then the risk aversion </w:t>
      </w:r>
      <w:r>
        <w:rPr>
          <w:rFonts w:ascii="Cambria" w:eastAsia="Cambria" w:hAnsi="Cambria" w:cs="Cambria"/>
          <w:i/>
        </w:rPr>
        <w:t xml:space="preserve">γ </w:t>
      </w:r>
      <w:r>
        <w:rPr>
          <w:rFonts w:ascii="Cambria" w:eastAsia="Cambria" w:hAnsi="Cambria" w:cs="Cambria"/>
        </w:rPr>
        <w:t>coefficient to consider in the market-maker’s utility function is:</w:t>
      </w:r>
    </w:p>
    <w:p w:rsidR="00EE13F6" w:rsidRDefault="002E5BC4">
      <w:pPr>
        <w:spacing w:after="247"/>
        <w:ind w:left="4417"/>
      </w:pPr>
      <w:r>
        <w:rPr>
          <w:noProof/>
        </w:rPr>
        <w:drawing>
          <wp:inline distT="0" distB="0" distL="0" distR="0">
            <wp:extent cx="341376" cy="335280"/>
            <wp:effectExtent l="0" t="0" r="0" b="0"/>
            <wp:docPr id="221866" name="Picture 221866"/>
            <wp:cNvGraphicFramePr/>
            <a:graphic xmlns:a="http://schemas.openxmlformats.org/drawingml/2006/main">
              <a:graphicData uri="http://schemas.openxmlformats.org/drawingml/2006/picture">
                <pic:pic xmlns:pic="http://schemas.openxmlformats.org/drawingml/2006/picture">
                  <pic:nvPicPr>
                    <pic:cNvPr id="221866" name="Picture 221866"/>
                    <pic:cNvPicPr/>
                  </pic:nvPicPr>
                  <pic:blipFill>
                    <a:blip r:embed="rId82"/>
                    <a:stretch>
                      <a:fillRect/>
                    </a:stretch>
                  </pic:blipFill>
                  <pic:spPr>
                    <a:xfrm>
                      <a:off x="0" y="0"/>
                      <a:ext cx="341376" cy="335280"/>
                    </a:xfrm>
                    <a:prstGeom prst="rect">
                      <a:avLst/>
                    </a:prstGeom>
                  </pic:spPr>
                </pic:pic>
              </a:graphicData>
            </a:graphic>
          </wp:inline>
        </w:drawing>
      </w:r>
    </w:p>
    <w:p w:rsidR="00EE13F6" w:rsidRDefault="002E5BC4">
      <w:pPr>
        <w:spacing w:after="133" w:line="264" w:lineRule="auto"/>
        <w:ind w:left="19" w:right="477" w:hanging="10"/>
        <w:jc w:val="both"/>
      </w:pPr>
      <w:r>
        <w:rPr>
          <w:rFonts w:ascii="Cambria" w:eastAsia="Cambria" w:hAnsi="Cambria" w:cs="Cambria"/>
        </w:rPr>
        <w:t xml:space="preserve">where Γ designates the Greek ”Gamma” of the corresponding option computed according to BlackScholes formula and </w:t>
      </w:r>
      <w:r>
        <w:rPr>
          <w:rFonts w:ascii="Cambria" w:eastAsia="Cambria" w:hAnsi="Cambria" w:cs="Cambria"/>
          <w:i/>
        </w:rPr>
        <w:t xml:space="preserve">µ </w:t>
      </w:r>
      <w:r>
        <w:rPr>
          <w:rFonts w:ascii="Cambria" w:eastAsia="Cambria" w:hAnsi="Cambria" w:cs="Cambria"/>
        </w:rPr>
        <w:t>is defined according to equation (28).</w:t>
      </w:r>
    </w:p>
    <w:p w:rsidR="00EE13F6" w:rsidRDefault="002E5BC4">
      <w:pPr>
        <w:spacing w:after="133" w:line="264" w:lineRule="auto"/>
        <w:ind w:left="19" w:right="477" w:hanging="10"/>
        <w:jc w:val="both"/>
      </w:pPr>
      <w:r>
        <w:rPr>
          <w:rFonts w:ascii="Cambria" w:eastAsia="Cambria" w:hAnsi="Cambria" w:cs="Cambria"/>
        </w:rPr>
        <w:t>The proof is immediate considering</w:t>
      </w:r>
      <w:r>
        <w:rPr>
          <w:rFonts w:ascii="Cambria" w:eastAsia="Cambria" w:hAnsi="Cambria" w:cs="Cambria"/>
        </w:rPr>
        <w:t xml:space="preserve"> equation above.</w:t>
      </w:r>
    </w:p>
    <w:p w:rsidR="00EE13F6" w:rsidRDefault="002E5BC4">
      <w:pPr>
        <w:spacing w:after="135" w:line="261" w:lineRule="auto"/>
        <w:ind w:left="-5" w:right="468" w:hanging="10"/>
        <w:jc w:val="both"/>
      </w:pPr>
      <w:r>
        <w:rPr>
          <w:rFonts w:ascii="Cambria" w:eastAsia="Cambria" w:hAnsi="Cambria" w:cs="Cambria"/>
          <w:b/>
        </w:rPr>
        <w:lastRenderedPageBreak/>
        <w:t>Remark:</w:t>
      </w:r>
    </w:p>
    <w:p w:rsidR="00EE13F6" w:rsidRDefault="002E5BC4">
      <w:pPr>
        <w:spacing w:after="133" w:line="264" w:lineRule="auto"/>
        <w:ind w:left="19" w:right="477" w:hanging="10"/>
        <w:jc w:val="both"/>
      </w:pPr>
      <w:r>
        <w:rPr>
          <w:rFonts w:ascii="Cambria" w:eastAsia="Cambria" w:hAnsi="Cambria" w:cs="Cambria"/>
        </w:rPr>
        <w:t>We could consider now a ”theoretical” risk adverse market-maker trading a composite book built with synthetic securities, cash equity options, single stock futures, and other delta one products. This market-maker will trade mainly the synthetic or the futu</w:t>
      </w:r>
      <w:r>
        <w:rPr>
          <w:rFonts w:ascii="Cambria" w:eastAsia="Cambria" w:hAnsi="Cambria" w:cs="Cambria"/>
        </w:rPr>
        <w:t>re aiming to minimize its inventory and maximizing its profit. This will ensure the same for the equity option portion of its business.</w:t>
      </w:r>
    </w:p>
    <w:p w:rsidR="00EE13F6" w:rsidRDefault="002E5BC4">
      <w:pPr>
        <w:spacing w:after="133" w:line="264" w:lineRule="auto"/>
        <w:ind w:left="19" w:right="477" w:hanging="10"/>
        <w:jc w:val="both"/>
      </w:pPr>
      <w:r>
        <w:rPr>
          <w:rFonts w:ascii="Cambria" w:eastAsia="Cambria" w:hAnsi="Cambria" w:cs="Cambria"/>
        </w:rPr>
        <w:t>This market-maker will have an adaptive risk aversion coefficient equal to the Γ of ”the option”. This option, chosen wi</w:t>
      </w:r>
      <w:r>
        <w:rPr>
          <w:rFonts w:ascii="Cambria" w:eastAsia="Cambria" w:hAnsi="Cambria" w:cs="Cambria"/>
        </w:rPr>
        <w:t>thin the most liquid (”At the Money”) will have to get the same maturity as the future or the synthetic. Its horizon will be reduced to ∆</w:t>
      </w:r>
      <w:r>
        <w:rPr>
          <w:rFonts w:ascii="Cambria" w:eastAsia="Cambria" w:hAnsi="Cambria" w:cs="Cambria"/>
          <w:i/>
          <w:vertAlign w:val="subscript"/>
        </w:rPr>
        <w:t>t</w:t>
      </w:r>
      <w:r>
        <w:rPr>
          <w:rFonts w:ascii="Cambria" w:eastAsia="Cambria" w:hAnsi="Cambria" w:cs="Cambria"/>
        </w:rPr>
        <w:t>.</w:t>
      </w:r>
    </w:p>
    <w:p w:rsidR="00EE13F6" w:rsidRDefault="002E5BC4">
      <w:pPr>
        <w:spacing w:after="133" w:line="264" w:lineRule="auto"/>
        <w:ind w:left="19" w:right="477" w:hanging="10"/>
        <w:jc w:val="both"/>
      </w:pPr>
      <w:r>
        <w:rPr>
          <w:rFonts w:ascii="Cambria" w:eastAsia="Cambria" w:hAnsi="Cambria" w:cs="Cambria"/>
        </w:rPr>
        <w:t>Under these conditions, it results from the two propositions above, that in terms of impact of transaction costs, th</w:t>
      </w:r>
      <w:r>
        <w:rPr>
          <w:rFonts w:ascii="Cambria" w:eastAsia="Cambria" w:hAnsi="Cambria" w:cs="Cambria"/>
        </w:rPr>
        <w:t>e ”Rule of Thumb” will yield the same results than an asymptotic approximation of the HJB equation for such trader, where the horizon considered will consist of ∆</w:t>
      </w:r>
      <w:r>
        <w:rPr>
          <w:rFonts w:ascii="Cambria" w:eastAsia="Cambria" w:hAnsi="Cambria" w:cs="Cambria"/>
          <w:i/>
          <w:vertAlign w:val="subscript"/>
        </w:rPr>
        <w:t>t</w:t>
      </w:r>
      <w:r>
        <w:rPr>
          <w:rFonts w:ascii="Cambria" w:eastAsia="Cambria" w:hAnsi="Cambria" w:cs="Cambria"/>
        </w:rPr>
        <w:t>. This new horizon ∆</w:t>
      </w:r>
      <w:r>
        <w:rPr>
          <w:rFonts w:ascii="Cambria" w:eastAsia="Cambria" w:hAnsi="Cambria" w:cs="Cambria"/>
          <w:i/>
          <w:vertAlign w:val="subscript"/>
        </w:rPr>
        <w:t xml:space="preserve">t </w:t>
      </w:r>
      <w:r>
        <w:rPr>
          <w:rFonts w:ascii="Cambria" w:eastAsia="Cambria" w:hAnsi="Cambria" w:cs="Cambria"/>
        </w:rPr>
        <w:t>will be chosen as a time which on one hand allows to unwind the invento</w:t>
      </w:r>
      <w:r>
        <w:rPr>
          <w:rFonts w:ascii="Cambria" w:eastAsia="Cambria" w:hAnsi="Cambria" w:cs="Cambria"/>
        </w:rPr>
        <w:t>ry, and on the other hand registers a sufficient high volumes of trades, such that the HJB asymptotic approximation can be considered. On highly liquid markets such the ones we considered (AAPL, MSFT), starting with ∆</w:t>
      </w:r>
      <w:r>
        <w:rPr>
          <w:rFonts w:ascii="Cambria" w:eastAsia="Cambria" w:hAnsi="Cambria" w:cs="Cambria"/>
          <w:i/>
          <w:vertAlign w:val="subscript"/>
        </w:rPr>
        <w:t xml:space="preserve">t </w:t>
      </w:r>
      <w:r>
        <w:rPr>
          <w:rFonts w:ascii="Cambria" w:eastAsia="Cambria" w:hAnsi="Cambria" w:cs="Cambria"/>
        </w:rPr>
        <w:t>as 1 trading day seems for us a reaso</w:t>
      </w:r>
      <w:r>
        <w:rPr>
          <w:rFonts w:ascii="Cambria" w:eastAsia="Cambria" w:hAnsi="Cambria" w:cs="Cambria"/>
        </w:rPr>
        <w:t>nable assumption.</w:t>
      </w:r>
    </w:p>
    <w:p w:rsidR="00EE13F6" w:rsidRDefault="002E5BC4">
      <w:pPr>
        <w:spacing w:after="133" w:line="264" w:lineRule="auto"/>
        <w:ind w:left="19" w:right="477" w:hanging="10"/>
        <w:jc w:val="both"/>
      </w:pPr>
      <w:r>
        <w:rPr>
          <w:rFonts w:ascii="Cambria" w:eastAsia="Cambria" w:hAnsi="Cambria" w:cs="Cambria"/>
        </w:rPr>
        <w:t>Furthermore, on highly liquid markets we will consider that the equity options on single stocks can be hedged with Single Stock Futures or other delta one products subject to a lower FTT rate. It is possible to show that market-makers wil</w:t>
      </w:r>
      <w:r>
        <w:rPr>
          <w:rFonts w:ascii="Cambria" w:eastAsia="Cambria" w:hAnsi="Cambria" w:cs="Cambria"/>
        </w:rPr>
        <w:t>l face the same order flow than before the introduction of the FTT, if we consider the combined market consisting of the reunion of cash and delta one products.</w:t>
      </w:r>
    </w:p>
    <w:p w:rsidR="00EE13F6" w:rsidRDefault="002E5BC4">
      <w:pPr>
        <w:spacing w:after="135" w:line="261" w:lineRule="auto"/>
        <w:ind w:left="-5" w:right="468" w:hanging="10"/>
        <w:jc w:val="both"/>
      </w:pPr>
      <w:r>
        <w:rPr>
          <w:rFonts w:ascii="Cambria" w:eastAsia="Cambria" w:hAnsi="Cambria" w:cs="Cambria"/>
          <w:b/>
        </w:rPr>
        <w:t>Proposition:</w:t>
      </w:r>
    </w:p>
    <w:p w:rsidR="00EE13F6" w:rsidRDefault="002E5BC4" w:rsidP="002E5BC4">
      <w:pPr>
        <w:numPr>
          <w:ilvl w:val="0"/>
          <w:numId w:val="17"/>
        </w:numPr>
        <w:spacing w:after="133" w:line="264" w:lineRule="auto"/>
        <w:ind w:right="477" w:hanging="287"/>
        <w:jc w:val="both"/>
      </w:pPr>
      <w:r>
        <w:rPr>
          <w:rFonts w:ascii="Cambria" w:eastAsia="Cambria" w:hAnsi="Cambria" w:cs="Cambria"/>
        </w:rPr>
        <w:t xml:space="preserve">We consider a highly liquid cash equity markets whose associated Option market is </w:t>
      </w:r>
      <w:r>
        <w:rPr>
          <w:rFonts w:ascii="Cambria" w:eastAsia="Cambria" w:hAnsi="Cambria" w:cs="Cambria"/>
        </w:rPr>
        <w:t>highly liquid;</w:t>
      </w:r>
    </w:p>
    <w:p w:rsidR="00EE13F6" w:rsidRDefault="002E5BC4" w:rsidP="002E5BC4">
      <w:pPr>
        <w:numPr>
          <w:ilvl w:val="0"/>
          <w:numId w:val="17"/>
        </w:numPr>
        <w:spacing w:after="133" w:line="264" w:lineRule="auto"/>
        <w:ind w:right="477" w:hanging="287"/>
        <w:jc w:val="both"/>
      </w:pPr>
      <w:r>
        <w:rPr>
          <w:rFonts w:ascii="Cambria" w:eastAsia="Cambria" w:hAnsi="Cambria" w:cs="Cambria"/>
        </w:rPr>
        <w:t>The market share of the market-maker on the combined market consisting of both cash andderivatives is not affected by the implementation of the FTT.</w:t>
      </w:r>
    </w:p>
    <w:p w:rsidR="00EE13F6" w:rsidRDefault="002E5BC4">
      <w:pPr>
        <w:spacing w:after="133" w:line="264" w:lineRule="auto"/>
        <w:ind w:left="19" w:right="477" w:hanging="10"/>
        <w:jc w:val="both"/>
      </w:pPr>
      <w:r>
        <w:rPr>
          <w:rFonts w:ascii="Cambria" w:eastAsia="Cambria" w:hAnsi="Cambria" w:cs="Cambria"/>
        </w:rPr>
        <w:t>then</w:t>
      </w:r>
    </w:p>
    <w:p w:rsidR="00EE13F6" w:rsidRDefault="002E5BC4" w:rsidP="002E5BC4">
      <w:pPr>
        <w:numPr>
          <w:ilvl w:val="0"/>
          <w:numId w:val="18"/>
        </w:numPr>
        <w:spacing w:after="133" w:line="264" w:lineRule="auto"/>
        <w:ind w:right="477" w:hanging="418"/>
        <w:jc w:val="both"/>
      </w:pPr>
      <w:r>
        <w:rPr>
          <w:rFonts w:ascii="Cambria" w:eastAsia="Cambria" w:hAnsi="Cambria" w:cs="Cambria"/>
        </w:rPr>
        <w:t>There is a large substitution occurring between Cash and Delta One transactions</w:t>
      </w:r>
    </w:p>
    <w:p w:rsidR="00EE13F6" w:rsidRDefault="002E5BC4" w:rsidP="002E5BC4">
      <w:pPr>
        <w:numPr>
          <w:ilvl w:val="0"/>
          <w:numId w:val="18"/>
        </w:numPr>
        <w:spacing w:after="133" w:line="264" w:lineRule="auto"/>
        <w:ind w:right="477" w:hanging="418"/>
        <w:jc w:val="both"/>
      </w:pPr>
      <w:r>
        <w:rPr>
          <w:rFonts w:ascii="Cambria" w:eastAsia="Cambria" w:hAnsi="Cambria" w:cs="Cambria"/>
        </w:rPr>
        <w:t>The Vol</w:t>
      </w:r>
      <w:r>
        <w:rPr>
          <w:rFonts w:ascii="Cambria" w:eastAsia="Cambria" w:hAnsi="Cambria" w:cs="Cambria"/>
        </w:rPr>
        <w:t>umes Traded on the combined market consisting of cash and Delta one products andaddressed by the market-makers will stay the same.</w:t>
      </w:r>
    </w:p>
    <w:p w:rsidR="00EE13F6" w:rsidRDefault="002E5BC4">
      <w:pPr>
        <w:spacing w:after="135" w:line="261" w:lineRule="auto"/>
        <w:ind w:left="-5" w:right="468" w:hanging="10"/>
        <w:jc w:val="both"/>
      </w:pPr>
      <w:r>
        <w:rPr>
          <w:rFonts w:ascii="Cambria" w:eastAsia="Cambria" w:hAnsi="Cambria" w:cs="Cambria"/>
          <w:b/>
        </w:rPr>
        <w:t>Proof:</w:t>
      </w:r>
    </w:p>
    <w:p w:rsidR="00EE13F6" w:rsidRDefault="002E5BC4">
      <w:pPr>
        <w:spacing w:after="30" w:line="261" w:lineRule="auto"/>
        <w:ind w:left="-5" w:right="468" w:hanging="10"/>
      </w:pPr>
      <w:r>
        <w:rPr>
          <w:rFonts w:ascii="Cambria" w:eastAsia="Cambria" w:hAnsi="Cambria" w:cs="Cambria"/>
        </w:rPr>
        <w:t>-We consider that there exists an initial allocation of transactions between the two types of agents and the two types</w:t>
      </w:r>
      <w:r>
        <w:rPr>
          <w:rFonts w:ascii="Cambria" w:eastAsia="Cambria" w:hAnsi="Cambria" w:cs="Cambria"/>
        </w:rPr>
        <w:t xml:space="preserve"> of products such that the equilibrium on both cash and delta one products can be summarized as follows, in terms of quantities held:</w:t>
      </w:r>
    </w:p>
    <w:p w:rsidR="00EE13F6" w:rsidRDefault="002E5BC4">
      <w:pPr>
        <w:tabs>
          <w:tab w:val="center" w:pos="4711"/>
          <w:tab w:val="center" w:pos="9166"/>
        </w:tabs>
        <w:spacing w:after="187" w:line="265" w:lineRule="auto"/>
      </w:pPr>
      <w:r>
        <w:tab/>
      </w:r>
      <w:r>
        <w:rPr>
          <w:noProof/>
        </w:rPr>
        <w:drawing>
          <wp:inline distT="0" distB="0" distL="0" distR="0">
            <wp:extent cx="774192" cy="167640"/>
            <wp:effectExtent l="0" t="0" r="0" b="0"/>
            <wp:docPr id="221867" name="Picture 221867"/>
            <wp:cNvGraphicFramePr/>
            <a:graphic xmlns:a="http://schemas.openxmlformats.org/drawingml/2006/main">
              <a:graphicData uri="http://schemas.openxmlformats.org/drawingml/2006/picture">
                <pic:pic xmlns:pic="http://schemas.openxmlformats.org/drawingml/2006/picture">
                  <pic:nvPicPr>
                    <pic:cNvPr id="221867" name="Picture 221867"/>
                    <pic:cNvPicPr/>
                  </pic:nvPicPr>
                  <pic:blipFill>
                    <a:blip r:embed="rId83"/>
                    <a:stretch>
                      <a:fillRect/>
                    </a:stretch>
                  </pic:blipFill>
                  <pic:spPr>
                    <a:xfrm>
                      <a:off x="0" y="0"/>
                      <a:ext cx="774192" cy="167640"/>
                    </a:xfrm>
                    <a:prstGeom prst="rect">
                      <a:avLst/>
                    </a:prstGeom>
                  </pic:spPr>
                </pic:pic>
              </a:graphicData>
            </a:graphic>
          </wp:inline>
        </w:drawing>
      </w:r>
      <w:r>
        <w:rPr>
          <w:rFonts w:ascii="Cambria" w:eastAsia="Cambria" w:hAnsi="Cambria" w:cs="Cambria"/>
        </w:rPr>
        <w:tab/>
        <w:t>(29)</w:t>
      </w:r>
    </w:p>
    <w:p w:rsidR="00EE13F6" w:rsidRDefault="002E5BC4">
      <w:pPr>
        <w:tabs>
          <w:tab w:val="center" w:pos="4673"/>
          <w:tab w:val="center" w:pos="9166"/>
        </w:tabs>
        <w:spacing w:after="246" w:line="265" w:lineRule="auto"/>
      </w:pPr>
      <w:r>
        <w:tab/>
      </w:r>
      <w:r>
        <w:rPr>
          <w:rFonts w:ascii="Cambria" w:eastAsia="Cambria" w:hAnsi="Cambria" w:cs="Cambria"/>
          <w:i/>
        </w:rPr>
        <w:t>q</w:t>
      </w:r>
      <w:r>
        <w:rPr>
          <w:rFonts w:ascii="Cambria" w:eastAsia="Cambria" w:hAnsi="Cambria" w:cs="Cambria"/>
          <w:i/>
          <w:sz w:val="16"/>
        </w:rPr>
        <w:t xml:space="preserve">Dm </w:t>
      </w:r>
      <w:r>
        <w:rPr>
          <w:rFonts w:ascii="Cambria" w:eastAsia="Cambria" w:hAnsi="Cambria" w:cs="Cambria"/>
        </w:rPr>
        <w:t xml:space="preserve">+ </w:t>
      </w:r>
      <w:r>
        <w:rPr>
          <w:rFonts w:ascii="Cambria" w:eastAsia="Cambria" w:hAnsi="Cambria" w:cs="Cambria"/>
          <w:i/>
        </w:rPr>
        <w:t>q</w:t>
      </w:r>
      <w:r>
        <w:rPr>
          <w:rFonts w:ascii="Cambria" w:eastAsia="Cambria" w:hAnsi="Cambria" w:cs="Cambria"/>
          <w:i/>
          <w:sz w:val="16"/>
        </w:rPr>
        <w:t xml:space="preserve">DS </w:t>
      </w:r>
      <w:r>
        <w:rPr>
          <w:rFonts w:ascii="Cambria" w:eastAsia="Cambria" w:hAnsi="Cambria" w:cs="Cambria"/>
        </w:rPr>
        <w:t xml:space="preserve">= </w:t>
      </w:r>
      <w:r>
        <w:rPr>
          <w:rFonts w:ascii="Cambria" w:eastAsia="Cambria" w:hAnsi="Cambria" w:cs="Cambria"/>
          <w:i/>
        </w:rPr>
        <w:t>q</w:t>
      </w:r>
      <w:r>
        <w:rPr>
          <w:rFonts w:ascii="Cambria" w:eastAsia="Cambria" w:hAnsi="Cambria" w:cs="Cambria"/>
          <w:i/>
          <w:sz w:val="16"/>
        </w:rPr>
        <w:t>D</w:t>
      </w:r>
      <w:r>
        <w:rPr>
          <w:rFonts w:ascii="Cambria" w:eastAsia="Cambria" w:hAnsi="Cambria" w:cs="Cambria"/>
          <w:i/>
          <w:sz w:val="16"/>
        </w:rPr>
        <w:tab/>
      </w:r>
      <w:r>
        <w:rPr>
          <w:rFonts w:ascii="Cambria" w:eastAsia="Cambria" w:hAnsi="Cambria" w:cs="Cambria"/>
        </w:rPr>
        <w:t>(30)</w:t>
      </w:r>
    </w:p>
    <w:p w:rsidR="00EE13F6" w:rsidRDefault="002E5BC4">
      <w:pPr>
        <w:spacing w:after="12" w:line="265" w:lineRule="auto"/>
        <w:ind w:left="10" w:right="468" w:hanging="10"/>
        <w:jc w:val="right"/>
      </w:pPr>
      <w:r>
        <w:rPr>
          <w:noProof/>
        </w:rPr>
        <w:drawing>
          <wp:inline distT="0" distB="0" distL="0" distR="0">
            <wp:extent cx="158496" cy="134112"/>
            <wp:effectExtent l="0" t="0" r="0" b="0"/>
            <wp:docPr id="221869" name="Picture 221869"/>
            <wp:cNvGraphicFramePr/>
            <a:graphic xmlns:a="http://schemas.openxmlformats.org/drawingml/2006/main">
              <a:graphicData uri="http://schemas.openxmlformats.org/drawingml/2006/picture">
                <pic:pic xmlns:pic="http://schemas.openxmlformats.org/drawingml/2006/picture">
                  <pic:nvPicPr>
                    <pic:cNvPr id="221869" name="Picture 221869"/>
                    <pic:cNvPicPr/>
                  </pic:nvPicPr>
                  <pic:blipFill>
                    <a:blip r:embed="rId84"/>
                    <a:stretch>
                      <a:fillRect/>
                    </a:stretch>
                  </pic:blipFill>
                  <pic:spPr>
                    <a:xfrm>
                      <a:off x="0" y="0"/>
                      <a:ext cx="158496" cy="134112"/>
                    </a:xfrm>
                    <a:prstGeom prst="rect">
                      <a:avLst/>
                    </a:prstGeom>
                  </pic:spPr>
                </pic:pic>
              </a:graphicData>
            </a:graphic>
          </wp:inline>
        </w:drawing>
      </w:r>
      <w:r>
        <w:rPr>
          <w:rFonts w:ascii="Cambria" w:eastAsia="Cambria" w:hAnsi="Cambria" w:cs="Cambria"/>
        </w:rPr>
        <w:t xml:space="preserve"> and</w:t>
      </w:r>
      <w:r>
        <w:rPr>
          <w:noProof/>
        </w:rPr>
        <w:drawing>
          <wp:inline distT="0" distB="0" distL="0" distR="0">
            <wp:extent cx="134112" cy="161544"/>
            <wp:effectExtent l="0" t="0" r="0" b="0"/>
            <wp:docPr id="221868" name="Picture 221868"/>
            <wp:cNvGraphicFramePr/>
            <a:graphic xmlns:a="http://schemas.openxmlformats.org/drawingml/2006/main">
              <a:graphicData uri="http://schemas.openxmlformats.org/drawingml/2006/picture">
                <pic:pic xmlns:pic="http://schemas.openxmlformats.org/drawingml/2006/picture">
                  <pic:nvPicPr>
                    <pic:cNvPr id="221868" name="Picture 221868"/>
                    <pic:cNvPicPr/>
                  </pic:nvPicPr>
                  <pic:blipFill>
                    <a:blip r:embed="rId85"/>
                    <a:stretch>
                      <a:fillRect/>
                    </a:stretch>
                  </pic:blipFill>
                  <pic:spPr>
                    <a:xfrm>
                      <a:off x="0" y="0"/>
                      <a:ext cx="134112" cy="161544"/>
                    </a:xfrm>
                    <a:prstGeom prst="rect">
                      <a:avLst/>
                    </a:prstGeom>
                  </pic:spPr>
                </pic:pic>
              </a:graphicData>
            </a:graphic>
          </wp:inline>
        </w:drawing>
      </w:r>
      <w:r>
        <w:rPr>
          <w:rFonts w:ascii="Cambria" w:eastAsia="Cambria" w:hAnsi="Cambria" w:cs="Cambria"/>
        </w:rPr>
        <w:t>designate respectively the initial allocation of cash quantities held by the market-makers</w:t>
      </w:r>
    </w:p>
    <w:p w:rsidR="00EE13F6" w:rsidRDefault="002E5BC4">
      <w:pPr>
        <w:spacing w:after="133" w:line="264" w:lineRule="auto"/>
        <w:ind w:left="19" w:right="477" w:hanging="10"/>
        <w:jc w:val="both"/>
      </w:pPr>
      <w:r>
        <w:rPr>
          <w:rFonts w:ascii="Cambria" w:eastAsia="Cambria" w:hAnsi="Cambria" w:cs="Cambria"/>
        </w:rPr>
        <w:t xml:space="preserve">and the other agents. </w:t>
      </w:r>
      <w:r>
        <w:rPr>
          <w:rFonts w:ascii="Cambria" w:eastAsia="Cambria" w:hAnsi="Cambria" w:cs="Cambria"/>
          <w:i/>
        </w:rPr>
        <w:t>q</w:t>
      </w:r>
      <w:r>
        <w:rPr>
          <w:rFonts w:ascii="Cambria" w:eastAsia="Cambria" w:hAnsi="Cambria" w:cs="Cambria"/>
          <w:i/>
          <w:vertAlign w:val="subscript"/>
        </w:rPr>
        <w:t xml:space="preserve">c </w:t>
      </w:r>
      <w:r>
        <w:rPr>
          <w:rFonts w:ascii="Cambria" w:eastAsia="Cambria" w:hAnsi="Cambria" w:cs="Cambria"/>
        </w:rPr>
        <w:t>is the initial volume of cash securities.</w:t>
      </w:r>
    </w:p>
    <w:p w:rsidR="00EE13F6" w:rsidRDefault="002E5BC4">
      <w:pPr>
        <w:spacing w:after="133" w:line="264" w:lineRule="auto"/>
        <w:ind w:left="19" w:right="477" w:hanging="10"/>
        <w:jc w:val="both"/>
      </w:pPr>
      <w:r>
        <w:rPr>
          <w:rFonts w:ascii="Cambria" w:eastAsia="Cambria" w:hAnsi="Cambria" w:cs="Cambria"/>
        </w:rPr>
        <w:t>Equations (32) and (33) hold for both quantities held and market flows.</w:t>
      </w:r>
    </w:p>
    <w:p w:rsidR="00EE13F6" w:rsidRDefault="002E5BC4">
      <w:pPr>
        <w:spacing w:after="133" w:line="264" w:lineRule="auto"/>
        <w:ind w:left="19" w:right="477" w:hanging="10"/>
        <w:jc w:val="both"/>
      </w:pPr>
      <w:r>
        <w:rPr>
          <w:rFonts w:ascii="Cambria" w:eastAsia="Cambria" w:hAnsi="Cambria" w:cs="Cambria"/>
        </w:rPr>
        <w:lastRenderedPageBreak/>
        <w:t>There is a fixed quantity of cash stocks. The quantity of delta one instruments is at least equivalent to the quantity of cash stocks, as some unhedged traders such as the speculators can write delta-one without backing them by cash products. The market is</w:t>
      </w:r>
      <w:r>
        <w:rPr>
          <w:rFonts w:ascii="Cambria" w:eastAsia="Cambria" w:hAnsi="Cambria" w:cs="Cambria"/>
        </w:rPr>
        <w:t xml:space="preserve"> such that we have symmetric arrival rates.</w:t>
      </w:r>
    </w:p>
    <w:p w:rsidR="00EE13F6" w:rsidRDefault="002E5BC4">
      <w:pPr>
        <w:spacing w:line="264" w:lineRule="auto"/>
        <w:ind w:left="19" w:right="477" w:hanging="10"/>
        <w:jc w:val="both"/>
      </w:pPr>
      <w:r>
        <w:rPr>
          <w:rFonts w:ascii="Cambria" w:eastAsia="Cambria" w:hAnsi="Cambria" w:cs="Cambria"/>
        </w:rPr>
        <w:t>We write then the equilibrium on the two respective markets consisting of cash and futures. The respective prices of cash and delta one products are derived by arbitrage.</w:t>
      </w:r>
    </w:p>
    <w:p w:rsidR="00EE13F6" w:rsidRDefault="002E5BC4">
      <w:pPr>
        <w:spacing w:after="133" w:line="264" w:lineRule="auto"/>
        <w:ind w:left="19" w:right="477" w:hanging="10"/>
        <w:jc w:val="both"/>
      </w:pPr>
      <w:r>
        <w:rPr>
          <w:rFonts w:ascii="Cambria" w:eastAsia="Cambria" w:hAnsi="Cambria" w:cs="Cambria"/>
        </w:rPr>
        <w:t>- We consider that following the introduc</w:t>
      </w:r>
      <w:r>
        <w:rPr>
          <w:rFonts w:ascii="Cambria" w:eastAsia="Cambria" w:hAnsi="Cambria" w:cs="Cambria"/>
        </w:rPr>
        <w:t>tion of the FTT and because of the distortion of tax rates between cash and derivatives products, a quantity ∆</w:t>
      </w:r>
      <w:r>
        <w:rPr>
          <w:rFonts w:ascii="Cambria" w:eastAsia="Cambria" w:hAnsi="Cambria" w:cs="Cambria"/>
          <w:i/>
          <w:vertAlign w:val="superscript"/>
        </w:rPr>
        <w:t>S</w:t>
      </w:r>
      <w:r>
        <w:rPr>
          <w:rFonts w:ascii="Cambria" w:eastAsia="Cambria" w:hAnsi="Cambria" w:cs="Cambria"/>
          <w:i/>
          <w:vertAlign w:val="subscript"/>
        </w:rPr>
        <w:t xml:space="preserve">D </w:t>
      </w:r>
      <w:r>
        <w:rPr>
          <w:rFonts w:ascii="Cambria" w:eastAsia="Cambria" w:hAnsi="Cambria" w:cs="Cambria"/>
        </w:rPr>
        <w:t>of cash transactions is now done on delta-one trades, by the non market-maker agents.</w:t>
      </w:r>
    </w:p>
    <w:p w:rsidR="00EE13F6" w:rsidRDefault="002E5BC4">
      <w:pPr>
        <w:spacing w:after="50" w:line="318" w:lineRule="auto"/>
        <w:ind w:left="19" w:right="477" w:hanging="10"/>
        <w:jc w:val="both"/>
      </w:pPr>
      <w:r>
        <w:rPr>
          <w:rFonts w:ascii="Cambria" w:eastAsia="Cambria" w:hAnsi="Cambria" w:cs="Cambria"/>
        </w:rPr>
        <w:t>Pursuant to our hypothesis, market-makers have a constant</w:t>
      </w:r>
      <w:r>
        <w:rPr>
          <w:rFonts w:ascii="Cambria" w:eastAsia="Cambria" w:hAnsi="Cambria" w:cs="Cambria"/>
        </w:rPr>
        <w:t xml:space="preserve"> market-share </w:t>
      </w:r>
      <w:r>
        <w:rPr>
          <w:rFonts w:ascii="Cambria" w:eastAsia="Cambria" w:hAnsi="Cambria" w:cs="Cambria"/>
          <w:i/>
        </w:rPr>
        <w:t xml:space="preserve">ν </w:t>
      </w:r>
      <w:r>
        <w:rPr>
          <w:rFonts w:ascii="Cambria" w:eastAsia="Cambria" w:hAnsi="Cambria" w:cs="Cambria"/>
        </w:rPr>
        <w:t xml:space="preserve">of both cash and derivatives products. Market-makers see a decrease </w:t>
      </w:r>
      <w:r>
        <w:rPr>
          <w:rFonts w:ascii="Cambria" w:eastAsia="Cambria" w:hAnsi="Cambria" w:cs="Cambria"/>
          <w:i/>
        </w:rPr>
        <w:t>ν</w:t>
      </w:r>
      <w:r>
        <w:rPr>
          <w:rFonts w:ascii="Cambria" w:eastAsia="Cambria" w:hAnsi="Cambria" w:cs="Cambria"/>
        </w:rPr>
        <w:t>∆</w:t>
      </w:r>
      <w:r>
        <w:rPr>
          <w:rFonts w:ascii="Cambria" w:eastAsia="Cambria" w:hAnsi="Cambria" w:cs="Cambria"/>
          <w:i/>
          <w:vertAlign w:val="superscript"/>
        </w:rPr>
        <w:t>S</w:t>
      </w:r>
      <w:r>
        <w:rPr>
          <w:rFonts w:ascii="Cambria" w:eastAsia="Cambria" w:hAnsi="Cambria" w:cs="Cambria"/>
          <w:i/>
          <w:vertAlign w:val="subscript"/>
        </w:rPr>
        <w:t xml:space="preserve">D </w:t>
      </w:r>
      <w:r>
        <w:rPr>
          <w:rFonts w:ascii="Cambria" w:eastAsia="Cambria" w:hAnsi="Cambria" w:cs="Cambria"/>
        </w:rPr>
        <w:t xml:space="preserve">in the quantities they held on cash, but conversely they see an increase </w:t>
      </w:r>
      <w:r>
        <w:rPr>
          <w:rFonts w:ascii="Cambria" w:eastAsia="Cambria" w:hAnsi="Cambria" w:cs="Cambria"/>
          <w:i/>
        </w:rPr>
        <w:t>ν</w:t>
      </w:r>
      <w:r>
        <w:rPr>
          <w:rFonts w:ascii="Cambria" w:eastAsia="Cambria" w:hAnsi="Cambria" w:cs="Cambria"/>
        </w:rPr>
        <w:t>∆</w:t>
      </w:r>
      <w:r>
        <w:rPr>
          <w:rFonts w:ascii="Cambria" w:eastAsia="Cambria" w:hAnsi="Cambria" w:cs="Cambria"/>
          <w:i/>
          <w:vertAlign w:val="superscript"/>
        </w:rPr>
        <w:t>S</w:t>
      </w:r>
      <w:r>
        <w:rPr>
          <w:rFonts w:ascii="Cambria" w:eastAsia="Cambria" w:hAnsi="Cambria" w:cs="Cambria"/>
          <w:i/>
          <w:vertAlign w:val="subscript"/>
        </w:rPr>
        <w:t xml:space="preserve">D </w:t>
      </w:r>
      <w:r>
        <w:rPr>
          <w:rFonts w:ascii="Cambria" w:eastAsia="Cambria" w:hAnsi="Cambria" w:cs="Cambria"/>
        </w:rPr>
        <w:t>of the delta one trades they serve. Because they have no trading limits they must ”back-t</w:t>
      </w:r>
      <w:r>
        <w:rPr>
          <w:rFonts w:ascii="Cambria" w:eastAsia="Cambria" w:hAnsi="Cambria" w:cs="Cambria"/>
        </w:rPr>
        <w:t>o-back” those trades with cash stocks.</w:t>
      </w:r>
    </w:p>
    <w:p w:rsidR="00EE13F6" w:rsidRDefault="002E5BC4">
      <w:pPr>
        <w:spacing w:after="361" w:line="264" w:lineRule="auto"/>
        <w:ind w:left="19" w:right="477" w:hanging="10"/>
        <w:jc w:val="both"/>
      </w:pPr>
      <w:r>
        <w:rPr>
          <w:rFonts w:ascii="Cambria" w:eastAsia="Cambria" w:hAnsi="Cambria" w:cs="Cambria"/>
        </w:rPr>
        <w:t>The new aggregated quantities</w:t>
      </w:r>
      <w:r>
        <w:rPr>
          <w:noProof/>
        </w:rPr>
        <w:drawing>
          <wp:inline distT="0" distB="0" distL="0" distR="0">
            <wp:extent cx="109728" cy="146304"/>
            <wp:effectExtent l="0" t="0" r="0" b="0"/>
            <wp:docPr id="221870" name="Picture 221870"/>
            <wp:cNvGraphicFramePr/>
            <a:graphic xmlns:a="http://schemas.openxmlformats.org/drawingml/2006/main">
              <a:graphicData uri="http://schemas.openxmlformats.org/drawingml/2006/picture">
                <pic:pic xmlns:pic="http://schemas.openxmlformats.org/drawingml/2006/picture">
                  <pic:nvPicPr>
                    <pic:cNvPr id="221870" name="Picture 221870"/>
                    <pic:cNvPicPr/>
                  </pic:nvPicPr>
                  <pic:blipFill>
                    <a:blip r:embed="rId86"/>
                    <a:stretch>
                      <a:fillRect/>
                    </a:stretch>
                  </pic:blipFill>
                  <pic:spPr>
                    <a:xfrm>
                      <a:off x="0" y="0"/>
                      <a:ext cx="109728" cy="146304"/>
                    </a:xfrm>
                    <a:prstGeom prst="rect">
                      <a:avLst/>
                    </a:prstGeom>
                  </pic:spPr>
                </pic:pic>
              </a:graphicData>
            </a:graphic>
          </wp:inline>
        </w:drawing>
      </w:r>
      <w:r>
        <w:rPr>
          <w:rFonts w:ascii="Cambria" w:eastAsia="Cambria" w:hAnsi="Cambria" w:cs="Cambria"/>
        </w:rPr>
        <w:t xml:space="preserve"> and </w:t>
      </w:r>
      <w:r>
        <w:rPr>
          <w:rFonts w:ascii="Cambria" w:eastAsia="Cambria" w:hAnsi="Cambria" w:cs="Cambria"/>
          <w:i/>
        </w:rPr>
        <w:t>q</w:t>
      </w:r>
      <w:r>
        <w:rPr>
          <w:rFonts w:ascii="Cambria" w:eastAsia="Cambria" w:hAnsi="Cambria" w:cs="Cambria"/>
          <w:i/>
          <w:vertAlign w:val="subscript"/>
        </w:rPr>
        <w:t>D</w:t>
      </w:r>
      <w:r>
        <w:rPr>
          <w:rFonts w:ascii="Cambria" w:eastAsia="Cambria" w:hAnsi="Cambria" w:cs="Cambria"/>
          <w:vertAlign w:val="superscript"/>
        </w:rPr>
        <w:t xml:space="preserve">0 </w:t>
      </w:r>
      <w:r>
        <w:rPr>
          <w:rFonts w:ascii="Cambria" w:eastAsia="Cambria" w:hAnsi="Cambria" w:cs="Cambria"/>
        </w:rPr>
        <w:t>become:</w:t>
      </w:r>
    </w:p>
    <w:p w:rsidR="00EE13F6" w:rsidRDefault="002E5BC4">
      <w:pPr>
        <w:tabs>
          <w:tab w:val="center" w:pos="4711"/>
          <w:tab w:val="center" w:pos="9166"/>
        </w:tabs>
        <w:spacing w:after="270" w:line="265" w:lineRule="auto"/>
      </w:pPr>
      <w:r>
        <w:tab/>
      </w:r>
      <w:r>
        <w:rPr>
          <w:noProof/>
        </w:rPr>
        <w:drawing>
          <wp:inline distT="0" distB="0" distL="0" distR="0">
            <wp:extent cx="1758696" cy="170688"/>
            <wp:effectExtent l="0" t="0" r="0" b="0"/>
            <wp:docPr id="221871" name="Picture 221871"/>
            <wp:cNvGraphicFramePr/>
            <a:graphic xmlns:a="http://schemas.openxmlformats.org/drawingml/2006/main">
              <a:graphicData uri="http://schemas.openxmlformats.org/drawingml/2006/picture">
                <pic:pic xmlns:pic="http://schemas.openxmlformats.org/drawingml/2006/picture">
                  <pic:nvPicPr>
                    <pic:cNvPr id="221871" name="Picture 221871"/>
                    <pic:cNvPicPr/>
                  </pic:nvPicPr>
                  <pic:blipFill>
                    <a:blip r:embed="rId87"/>
                    <a:stretch>
                      <a:fillRect/>
                    </a:stretch>
                  </pic:blipFill>
                  <pic:spPr>
                    <a:xfrm>
                      <a:off x="0" y="0"/>
                      <a:ext cx="1758696" cy="170688"/>
                    </a:xfrm>
                    <a:prstGeom prst="rect">
                      <a:avLst/>
                    </a:prstGeom>
                  </pic:spPr>
                </pic:pic>
              </a:graphicData>
            </a:graphic>
          </wp:inline>
        </w:drawing>
      </w:r>
      <w:r>
        <w:rPr>
          <w:rFonts w:ascii="Cambria" w:eastAsia="Cambria" w:hAnsi="Cambria" w:cs="Cambria"/>
        </w:rPr>
        <w:tab/>
        <w:t>(31)</w:t>
      </w:r>
    </w:p>
    <w:tbl>
      <w:tblPr>
        <w:tblStyle w:val="TableGrid"/>
        <w:tblW w:w="9360" w:type="dxa"/>
        <w:tblInd w:w="0" w:type="dxa"/>
        <w:tblCellMar>
          <w:top w:w="58" w:type="dxa"/>
          <w:left w:w="0" w:type="dxa"/>
          <w:bottom w:w="0" w:type="dxa"/>
          <w:right w:w="0" w:type="dxa"/>
        </w:tblCellMar>
        <w:tblLook w:val="04A0" w:firstRow="1" w:lastRow="0" w:firstColumn="1" w:lastColumn="0" w:noHBand="0" w:noVBand="1"/>
      </w:tblPr>
      <w:tblGrid>
        <w:gridCol w:w="8948"/>
        <w:gridCol w:w="412"/>
      </w:tblGrid>
      <w:tr w:rsidR="00EE13F6">
        <w:trPr>
          <w:trHeight w:val="796"/>
        </w:trPr>
        <w:tc>
          <w:tcPr>
            <w:tcW w:w="8972" w:type="dxa"/>
            <w:tcBorders>
              <w:top w:val="nil"/>
              <w:left w:val="nil"/>
              <w:bottom w:val="nil"/>
              <w:right w:val="nil"/>
            </w:tcBorders>
          </w:tcPr>
          <w:p w:rsidR="00EE13F6" w:rsidRDefault="002E5BC4">
            <w:pPr>
              <w:spacing w:after="326"/>
              <w:ind w:left="373"/>
              <w:jc w:val="center"/>
            </w:pPr>
            <w:r>
              <w:rPr>
                <w:rFonts w:ascii="Cambria" w:eastAsia="Cambria" w:hAnsi="Cambria" w:cs="Cambria"/>
                <w:i/>
              </w:rPr>
              <w:t>q</w:t>
            </w:r>
            <w:r>
              <w:rPr>
                <w:rFonts w:ascii="Cambria" w:eastAsia="Cambria" w:hAnsi="Cambria" w:cs="Cambria"/>
                <w:i/>
                <w:sz w:val="16"/>
              </w:rPr>
              <w:t>D</w:t>
            </w:r>
            <w:r>
              <w:rPr>
                <w:rFonts w:ascii="Cambria" w:eastAsia="Cambria" w:hAnsi="Cambria" w:cs="Cambria"/>
                <w:sz w:val="16"/>
              </w:rPr>
              <w:t xml:space="preserve">0 </w:t>
            </w:r>
            <w:r>
              <w:rPr>
                <w:rFonts w:ascii="Cambria" w:eastAsia="Cambria" w:hAnsi="Cambria" w:cs="Cambria"/>
              </w:rPr>
              <w:t xml:space="preserve">= </w:t>
            </w:r>
            <w:r>
              <w:rPr>
                <w:rFonts w:ascii="Cambria" w:eastAsia="Cambria" w:hAnsi="Cambria" w:cs="Cambria"/>
                <w:i/>
              </w:rPr>
              <w:t>ν</w:t>
            </w:r>
            <w:r>
              <w:rPr>
                <w:rFonts w:ascii="Cambria" w:eastAsia="Cambria" w:hAnsi="Cambria" w:cs="Cambria"/>
              </w:rPr>
              <w:t>∆</w:t>
            </w:r>
            <w:r>
              <w:rPr>
                <w:rFonts w:ascii="Cambria" w:eastAsia="Cambria" w:hAnsi="Cambria" w:cs="Cambria"/>
                <w:i/>
                <w:sz w:val="16"/>
              </w:rPr>
              <w:t xml:space="preserve">SD </w:t>
            </w:r>
            <w:r>
              <w:rPr>
                <w:rFonts w:ascii="Cambria" w:eastAsia="Cambria" w:hAnsi="Cambria" w:cs="Cambria"/>
              </w:rPr>
              <w:t xml:space="preserve">+ (1 − </w:t>
            </w:r>
            <w:r>
              <w:rPr>
                <w:rFonts w:ascii="Cambria" w:eastAsia="Cambria" w:hAnsi="Cambria" w:cs="Cambria"/>
                <w:i/>
              </w:rPr>
              <w:t>ν</w:t>
            </w:r>
            <w:r>
              <w:rPr>
                <w:rFonts w:ascii="Cambria" w:eastAsia="Cambria" w:hAnsi="Cambria" w:cs="Cambria"/>
              </w:rPr>
              <w:t>)∆</w:t>
            </w:r>
            <w:r>
              <w:rPr>
                <w:rFonts w:ascii="Cambria" w:eastAsia="Cambria" w:hAnsi="Cambria" w:cs="Cambria"/>
                <w:i/>
                <w:sz w:val="16"/>
              </w:rPr>
              <w:t xml:space="preserve">SD </w:t>
            </w:r>
            <w:r>
              <w:rPr>
                <w:rFonts w:ascii="Cambria" w:eastAsia="Cambria" w:hAnsi="Cambria" w:cs="Cambria"/>
              </w:rPr>
              <w:t xml:space="preserve">+ </w:t>
            </w:r>
            <w:r>
              <w:rPr>
                <w:rFonts w:ascii="Cambria" w:eastAsia="Cambria" w:hAnsi="Cambria" w:cs="Cambria"/>
                <w:i/>
              </w:rPr>
              <w:t>q</w:t>
            </w:r>
            <w:r>
              <w:rPr>
                <w:rFonts w:ascii="Cambria" w:eastAsia="Cambria" w:hAnsi="Cambria" w:cs="Cambria"/>
                <w:i/>
                <w:sz w:val="16"/>
              </w:rPr>
              <w:t>DS</w:t>
            </w:r>
          </w:p>
          <w:p w:rsidR="00EE13F6" w:rsidRDefault="002E5BC4">
            <w:pPr>
              <w:spacing w:after="0"/>
            </w:pPr>
            <w:r>
              <w:rPr>
                <w:rFonts w:ascii="Cambria" w:eastAsia="Cambria" w:hAnsi="Cambria" w:cs="Cambria"/>
              </w:rPr>
              <w:t>Consequently, we can see that</w:t>
            </w:r>
          </w:p>
        </w:tc>
        <w:tc>
          <w:tcPr>
            <w:tcW w:w="388" w:type="dxa"/>
            <w:tcBorders>
              <w:top w:val="nil"/>
              <w:left w:val="nil"/>
              <w:bottom w:val="nil"/>
              <w:right w:val="nil"/>
            </w:tcBorders>
          </w:tcPr>
          <w:p w:rsidR="00EE13F6" w:rsidRDefault="002E5BC4">
            <w:pPr>
              <w:spacing w:after="0"/>
              <w:jc w:val="both"/>
            </w:pPr>
            <w:r>
              <w:rPr>
                <w:rFonts w:ascii="Cambria" w:eastAsia="Cambria" w:hAnsi="Cambria" w:cs="Cambria"/>
              </w:rPr>
              <w:t>(32)</w:t>
            </w:r>
          </w:p>
        </w:tc>
      </w:tr>
    </w:tbl>
    <w:p w:rsidR="00EE13F6" w:rsidRDefault="002E5BC4">
      <w:pPr>
        <w:tabs>
          <w:tab w:val="center" w:pos="4731"/>
          <w:tab w:val="center" w:pos="9166"/>
        </w:tabs>
        <w:spacing w:after="253" w:line="265" w:lineRule="auto"/>
      </w:pPr>
      <w:r>
        <w:tab/>
      </w:r>
      <w:r>
        <w:rPr>
          <w:noProof/>
        </w:rPr>
        <w:drawing>
          <wp:inline distT="0" distB="0" distL="0" distR="0">
            <wp:extent cx="1060704" cy="152400"/>
            <wp:effectExtent l="0" t="0" r="0" b="0"/>
            <wp:docPr id="221872" name="Picture 221872"/>
            <wp:cNvGraphicFramePr/>
            <a:graphic xmlns:a="http://schemas.openxmlformats.org/drawingml/2006/main">
              <a:graphicData uri="http://schemas.openxmlformats.org/drawingml/2006/picture">
                <pic:pic xmlns:pic="http://schemas.openxmlformats.org/drawingml/2006/picture">
                  <pic:nvPicPr>
                    <pic:cNvPr id="221872" name="Picture 221872"/>
                    <pic:cNvPicPr/>
                  </pic:nvPicPr>
                  <pic:blipFill>
                    <a:blip r:embed="rId88"/>
                    <a:stretch>
                      <a:fillRect/>
                    </a:stretch>
                  </pic:blipFill>
                  <pic:spPr>
                    <a:xfrm>
                      <a:off x="0" y="0"/>
                      <a:ext cx="1060704" cy="152400"/>
                    </a:xfrm>
                    <a:prstGeom prst="rect">
                      <a:avLst/>
                    </a:prstGeom>
                  </pic:spPr>
                </pic:pic>
              </a:graphicData>
            </a:graphic>
          </wp:inline>
        </w:drawing>
      </w:r>
      <w:r>
        <w:rPr>
          <w:rFonts w:ascii="Cambria" w:eastAsia="Cambria" w:hAnsi="Cambria" w:cs="Cambria"/>
        </w:rPr>
        <w:tab/>
        <w:t>(33)</w:t>
      </w:r>
    </w:p>
    <w:p w:rsidR="00EE13F6" w:rsidRDefault="002E5BC4">
      <w:pPr>
        <w:spacing w:after="476" w:line="264" w:lineRule="auto"/>
        <w:ind w:left="19" w:right="477" w:hanging="10"/>
        <w:jc w:val="both"/>
      </w:pPr>
      <w:r>
        <w:rPr>
          <w:rFonts w:ascii="Cambria" w:eastAsia="Cambria" w:hAnsi="Cambria" w:cs="Cambria"/>
        </w:rPr>
        <w:t>Consequently, the extended quantity of stocks consisting of the sum of cash plus delta one products is unchanged. We write them the equilibrium on the two respective markets consisting of cash and futures. The respective prices of cash and delta one produc</w:t>
      </w:r>
      <w:r>
        <w:rPr>
          <w:rFonts w:ascii="Cambria" w:eastAsia="Cambria" w:hAnsi="Cambria" w:cs="Cambria"/>
        </w:rPr>
        <w:t>ts are derived by arbitrage.</w:t>
      </w:r>
    </w:p>
    <w:p w:rsidR="00EE13F6" w:rsidRDefault="002E5BC4">
      <w:pPr>
        <w:pStyle w:val="Heading2"/>
        <w:tabs>
          <w:tab w:val="center" w:pos="4108"/>
        </w:tabs>
        <w:ind w:left="-15" w:firstLine="0"/>
      </w:pPr>
      <w:r>
        <w:t>2.3</w:t>
      </w:r>
      <w:r>
        <w:tab/>
        <w:t>Quotation Asymmetry and Consequences on the Mid-Price</w:t>
      </w:r>
    </w:p>
    <w:p w:rsidR="00EE13F6" w:rsidRDefault="002E5BC4">
      <w:pPr>
        <w:spacing w:after="181" w:line="264" w:lineRule="auto"/>
        <w:ind w:left="19" w:right="477" w:hanging="10"/>
        <w:jc w:val="both"/>
      </w:pPr>
      <w:r>
        <w:rPr>
          <w:rFonts w:ascii="Cambria" w:eastAsia="Cambria" w:hAnsi="Cambria" w:cs="Cambria"/>
        </w:rPr>
        <w:t>It is well known that the possibility of placing limit orders, for an equity option market-maker, allows to mitigate a significant part of the transaction costs (usually</w:t>
      </w:r>
      <w:r>
        <w:rPr>
          <w:rFonts w:ascii="Cambria" w:eastAsia="Cambria" w:hAnsi="Cambria" w:cs="Cambria"/>
        </w:rPr>
        <w:t xml:space="preserve"> the bid ask spreads of other market-makers). This is due to the relative asymmetry of option buyers and option sellers. Option sellers are negatively exposed to the variation of the underlying asset because of the term Γ∆</w:t>
      </w:r>
      <w:r>
        <w:rPr>
          <w:rFonts w:ascii="Cambria" w:eastAsia="Cambria" w:hAnsi="Cambria" w:cs="Cambria"/>
          <w:i/>
        </w:rPr>
        <w:t>S</w:t>
      </w:r>
      <w:r>
        <w:rPr>
          <w:rFonts w:ascii="Cambria" w:eastAsia="Cambria" w:hAnsi="Cambria" w:cs="Cambria"/>
          <w:vertAlign w:val="superscript"/>
        </w:rPr>
        <w:t>2</w:t>
      </w:r>
      <w:r>
        <w:rPr>
          <w:rFonts w:ascii="Cambria" w:eastAsia="Cambria" w:hAnsi="Cambria" w:cs="Cambria"/>
        </w:rPr>
        <w:t>.</w:t>
      </w:r>
    </w:p>
    <w:p w:rsidR="00EE13F6" w:rsidRDefault="002E5BC4">
      <w:pPr>
        <w:spacing w:after="133" w:line="264" w:lineRule="auto"/>
        <w:ind w:left="19" w:right="477" w:hanging="10"/>
        <w:jc w:val="both"/>
      </w:pPr>
      <w:r>
        <w:rPr>
          <w:rFonts w:ascii="Cambria" w:eastAsia="Cambria" w:hAnsi="Cambria" w:cs="Cambria"/>
        </w:rPr>
        <w:t xml:space="preserve">Under the hypothesis that </w:t>
      </w:r>
      <w:r>
        <w:rPr>
          <w:rFonts w:ascii="Cambria" w:eastAsia="Cambria" w:hAnsi="Cambria" w:cs="Cambria"/>
          <w:i/>
        </w:rPr>
        <w:t xml:space="preserve">σ </w:t>
      </w:r>
      <w:r>
        <w:rPr>
          <w:rFonts w:ascii="Cambria" w:eastAsia="Cambria" w:hAnsi="Cambria" w:cs="Cambria"/>
        </w:rPr>
        <w:t>is</w:t>
      </w:r>
      <w:r>
        <w:rPr>
          <w:rFonts w:ascii="Cambria" w:eastAsia="Cambria" w:hAnsi="Cambria" w:cs="Cambria"/>
        </w:rPr>
        <w:t xml:space="preserve"> fixed and because Γ is always negative for option sellers, any variation of the underlying asset positive or negative, will be adverse to them. By the same token, option buyers will benefit from any variation of the underlying asset as they are ”Γ positiv</w:t>
      </w:r>
      <w:r>
        <w:rPr>
          <w:rFonts w:ascii="Cambria" w:eastAsia="Cambria" w:hAnsi="Cambria" w:cs="Cambria"/>
        </w:rPr>
        <w:t>e” or ”Long Γ” (The fact that the volatility is considered constant is key, here as results are not the same at all when this is not the case”).</w:t>
      </w:r>
    </w:p>
    <w:p w:rsidR="00EE13F6" w:rsidRDefault="002E5BC4">
      <w:pPr>
        <w:spacing w:after="133" w:line="264" w:lineRule="auto"/>
        <w:ind w:left="19" w:right="477" w:hanging="10"/>
        <w:jc w:val="both"/>
      </w:pPr>
      <w:r>
        <w:rPr>
          <w:rFonts w:ascii="Cambria" w:eastAsia="Cambria" w:hAnsi="Cambria" w:cs="Cambria"/>
        </w:rPr>
        <w:t>Because of this particularity, according to Taleb (2005), when market-makers consider the delta hedging of thei</w:t>
      </w:r>
      <w:r>
        <w:rPr>
          <w:rFonts w:ascii="Cambria" w:eastAsia="Cambria" w:hAnsi="Cambria" w:cs="Cambria"/>
        </w:rPr>
        <w:t>r replication portfolio, they will use rather a ∆</w:t>
      </w:r>
      <w:r>
        <w:rPr>
          <w:rFonts w:ascii="Cambria" w:eastAsia="Cambria" w:hAnsi="Cambria" w:cs="Cambria"/>
          <w:i/>
          <w:vertAlign w:val="subscript"/>
        </w:rPr>
        <w:t xml:space="preserve">S </w:t>
      </w:r>
      <w:r>
        <w:rPr>
          <w:rFonts w:ascii="Cambria" w:eastAsia="Cambria" w:hAnsi="Cambria" w:cs="Cambria"/>
        </w:rPr>
        <w:t>based rule than a ∆</w:t>
      </w:r>
      <w:r>
        <w:rPr>
          <w:rFonts w:ascii="Cambria" w:eastAsia="Cambria" w:hAnsi="Cambria" w:cs="Cambria"/>
          <w:i/>
          <w:vertAlign w:val="subscript"/>
        </w:rPr>
        <w:t xml:space="preserve">t </w:t>
      </w:r>
      <w:r>
        <w:rPr>
          <w:rFonts w:ascii="Cambria" w:eastAsia="Cambria" w:hAnsi="Cambria" w:cs="Cambria"/>
        </w:rPr>
        <w:t xml:space="preserve">one, and they will place limit orders, when buying the underlying stock, to avoid part of the ask spread of their counterparts. In the case of the FTT, the market-maker which is ”Long </w:t>
      </w:r>
      <w:r>
        <w:rPr>
          <w:rFonts w:ascii="Cambria" w:eastAsia="Cambria" w:hAnsi="Cambria" w:cs="Cambria"/>
        </w:rPr>
        <w:t xml:space="preserve">Γ’ will place a limit order on </w:t>
      </w:r>
      <w:r>
        <w:rPr>
          <w:rFonts w:ascii="Cambria" w:eastAsia="Cambria" w:hAnsi="Cambria" w:cs="Cambria"/>
        </w:rPr>
        <w:lastRenderedPageBreak/>
        <w:t xml:space="preserve">the underlying equity inclusive of this tax. For instance, it will place a buy order at </w:t>
      </w:r>
      <w:r>
        <w:rPr>
          <w:noProof/>
        </w:rPr>
        <w:drawing>
          <wp:inline distT="0" distB="0" distL="0" distR="0">
            <wp:extent cx="265176" cy="204216"/>
            <wp:effectExtent l="0" t="0" r="0" b="0"/>
            <wp:docPr id="221873" name="Picture 221873"/>
            <wp:cNvGraphicFramePr/>
            <a:graphic xmlns:a="http://schemas.openxmlformats.org/drawingml/2006/main">
              <a:graphicData uri="http://schemas.openxmlformats.org/drawingml/2006/picture">
                <pic:pic xmlns:pic="http://schemas.openxmlformats.org/drawingml/2006/picture">
                  <pic:nvPicPr>
                    <pic:cNvPr id="221873" name="Picture 221873"/>
                    <pic:cNvPicPr/>
                  </pic:nvPicPr>
                  <pic:blipFill>
                    <a:blip r:embed="rId89"/>
                    <a:stretch>
                      <a:fillRect/>
                    </a:stretch>
                  </pic:blipFill>
                  <pic:spPr>
                    <a:xfrm>
                      <a:off x="0" y="0"/>
                      <a:ext cx="265176" cy="204216"/>
                    </a:xfrm>
                    <a:prstGeom prst="rect">
                      <a:avLst/>
                    </a:prstGeom>
                  </pic:spPr>
                </pic:pic>
              </a:graphicData>
            </a:graphic>
          </wp:inline>
        </w:drawing>
      </w:r>
      <w:r>
        <w:rPr>
          <w:rFonts w:ascii="Cambria" w:eastAsia="Cambria" w:hAnsi="Cambria" w:cs="Cambria"/>
        </w:rPr>
        <w:t xml:space="preserve"> and a sell order at </w:t>
      </w:r>
      <w:r>
        <w:rPr>
          <w:noProof/>
        </w:rPr>
        <w:drawing>
          <wp:inline distT="0" distB="0" distL="0" distR="0">
            <wp:extent cx="179832" cy="176784"/>
            <wp:effectExtent l="0" t="0" r="0" b="0"/>
            <wp:docPr id="221874" name="Picture 221874"/>
            <wp:cNvGraphicFramePr/>
            <a:graphic xmlns:a="http://schemas.openxmlformats.org/drawingml/2006/main">
              <a:graphicData uri="http://schemas.openxmlformats.org/drawingml/2006/picture">
                <pic:pic xmlns:pic="http://schemas.openxmlformats.org/drawingml/2006/picture">
                  <pic:nvPicPr>
                    <pic:cNvPr id="221874" name="Picture 221874"/>
                    <pic:cNvPicPr/>
                  </pic:nvPicPr>
                  <pic:blipFill>
                    <a:blip r:embed="rId90"/>
                    <a:stretch>
                      <a:fillRect/>
                    </a:stretch>
                  </pic:blipFill>
                  <pic:spPr>
                    <a:xfrm>
                      <a:off x="0" y="0"/>
                      <a:ext cx="179832" cy="176784"/>
                    </a:xfrm>
                    <a:prstGeom prst="rect">
                      <a:avLst/>
                    </a:prstGeom>
                  </pic:spPr>
                </pic:pic>
              </a:graphicData>
            </a:graphic>
          </wp:inline>
        </w:drawing>
      </w:r>
      <w:r>
        <w:rPr>
          <w:rFonts w:ascii="Cambria" w:eastAsia="Cambria" w:hAnsi="Cambria" w:cs="Cambria"/>
        </w:rPr>
        <w:t xml:space="preserve">. Because, of the specific nature of the limit order, the market will not move beyond those values without having </w:t>
      </w:r>
      <w:r>
        <w:rPr>
          <w:rFonts w:ascii="Cambria" w:eastAsia="Cambria" w:hAnsi="Cambria" w:cs="Cambria"/>
        </w:rPr>
        <w:t>the order executed.</w:t>
      </w:r>
    </w:p>
    <w:p w:rsidR="00EE13F6" w:rsidRDefault="002E5BC4">
      <w:pPr>
        <w:spacing w:after="70" w:line="264" w:lineRule="auto"/>
        <w:ind w:left="19" w:right="477" w:hanging="10"/>
        <w:jc w:val="both"/>
      </w:pPr>
      <w:r>
        <w:rPr>
          <w:rFonts w:ascii="Cambria" w:eastAsia="Cambria" w:hAnsi="Cambria" w:cs="Cambria"/>
        </w:rPr>
        <w:t xml:space="preserve">In this condition and according to the market practice, in the presence of additional transaction costs whose expectation over the life time of the option is </w:t>
      </w:r>
      <w:r>
        <w:rPr>
          <w:rFonts w:ascii="Cambria" w:eastAsia="Cambria" w:hAnsi="Cambria" w:cs="Cambria"/>
          <w:i/>
        </w:rPr>
        <w:t>x</w:t>
      </w:r>
      <w:r>
        <w:rPr>
          <w:rFonts w:ascii="Cambria" w:eastAsia="Cambria" w:hAnsi="Cambria" w:cs="Cambria"/>
        </w:rPr>
        <w:t>, risk neutral market-makers will quote a bid-ask interval of [b-</w:t>
      </w:r>
      <w:r>
        <w:rPr>
          <w:noProof/>
        </w:rPr>
        <w:drawing>
          <wp:inline distT="0" distB="0" distL="0" distR="0">
            <wp:extent cx="67056" cy="152400"/>
            <wp:effectExtent l="0" t="0" r="0" b="0"/>
            <wp:docPr id="221875" name="Picture 221875"/>
            <wp:cNvGraphicFramePr/>
            <a:graphic xmlns:a="http://schemas.openxmlformats.org/drawingml/2006/main">
              <a:graphicData uri="http://schemas.openxmlformats.org/drawingml/2006/picture">
                <pic:pic xmlns:pic="http://schemas.openxmlformats.org/drawingml/2006/picture">
                  <pic:nvPicPr>
                    <pic:cNvPr id="221875" name="Picture 221875"/>
                    <pic:cNvPicPr/>
                  </pic:nvPicPr>
                  <pic:blipFill>
                    <a:blip r:embed="rId91"/>
                    <a:stretch>
                      <a:fillRect/>
                    </a:stretch>
                  </pic:blipFill>
                  <pic:spPr>
                    <a:xfrm>
                      <a:off x="0" y="0"/>
                      <a:ext cx="67056" cy="152400"/>
                    </a:xfrm>
                    <a:prstGeom prst="rect">
                      <a:avLst/>
                    </a:prstGeom>
                  </pic:spPr>
                </pic:pic>
              </a:graphicData>
            </a:graphic>
          </wp:inline>
        </w:drawing>
      </w:r>
      <w:r>
        <w:rPr>
          <w:rFonts w:ascii="Cambria" w:eastAsia="Cambria" w:hAnsi="Cambria" w:cs="Cambria"/>
        </w:rPr>
        <w:t>,a+x].</w:t>
      </w:r>
    </w:p>
    <w:p w:rsidR="00EE13F6" w:rsidRDefault="002E5BC4">
      <w:pPr>
        <w:spacing w:after="67" w:line="264" w:lineRule="auto"/>
        <w:ind w:left="19" w:right="477" w:hanging="10"/>
        <w:jc w:val="both"/>
      </w:pPr>
      <w:r>
        <w:rPr>
          <w:rFonts w:ascii="Cambria" w:eastAsia="Cambria" w:hAnsi="Cambria" w:cs="Cambria"/>
        </w:rPr>
        <w:t>The new mid- price will then be:</w:t>
      </w:r>
    </w:p>
    <w:p w:rsidR="00EE13F6" w:rsidRDefault="002E5BC4">
      <w:pPr>
        <w:spacing w:after="251"/>
        <w:ind w:left="3960"/>
      </w:pPr>
      <w:r>
        <w:rPr>
          <w:noProof/>
        </w:rPr>
        <w:drawing>
          <wp:inline distT="0" distB="0" distL="0" distR="0">
            <wp:extent cx="850392" cy="289560"/>
            <wp:effectExtent l="0" t="0" r="0" b="0"/>
            <wp:docPr id="221876" name="Picture 221876"/>
            <wp:cNvGraphicFramePr/>
            <a:graphic xmlns:a="http://schemas.openxmlformats.org/drawingml/2006/main">
              <a:graphicData uri="http://schemas.openxmlformats.org/drawingml/2006/picture">
                <pic:pic xmlns:pic="http://schemas.openxmlformats.org/drawingml/2006/picture">
                  <pic:nvPicPr>
                    <pic:cNvPr id="221876" name="Picture 221876"/>
                    <pic:cNvPicPr/>
                  </pic:nvPicPr>
                  <pic:blipFill>
                    <a:blip r:embed="rId92"/>
                    <a:stretch>
                      <a:fillRect/>
                    </a:stretch>
                  </pic:blipFill>
                  <pic:spPr>
                    <a:xfrm>
                      <a:off x="0" y="0"/>
                      <a:ext cx="850392" cy="289560"/>
                    </a:xfrm>
                    <a:prstGeom prst="rect">
                      <a:avLst/>
                    </a:prstGeom>
                  </pic:spPr>
                </pic:pic>
              </a:graphicData>
            </a:graphic>
          </wp:inline>
        </w:drawing>
      </w:r>
    </w:p>
    <w:p w:rsidR="00EE13F6" w:rsidRDefault="002E5BC4">
      <w:pPr>
        <w:spacing w:after="99" w:line="264" w:lineRule="auto"/>
        <w:ind w:left="19" w:right="477" w:hanging="10"/>
        <w:jc w:val="both"/>
      </w:pPr>
      <w:r>
        <w:rPr>
          <w:rFonts w:ascii="Cambria" w:eastAsia="Cambria" w:hAnsi="Cambria" w:cs="Cambria"/>
        </w:rPr>
        <w:t>New bid-ask quotation spread will become:</w:t>
      </w:r>
    </w:p>
    <w:p w:rsidR="00EE13F6" w:rsidRDefault="002E5BC4">
      <w:pPr>
        <w:spacing w:after="251"/>
        <w:ind w:left="4080"/>
      </w:pPr>
      <w:r>
        <w:rPr>
          <w:noProof/>
        </w:rPr>
        <w:drawing>
          <wp:inline distT="0" distB="0" distL="0" distR="0">
            <wp:extent cx="713232" cy="283464"/>
            <wp:effectExtent l="0" t="0" r="0" b="0"/>
            <wp:docPr id="221877" name="Picture 221877"/>
            <wp:cNvGraphicFramePr/>
            <a:graphic xmlns:a="http://schemas.openxmlformats.org/drawingml/2006/main">
              <a:graphicData uri="http://schemas.openxmlformats.org/drawingml/2006/picture">
                <pic:pic xmlns:pic="http://schemas.openxmlformats.org/drawingml/2006/picture">
                  <pic:nvPicPr>
                    <pic:cNvPr id="221877" name="Picture 221877"/>
                    <pic:cNvPicPr/>
                  </pic:nvPicPr>
                  <pic:blipFill>
                    <a:blip r:embed="rId93"/>
                    <a:stretch>
                      <a:fillRect/>
                    </a:stretch>
                  </pic:blipFill>
                  <pic:spPr>
                    <a:xfrm>
                      <a:off x="0" y="0"/>
                      <a:ext cx="713232" cy="283464"/>
                    </a:xfrm>
                    <a:prstGeom prst="rect">
                      <a:avLst/>
                    </a:prstGeom>
                  </pic:spPr>
                </pic:pic>
              </a:graphicData>
            </a:graphic>
          </wp:inline>
        </w:drawing>
      </w:r>
    </w:p>
    <w:p w:rsidR="00EE13F6" w:rsidRDefault="002E5BC4">
      <w:pPr>
        <w:spacing w:after="99" w:line="264" w:lineRule="auto"/>
        <w:ind w:left="19" w:right="477" w:hanging="10"/>
        <w:jc w:val="both"/>
      </w:pPr>
      <w:r>
        <w:rPr>
          <w:rFonts w:ascii="Cambria" w:eastAsia="Cambria" w:hAnsi="Cambria" w:cs="Cambria"/>
        </w:rPr>
        <w:t>and</w:t>
      </w:r>
    </w:p>
    <w:p w:rsidR="00EE13F6" w:rsidRDefault="002E5BC4">
      <w:pPr>
        <w:spacing w:after="440"/>
        <w:ind w:left="4080"/>
      </w:pPr>
      <w:r>
        <w:rPr>
          <w:noProof/>
        </w:rPr>
        <w:drawing>
          <wp:inline distT="0" distB="0" distL="0" distR="0">
            <wp:extent cx="725424" cy="286512"/>
            <wp:effectExtent l="0" t="0" r="0" b="0"/>
            <wp:docPr id="221878" name="Picture 221878"/>
            <wp:cNvGraphicFramePr/>
            <a:graphic xmlns:a="http://schemas.openxmlformats.org/drawingml/2006/main">
              <a:graphicData uri="http://schemas.openxmlformats.org/drawingml/2006/picture">
                <pic:pic xmlns:pic="http://schemas.openxmlformats.org/drawingml/2006/picture">
                  <pic:nvPicPr>
                    <pic:cNvPr id="221878" name="Picture 221878"/>
                    <pic:cNvPicPr/>
                  </pic:nvPicPr>
                  <pic:blipFill>
                    <a:blip r:embed="rId94"/>
                    <a:stretch>
                      <a:fillRect/>
                    </a:stretch>
                  </pic:blipFill>
                  <pic:spPr>
                    <a:xfrm>
                      <a:off x="0" y="0"/>
                      <a:ext cx="725424" cy="286512"/>
                    </a:xfrm>
                    <a:prstGeom prst="rect">
                      <a:avLst/>
                    </a:prstGeom>
                  </pic:spPr>
                </pic:pic>
              </a:graphicData>
            </a:graphic>
          </wp:inline>
        </w:drawing>
      </w:r>
    </w:p>
    <w:p w:rsidR="00EE13F6" w:rsidRDefault="002E5BC4">
      <w:pPr>
        <w:pStyle w:val="Heading1"/>
        <w:spacing w:after="301"/>
        <w:ind w:left="479" w:right="142"/>
      </w:pPr>
      <w:r>
        <w:t>3 Application to the Quantitative Estimation of the FTT Impact on Implied Volatility in in Highly Liquid Markets</w:t>
      </w:r>
    </w:p>
    <w:p w:rsidR="00EE13F6" w:rsidRDefault="002E5BC4">
      <w:pPr>
        <w:pStyle w:val="Heading2"/>
        <w:tabs>
          <w:tab w:val="center" w:pos="5030"/>
        </w:tabs>
        <w:ind w:left="-15" w:firstLine="0"/>
      </w:pPr>
      <w:r>
        <w:t>3.1</w:t>
      </w:r>
      <w:r>
        <w:tab/>
        <w:t xml:space="preserve">General Considerations on The Cash Equity and Futures </w:t>
      </w:r>
      <w:r>
        <w:t>Option Markets</w:t>
      </w:r>
    </w:p>
    <w:p w:rsidR="00EE13F6" w:rsidRDefault="002E5BC4">
      <w:pPr>
        <w:spacing w:after="133" w:line="264" w:lineRule="auto"/>
        <w:ind w:left="19" w:right="477" w:hanging="10"/>
        <w:jc w:val="both"/>
      </w:pPr>
      <w:r>
        <w:rPr>
          <w:rFonts w:ascii="Cambria" w:eastAsia="Cambria" w:hAnsi="Cambria" w:cs="Cambria"/>
        </w:rPr>
        <w:t xml:space="preserve">As seen before, the market size impact term </w:t>
      </w:r>
      <w:r>
        <w:rPr>
          <w:noProof/>
        </w:rPr>
        <w:drawing>
          <wp:inline distT="0" distB="0" distL="0" distR="0">
            <wp:extent cx="67056" cy="176784"/>
            <wp:effectExtent l="0" t="0" r="0" b="0"/>
            <wp:docPr id="221879" name="Picture 221879"/>
            <wp:cNvGraphicFramePr/>
            <a:graphic xmlns:a="http://schemas.openxmlformats.org/drawingml/2006/main">
              <a:graphicData uri="http://schemas.openxmlformats.org/drawingml/2006/picture">
                <pic:pic xmlns:pic="http://schemas.openxmlformats.org/drawingml/2006/picture">
                  <pic:nvPicPr>
                    <pic:cNvPr id="221879" name="Picture 221879"/>
                    <pic:cNvPicPr/>
                  </pic:nvPicPr>
                  <pic:blipFill>
                    <a:blip r:embed="rId95"/>
                    <a:stretch>
                      <a:fillRect/>
                    </a:stretch>
                  </pic:blipFill>
                  <pic:spPr>
                    <a:xfrm>
                      <a:off x="0" y="0"/>
                      <a:ext cx="67056" cy="176784"/>
                    </a:xfrm>
                    <a:prstGeom prst="rect">
                      <a:avLst/>
                    </a:prstGeom>
                  </pic:spPr>
                </pic:pic>
              </a:graphicData>
            </a:graphic>
          </wp:inline>
        </w:drawing>
      </w:r>
      <w:r>
        <w:rPr>
          <w:rFonts w:ascii="Cambria" w:eastAsia="Cambria" w:hAnsi="Cambria" w:cs="Cambria"/>
        </w:rPr>
        <w:t xml:space="preserve"> for the synthetic stock (and consequently </w:t>
      </w:r>
      <w:r>
        <w:rPr>
          <w:noProof/>
        </w:rPr>
        <w:drawing>
          <wp:inline distT="0" distB="0" distL="0" distR="0">
            <wp:extent cx="70103" cy="176784"/>
            <wp:effectExtent l="0" t="0" r="0" b="0"/>
            <wp:docPr id="221880" name="Picture 221880"/>
            <wp:cNvGraphicFramePr/>
            <a:graphic xmlns:a="http://schemas.openxmlformats.org/drawingml/2006/main">
              <a:graphicData uri="http://schemas.openxmlformats.org/drawingml/2006/picture">
                <pic:pic xmlns:pic="http://schemas.openxmlformats.org/drawingml/2006/picture">
                  <pic:nvPicPr>
                    <pic:cNvPr id="221880" name="Picture 221880"/>
                    <pic:cNvPicPr/>
                  </pic:nvPicPr>
                  <pic:blipFill>
                    <a:blip r:embed="rId96"/>
                    <a:stretch>
                      <a:fillRect/>
                    </a:stretch>
                  </pic:blipFill>
                  <pic:spPr>
                    <a:xfrm>
                      <a:off x="0" y="0"/>
                      <a:ext cx="70103" cy="176784"/>
                    </a:xfrm>
                    <a:prstGeom prst="rect">
                      <a:avLst/>
                    </a:prstGeom>
                  </pic:spPr>
                </pic:pic>
              </a:graphicData>
            </a:graphic>
          </wp:inline>
        </w:drawing>
      </w:r>
      <w:r>
        <w:rPr>
          <w:rFonts w:ascii="Cambria" w:eastAsia="Cambria" w:hAnsi="Cambria" w:cs="Cambria"/>
        </w:rPr>
        <w:t xml:space="preserve">, for both the ATM call and put) can be justified either by considering it is equivalent to the limit of the corresponding adverse term </w:t>
      </w:r>
      <w:r>
        <w:rPr>
          <w:rFonts w:ascii="Cambria" w:eastAsia="Cambria" w:hAnsi="Cambria" w:cs="Cambria"/>
          <w:i/>
        </w:rPr>
        <w:t xml:space="preserve">γ </w:t>
      </w:r>
      <w:r>
        <w:rPr>
          <w:rFonts w:ascii="Cambria" w:eastAsia="Cambria" w:hAnsi="Cambria" w:cs="Cambria"/>
        </w:rPr>
        <w:t>tends toward z</w:t>
      </w:r>
      <w:r>
        <w:rPr>
          <w:rFonts w:ascii="Cambria" w:eastAsia="Cambria" w:hAnsi="Cambria" w:cs="Cambria"/>
        </w:rPr>
        <w:t xml:space="preserve">ero or by considering the direct impact of one additional trade whose size is </w:t>
      </w:r>
      <w:r>
        <w:rPr>
          <w:rFonts w:ascii="Cambria" w:eastAsia="Cambria" w:hAnsi="Cambria" w:cs="Cambria"/>
          <w:i/>
        </w:rPr>
        <w:t xml:space="preserve">α </w:t>
      </w:r>
      <w:r>
        <w:rPr>
          <w:rFonts w:ascii="Cambria" w:eastAsia="Cambria" w:hAnsi="Cambria" w:cs="Cambria"/>
        </w:rPr>
        <w:t>on the market, using equation (23).</w:t>
      </w:r>
    </w:p>
    <w:p w:rsidR="00EE13F6" w:rsidRDefault="002E5BC4">
      <w:pPr>
        <w:spacing w:after="133" w:line="264" w:lineRule="auto"/>
        <w:ind w:left="19" w:right="477" w:hanging="10"/>
        <w:jc w:val="both"/>
      </w:pPr>
      <w:r>
        <w:rPr>
          <w:rFonts w:ascii="Cambria" w:eastAsia="Cambria" w:hAnsi="Cambria" w:cs="Cambria"/>
        </w:rPr>
        <w:t>We are also making the assumption that the trade size is not affected by the introduction of the FTT. Volumes traded on option marketsshould</w:t>
      </w:r>
      <w:r>
        <w:rPr>
          <w:rFonts w:ascii="Cambria" w:eastAsia="Cambria" w:hAnsi="Cambria" w:cs="Cambria"/>
        </w:rPr>
        <w:t xml:space="preserve"> increase significantly, because of the substitution of Delta One (including synthetic stocks) to cash products. If we consider then that volumes on the option markets, are not going to be affected negatively, it implies the same for the intensity of trade</w:t>
      </w:r>
      <w:r>
        <w:rPr>
          <w:rFonts w:ascii="Cambria" w:eastAsia="Cambria" w:hAnsi="Cambria" w:cs="Cambria"/>
        </w:rPr>
        <w:t xml:space="preserve"> arrivals, that the market’s maker is facing. Finally, we consider for the reasons explained above that the market impact will at least stay constant or decrease.</w:t>
      </w:r>
    </w:p>
    <w:p w:rsidR="00EE13F6" w:rsidRDefault="002E5BC4">
      <w:pPr>
        <w:tabs>
          <w:tab w:val="center" w:pos="2387"/>
        </w:tabs>
        <w:spacing w:after="287" w:line="261" w:lineRule="auto"/>
        <w:ind w:left="-15"/>
      </w:pPr>
      <w:r>
        <w:rPr>
          <w:rFonts w:ascii="Cambria" w:eastAsia="Cambria" w:hAnsi="Cambria" w:cs="Cambria"/>
          <w:b/>
        </w:rPr>
        <w:t>3.1.1</w:t>
      </w:r>
      <w:r>
        <w:rPr>
          <w:rFonts w:ascii="Cambria" w:eastAsia="Cambria" w:hAnsi="Cambria" w:cs="Cambria"/>
          <w:b/>
        </w:rPr>
        <w:tab/>
        <w:t>Equity Options and Tick Size</w:t>
      </w:r>
    </w:p>
    <w:p w:rsidR="00EE13F6" w:rsidRDefault="002E5BC4">
      <w:pPr>
        <w:spacing w:after="133" w:line="264" w:lineRule="auto"/>
        <w:ind w:left="19" w:right="477" w:hanging="10"/>
        <w:jc w:val="both"/>
      </w:pPr>
      <w:r>
        <w:rPr>
          <w:rFonts w:ascii="Cambria" w:eastAsia="Cambria" w:hAnsi="Cambria" w:cs="Cambria"/>
        </w:rPr>
        <w:t>We consider now the case of equity option on futures . Those markets were, historically, options on index futures contracts. Those option contracts are generally specified with a direct reference to the level of the underlying future index expressed in poi</w:t>
      </w:r>
      <w:r>
        <w:rPr>
          <w:rFonts w:ascii="Cambria" w:eastAsia="Cambria" w:hAnsi="Cambria" w:cs="Cambria"/>
        </w:rPr>
        <w:t>nts and a multiplier expressed in monetary units. The recent creation and expansion of Single Stock Futures in Europe Most of the index future contract specifications have been set up, a while ago, for index values around 1,000. Futures index options contr</w:t>
      </w:r>
      <w:r>
        <w:rPr>
          <w:rFonts w:ascii="Cambria" w:eastAsia="Cambria" w:hAnsi="Cambria" w:cs="Cambria"/>
        </w:rPr>
        <w:t xml:space="preserve">act specifications have retained this level, too in such a way, that the ”theoretical” tick for option contracts, corresponds to 0.01 percent or 1 basis point (pip) of the notional value of the underlying </w:t>
      </w:r>
      <w:r>
        <w:rPr>
          <w:rFonts w:ascii="Cambria" w:eastAsia="Cambria" w:hAnsi="Cambria" w:cs="Cambria"/>
        </w:rPr>
        <w:lastRenderedPageBreak/>
        <w:t>future contract . However, because of the general d</w:t>
      </w:r>
      <w:r>
        <w:rPr>
          <w:rFonts w:ascii="Cambria" w:eastAsia="Cambria" w:hAnsi="Cambria" w:cs="Cambria"/>
        </w:rPr>
        <w:t>rift of equity indices that occurred worldwide, since the inception of those contracts, this 1 basis point might be different, nowadays from the theoretical tick for option contracts which is still in the option contract specification.</w:t>
      </w:r>
    </w:p>
    <w:p w:rsidR="00EE13F6" w:rsidRDefault="002E5BC4">
      <w:pPr>
        <w:spacing w:after="133" w:line="264" w:lineRule="auto"/>
        <w:ind w:left="19" w:right="477" w:hanging="10"/>
        <w:jc w:val="both"/>
      </w:pPr>
      <w:r>
        <w:rPr>
          <w:rFonts w:ascii="Cambria" w:eastAsia="Cambria" w:hAnsi="Cambria" w:cs="Cambria"/>
        </w:rPr>
        <w:t>One can see after re</w:t>
      </w:r>
      <w:r>
        <w:rPr>
          <w:rFonts w:ascii="Cambria" w:eastAsia="Cambria" w:hAnsi="Cambria" w:cs="Cambria"/>
        </w:rPr>
        <w:t>viewing the various contract specifications that 1 basis point of the index future contract value represents, nowadays, a multiple of the ”theoretical” or ”notional” option contract tick size. For instance, it is easy to figure that this multiplier is equa</w:t>
      </w:r>
      <w:r>
        <w:rPr>
          <w:rFonts w:ascii="Cambria" w:eastAsia="Cambria" w:hAnsi="Cambria" w:cs="Cambria"/>
        </w:rPr>
        <w:t>l to the quotient between the current level of the index and 1,000.</w:t>
      </w:r>
    </w:p>
    <w:p w:rsidR="00EE13F6" w:rsidRDefault="002E5BC4">
      <w:pPr>
        <w:spacing w:after="133" w:line="264" w:lineRule="auto"/>
        <w:ind w:left="19" w:right="477" w:hanging="10"/>
        <w:jc w:val="both"/>
      </w:pPr>
      <w:r>
        <w:rPr>
          <w:rFonts w:ascii="Cambria" w:eastAsia="Cambria" w:hAnsi="Cambria" w:cs="Cambria"/>
        </w:rPr>
        <w:t>This leads to multiplier values of approximately 5.5 for the NASDAQ 100 Option and the CAC 40 index option contracts. At the same time, the multiplier values amount to 2.5 for the DAX opti</w:t>
      </w:r>
      <w:r>
        <w:rPr>
          <w:rFonts w:ascii="Cambria" w:eastAsia="Cambria" w:hAnsi="Cambria" w:cs="Cambria"/>
        </w:rPr>
        <w:t>on exchange, whereas SP500 CME and SP500 CME Nasdaq evidence a 2.0 multiplier while, finally, the E-Mini SP500 contract retains a multiplier of 0.8.</w:t>
      </w:r>
    </w:p>
    <w:p w:rsidR="00EE13F6" w:rsidRDefault="002E5BC4">
      <w:pPr>
        <w:spacing w:after="133" w:line="264" w:lineRule="auto"/>
        <w:ind w:left="19" w:right="477" w:hanging="10"/>
        <w:jc w:val="both"/>
      </w:pPr>
      <w:r>
        <w:rPr>
          <w:rFonts w:ascii="Cambria" w:eastAsia="Cambria" w:hAnsi="Cambria" w:cs="Cambria"/>
        </w:rPr>
        <w:t>Those various values are reflecting, the the ”effective” tick size in use on those exchange markets is a mu</w:t>
      </w:r>
      <w:r>
        <w:rPr>
          <w:rFonts w:ascii="Cambria" w:eastAsia="Cambria" w:hAnsi="Cambria" w:cs="Cambria"/>
        </w:rPr>
        <w:t>ltiple of the original tick size which was set up at the inception of those contracts.</w:t>
      </w:r>
    </w:p>
    <w:p w:rsidR="00EE13F6" w:rsidRDefault="002E5BC4">
      <w:pPr>
        <w:spacing w:after="392" w:line="264" w:lineRule="auto"/>
        <w:ind w:left="19" w:right="477" w:hanging="10"/>
        <w:jc w:val="both"/>
      </w:pPr>
      <w:r>
        <w:rPr>
          <w:rFonts w:ascii="Cambria" w:eastAsia="Cambria" w:hAnsi="Cambria" w:cs="Cambria"/>
        </w:rPr>
        <w:t>Consequently, in order to be able to formulate an opinion independent upon the current level of the Index markets considered, we propose to use a rule for the determinat</w:t>
      </w:r>
      <w:r>
        <w:rPr>
          <w:rFonts w:ascii="Cambria" w:eastAsia="Cambria" w:hAnsi="Cambria" w:cs="Cambria"/>
        </w:rPr>
        <w:t>ion of the tick size, which is derived from the valuation rules prevailing in the equity OTC derivatives markets. This rule consist in quoting equity derivatives as a fraction of the notional amount of the underlying contract , expressed in basis points. T</w:t>
      </w:r>
      <w:r>
        <w:rPr>
          <w:rFonts w:ascii="Cambria" w:eastAsia="Cambria" w:hAnsi="Cambria" w:cs="Cambria"/>
        </w:rPr>
        <w:t xml:space="preserve">hus, the minimal and ”normalized” tick size to consider for index option contracts is, at least, </w:t>
      </w:r>
      <w:r>
        <w:rPr>
          <w:noProof/>
        </w:rPr>
        <w:drawing>
          <wp:inline distT="0" distB="0" distL="0" distR="0">
            <wp:extent cx="402336" cy="207264"/>
            <wp:effectExtent l="0" t="0" r="0" b="0"/>
            <wp:docPr id="221881" name="Picture 221881"/>
            <wp:cNvGraphicFramePr/>
            <a:graphic xmlns:a="http://schemas.openxmlformats.org/drawingml/2006/main">
              <a:graphicData uri="http://schemas.openxmlformats.org/drawingml/2006/picture">
                <pic:pic xmlns:pic="http://schemas.openxmlformats.org/drawingml/2006/picture">
                  <pic:nvPicPr>
                    <pic:cNvPr id="221881" name="Picture 221881"/>
                    <pic:cNvPicPr/>
                  </pic:nvPicPr>
                  <pic:blipFill>
                    <a:blip r:embed="rId97"/>
                    <a:stretch>
                      <a:fillRect/>
                    </a:stretch>
                  </pic:blipFill>
                  <pic:spPr>
                    <a:xfrm>
                      <a:off x="0" y="0"/>
                      <a:ext cx="402336" cy="207264"/>
                    </a:xfrm>
                    <a:prstGeom prst="rect">
                      <a:avLst/>
                    </a:prstGeom>
                  </pic:spPr>
                </pic:pic>
              </a:graphicData>
            </a:graphic>
          </wp:inline>
        </w:drawing>
      </w:r>
      <w:r>
        <w:rPr>
          <w:rFonts w:ascii="Cambria" w:eastAsia="Cambria" w:hAnsi="Cambria" w:cs="Cambria"/>
        </w:rPr>
        <w:t xml:space="preserve"> or 1 basis point (1 b.p) of the notional underlying contract.</w:t>
      </w:r>
    </w:p>
    <w:p w:rsidR="00EE13F6" w:rsidRDefault="002E5BC4">
      <w:pPr>
        <w:tabs>
          <w:tab w:val="center" w:pos="1584"/>
        </w:tabs>
        <w:spacing w:after="287" w:line="261" w:lineRule="auto"/>
        <w:ind w:left="-15"/>
      </w:pPr>
      <w:r>
        <w:rPr>
          <w:rFonts w:ascii="Cambria" w:eastAsia="Cambria" w:hAnsi="Cambria" w:cs="Cambria"/>
          <w:b/>
        </w:rPr>
        <w:t>3.1.2</w:t>
      </w:r>
      <w:r>
        <w:rPr>
          <w:rFonts w:ascii="Cambria" w:eastAsia="Cambria" w:hAnsi="Cambria" w:cs="Cambria"/>
          <w:b/>
        </w:rPr>
        <w:tab/>
        <w:t>Market-impact</w:t>
      </w:r>
    </w:p>
    <w:p w:rsidR="00EE13F6" w:rsidRDefault="002E5BC4">
      <w:pPr>
        <w:spacing w:after="133" w:line="264" w:lineRule="auto"/>
        <w:ind w:left="19" w:right="477" w:hanging="10"/>
        <w:jc w:val="both"/>
      </w:pPr>
      <w:r>
        <w:rPr>
          <w:rFonts w:ascii="Cambria" w:eastAsia="Cambria" w:hAnsi="Cambria" w:cs="Cambria"/>
        </w:rPr>
        <w:t xml:space="preserve">We then consider the possible ”market impact” of the market-maker’s quotation on the bid-ask price. This term can be estimated for a risk neutral market-maker as equal to </w:t>
      </w:r>
      <w:r>
        <w:rPr>
          <w:rFonts w:ascii="Cambria" w:eastAsia="Cambria" w:hAnsi="Cambria" w:cs="Cambria"/>
          <w:i/>
          <w:vertAlign w:val="subscript"/>
        </w:rPr>
        <w:t>h</w:t>
      </w:r>
      <w:r>
        <w:rPr>
          <w:rFonts w:ascii="Cambria" w:eastAsia="Cambria" w:hAnsi="Cambria" w:cs="Cambria"/>
          <w:u w:val="single" w:color="000000"/>
          <w:vertAlign w:val="superscript"/>
        </w:rPr>
        <w:t xml:space="preserve">1 </w:t>
      </w:r>
      <w:r>
        <w:rPr>
          <w:rFonts w:ascii="Cambria" w:eastAsia="Cambria" w:hAnsi="Cambria" w:cs="Cambria"/>
        </w:rPr>
        <w:t xml:space="preserve">by taking half the limit when </w:t>
      </w:r>
      <w:r>
        <w:rPr>
          <w:rFonts w:ascii="Cambria" w:eastAsia="Cambria" w:hAnsi="Cambria" w:cs="Cambria"/>
          <w:i/>
        </w:rPr>
        <w:t xml:space="preserve">γ </w:t>
      </w:r>
      <w:r>
        <w:rPr>
          <w:rFonts w:ascii="Cambria" w:eastAsia="Cambria" w:hAnsi="Cambria" w:cs="Cambria"/>
        </w:rPr>
        <w:t>tends toward zero in the asymptotic solution of th</w:t>
      </w:r>
      <w:r>
        <w:rPr>
          <w:rFonts w:ascii="Cambria" w:eastAsia="Cambria" w:hAnsi="Cambria" w:cs="Cambria"/>
        </w:rPr>
        <w:t>e HJB equation described by equation (21).</w:t>
      </w:r>
    </w:p>
    <w:p w:rsidR="00EE13F6" w:rsidRDefault="002E5BC4">
      <w:pPr>
        <w:spacing w:after="133" w:line="264" w:lineRule="auto"/>
        <w:ind w:left="19" w:right="477" w:hanging="10"/>
        <w:jc w:val="both"/>
      </w:pPr>
      <w:r>
        <w:rPr>
          <w:rFonts w:ascii="Cambria" w:eastAsia="Cambria" w:hAnsi="Cambria" w:cs="Cambria"/>
        </w:rPr>
        <w:t>Whatever is the quantitative estimation of this market effect, we will make the assumption that this term is going to decrease following the introduction of the FTT. Such move will be explained by an expected shar</w:t>
      </w:r>
      <w:r>
        <w:rPr>
          <w:rFonts w:ascii="Cambria" w:eastAsia="Cambria" w:hAnsi="Cambria" w:cs="Cambria"/>
        </w:rPr>
        <w:t>p increase in the volume of option transactions. This expected increase is due to the difference in taxation between cash equity products and derivatives which amounts to nearly 0.40 percent when both counterparts of an option trade are financial instituti</w:t>
      </w:r>
      <w:r>
        <w:rPr>
          <w:rFonts w:ascii="Cambria" w:eastAsia="Cambria" w:hAnsi="Cambria" w:cs="Cambria"/>
        </w:rPr>
        <w:t>ons. For a daily trade, this difference on a yearly basis amounts to 10 percent of the daily average notional value of the trades.</w:t>
      </w:r>
    </w:p>
    <w:p w:rsidR="00EE13F6" w:rsidRDefault="002E5BC4">
      <w:pPr>
        <w:spacing w:after="133" w:line="264" w:lineRule="auto"/>
        <w:ind w:left="19" w:right="477" w:hanging="10"/>
        <w:jc w:val="both"/>
      </w:pPr>
      <w:r>
        <w:rPr>
          <w:rFonts w:ascii="Cambria" w:eastAsia="Cambria" w:hAnsi="Cambria" w:cs="Cambria"/>
        </w:rPr>
        <w:t>This very sharp difference, would justify, from all economic agents not interested in the physical detention of the cash stoc</w:t>
      </w:r>
      <w:r>
        <w:rPr>
          <w:rFonts w:ascii="Cambria" w:eastAsia="Cambria" w:hAnsi="Cambria" w:cs="Cambria"/>
        </w:rPr>
        <w:t>k, a massive switch from cash equity to delta one products, such as Single Stock Futures, CFDs and including as well synthetic stocks built up with call and put options. The Single Stock Futures as well as the CFDs market should expand very significantly.</w:t>
      </w:r>
    </w:p>
    <w:p w:rsidR="00EE13F6" w:rsidRDefault="002E5BC4">
      <w:pPr>
        <w:spacing w:after="133" w:line="264" w:lineRule="auto"/>
        <w:ind w:left="19" w:right="477" w:hanging="10"/>
        <w:jc w:val="both"/>
      </w:pPr>
      <w:r>
        <w:rPr>
          <w:rFonts w:ascii="Cambria" w:eastAsia="Cambria" w:hAnsi="Cambria" w:cs="Cambria"/>
        </w:rPr>
        <w:t>This ”gravitational pull” or ”liquidity begets liquidity” effect should lead all economic agents not interested in the physical detention of the cash equity share to cluster as ”delta one” users. This situation would constitute an equilibrium as none of su</w:t>
      </w:r>
      <w:r>
        <w:rPr>
          <w:rFonts w:ascii="Cambria" w:eastAsia="Cambria" w:hAnsi="Cambria" w:cs="Cambria"/>
        </w:rPr>
        <w:t>ch agents would do the reverse move by going back to use cash equity products.</w:t>
      </w:r>
    </w:p>
    <w:p w:rsidR="00EE13F6" w:rsidRDefault="002E5BC4">
      <w:pPr>
        <w:spacing w:after="473" w:line="264" w:lineRule="auto"/>
        <w:ind w:left="19" w:right="477" w:hanging="10"/>
        <w:jc w:val="both"/>
      </w:pPr>
      <w:r>
        <w:rPr>
          <w:rFonts w:ascii="Cambria" w:eastAsia="Cambria" w:hAnsi="Cambria" w:cs="Cambria"/>
        </w:rPr>
        <w:lastRenderedPageBreak/>
        <w:t>In conclusion, for those reasons we consider that in such highly liquid delta one markets, the market impact will stay at least constant and most likely will decrease. Consequen</w:t>
      </w:r>
      <w:r>
        <w:rPr>
          <w:rFonts w:ascii="Cambria" w:eastAsia="Cambria" w:hAnsi="Cambria" w:cs="Cambria"/>
        </w:rPr>
        <w:t>tly, the moves on the quoted market-spread will be explained by the two other factors discussed above.</w:t>
      </w:r>
    </w:p>
    <w:p w:rsidR="00EE13F6" w:rsidRDefault="002E5BC4">
      <w:pPr>
        <w:pStyle w:val="Heading2"/>
        <w:tabs>
          <w:tab w:val="center" w:pos="4523"/>
        </w:tabs>
        <w:ind w:left="-15" w:firstLine="0"/>
      </w:pPr>
      <w:r>
        <w:t>3.2</w:t>
      </w:r>
      <w:r>
        <w:tab/>
        <w:t>Assumptions Made on the Highly Liquid Equity Option Markets</w:t>
      </w:r>
    </w:p>
    <w:p w:rsidR="00EE13F6" w:rsidRDefault="002E5BC4">
      <w:pPr>
        <w:spacing w:after="135" w:line="261" w:lineRule="auto"/>
        <w:ind w:left="-5" w:right="468" w:hanging="10"/>
        <w:jc w:val="both"/>
      </w:pPr>
      <w:r>
        <w:rPr>
          <w:rFonts w:ascii="Cambria" w:eastAsia="Cambria" w:hAnsi="Cambria" w:cs="Cambria"/>
          <w:b/>
        </w:rPr>
        <w:t>Assumptions:</w:t>
      </w:r>
    </w:p>
    <w:p w:rsidR="00EE13F6" w:rsidRDefault="002E5BC4">
      <w:pPr>
        <w:spacing w:after="133" w:line="264" w:lineRule="auto"/>
        <w:ind w:left="19" w:right="477" w:hanging="10"/>
        <w:jc w:val="both"/>
      </w:pPr>
      <w:r>
        <w:rPr>
          <w:rFonts w:ascii="Cambria" w:eastAsia="Cambria" w:hAnsi="Cambria" w:cs="Cambria"/>
        </w:rPr>
        <w:t>In order to demonstrate some numerical results, we consider two hypothetical option markets respectively on futures and on cash equity options, which satisfy the following conditions:</w:t>
      </w:r>
    </w:p>
    <w:p w:rsidR="00EE13F6" w:rsidRDefault="002E5BC4">
      <w:pPr>
        <w:spacing w:line="264" w:lineRule="auto"/>
        <w:ind w:left="19" w:right="477" w:hanging="10"/>
        <w:jc w:val="both"/>
      </w:pPr>
      <w:r>
        <w:rPr>
          <w:rFonts w:ascii="Cambria" w:eastAsia="Cambria" w:hAnsi="Cambria" w:cs="Cambria"/>
        </w:rPr>
        <w:t xml:space="preserve">a-The market-depth is such that the positions are unwound by the market </w:t>
      </w:r>
      <w:r>
        <w:rPr>
          <w:rFonts w:ascii="Cambria" w:eastAsia="Cambria" w:hAnsi="Cambria" w:cs="Cambria"/>
        </w:rPr>
        <w:t>in a reasonable time such that it can apply the ”Rule of Thumb” determination to assess its costs,</w:t>
      </w:r>
    </w:p>
    <w:p w:rsidR="00EE13F6" w:rsidRDefault="002E5BC4">
      <w:pPr>
        <w:spacing w:after="158" w:line="264" w:lineRule="auto"/>
        <w:ind w:left="19" w:right="477" w:hanging="10"/>
        <w:jc w:val="both"/>
      </w:pPr>
      <w:r>
        <w:rPr>
          <w:rFonts w:ascii="Cambria" w:eastAsia="Cambria" w:hAnsi="Cambria" w:cs="Cambria"/>
        </w:rPr>
        <w:t xml:space="preserve">b- Market-maker is subject to a market risk limit expressed as an upper bound on </w:t>
      </w:r>
      <w:r>
        <w:rPr>
          <w:rFonts w:ascii="Cambria" w:eastAsia="Cambria" w:hAnsi="Cambria" w:cs="Cambria"/>
          <w:i/>
        </w:rPr>
        <w:t>MPL</w:t>
      </w:r>
      <w:r>
        <w:rPr>
          <w:rFonts w:ascii="Cambria" w:eastAsia="Cambria" w:hAnsi="Cambria" w:cs="Cambria"/>
        </w:rPr>
        <w:t>, its maximum daily potential loss.</w:t>
      </w:r>
    </w:p>
    <w:p w:rsidR="00EE13F6" w:rsidRDefault="002E5BC4">
      <w:pPr>
        <w:spacing w:after="133" w:line="264" w:lineRule="auto"/>
        <w:ind w:left="19" w:right="477" w:hanging="10"/>
        <w:jc w:val="both"/>
      </w:pPr>
      <w:r>
        <w:rPr>
          <w:rFonts w:ascii="Cambria" w:eastAsia="Cambria" w:hAnsi="Cambria" w:cs="Cambria"/>
        </w:rPr>
        <w:t>This limit is set-up under predetermi</w:t>
      </w:r>
      <w:r>
        <w:rPr>
          <w:rFonts w:ascii="Cambria" w:eastAsia="Cambria" w:hAnsi="Cambria" w:cs="Cambria"/>
        </w:rPr>
        <w:t>ned assumptions on the possible move (∆</w:t>
      </w:r>
      <w:r>
        <w:rPr>
          <w:rFonts w:ascii="Cambria" w:eastAsia="Cambria" w:hAnsi="Cambria" w:cs="Cambria"/>
          <w:i/>
        </w:rPr>
        <w:t>S</w:t>
      </w:r>
      <w:r>
        <w:rPr>
          <w:rFonts w:ascii="Cambria" w:eastAsia="Cambria" w:hAnsi="Cambria" w:cs="Cambria"/>
        </w:rPr>
        <w:t>, ∆</w:t>
      </w:r>
      <w:r>
        <w:rPr>
          <w:rFonts w:ascii="Cambria" w:eastAsia="Cambria" w:hAnsi="Cambria" w:cs="Cambria"/>
          <w:i/>
        </w:rPr>
        <w:t>σ</w:t>
      </w:r>
      <w:r>
        <w:rPr>
          <w:rFonts w:ascii="Cambria" w:eastAsia="Cambria" w:hAnsi="Cambria" w:cs="Cambria"/>
        </w:rPr>
        <w:t>) of both underlying level and volatility. Those predetermined values are depending upon current market conditions. They are updated frequently.</w:t>
      </w:r>
    </w:p>
    <w:p w:rsidR="00EE13F6" w:rsidRDefault="002E5BC4">
      <w:pPr>
        <w:spacing w:after="209" w:line="264" w:lineRule="auto"/>
        <w:ind w:left="19" w:right="477" w:hanging="10"/>
        <w:jc w:val="both"/>
      </w:pPr>
      <w:r>
        <w:rPr>
          <w:rFonts w:ascii="Cambria" w:eastAsia="Cambria" w:hAnsi="Cambria" w:cs="Cambria"/>
        </w:rPr>
        <w:t>Moreover, there are limits as well as on the greeks of its option m</w:t>
      </w:r>
      <w:r>
        <w:rPr>
          <w:rFonts w:ascii="Cambria" w:eastAsia="Cambria" w:hAnsi="Cambria" w:cs="Cambria"/>
        </w:rPr>
        <w:t>arket-making book (including hedges)such that:</w:t>
      </w:r>
    </w:p>
    <w:tbl>
      <w:tblPr>
        <w:tblStyle w:val="TableGrid"/>
        <w:tblW w:w="9360" w:type="dxa"/>
        <w:tblInd w:w="0" w:type="dxa"/>
        <w:tblCellMar>
          <w:top w:w="0" w:type="dxa"/>
          <w:left w:w="0" w:type="dxa"/>
          <w:bottom w:w="0" w:type="dxa"/>
          <w:right w:w="0" w:type="dxa"/>
        </w:tblCellMar>
        <w:tblLook w:val="04A0" w:firstRow="1" w:lastRow="0" w:firstColumn="1" w:lastColumn="0" w:noHBand="0" w:noVBand="1"/>
      </w:tblPr>
      <w:tblGrid>
        <w:gridCol w:w="3466"/>
        <w:gridCol w:w="3430"/>
        <w:gridCol w:w="2464"/>
      </w:tblGrid>
      <w:tr w:rsidR="00EE13F6">
        <w:trPr>
          <w:trHeight w:val="585"/>
        </w:trPr>
        <w:tc>
          <w:tcPr>
            <w:tcW w:w="3466" w:type="dxa"/>
            <w:tcBorders>
              <w:top w:val="nil"/>
              <w:left w:val="nil"/>
              <w:bottom w:val="nil"/>
              <w:right w:val="nil"/>
            </w:tcBorders>
            <w:vAlign w:val="bottom"/>
          </w:tcPr>
          <w:p w:rsidR="00EE13F6" w:rsidRDefault="002E5BC4">
            <w:pPr>
              <w:spacing w:after="0"/>
            </w:pPr>
            <w:r>
              <w:rPr>
                <w:rFonts w:ascii="Cambria" w:eastAsia="Cambria" w:hAnsi="Cambria" w:cs="Cambria"/>
              </w:rPr>
              <w:t>with</w:t>
            </w:r>
          </w:p>
        </w:tc>
        <w:tc>
          <w:tcPr>
            <w:tcW w:w="3430" w:type="dxa"/>
            <w:tcBorders>
              <w:top w:val="nil"/>
              <w:left w:val="nil"/>
              <w:bottom w:val="nil"/>
              <w:right w:val="nil"/>
            </w:tcBorders>
          </w:tcPr>
          <w:p w:rsidR="00EE13F6" w:rsidRDefault="002E5BC4">
            <w:pPr>
              <w:spacing w:after="0"/>
            </w:pPr>
            <w:r>
              <w:rPr>
                <w:rFonts w:ascii="Cambria" w:eastAsia="Cambria" w:hAnsi="Cambria" w:cs="Cambria"/>
                <w:i/>
              </w:rPr>
              <w:t>MPL</w:t>
            </w:r>
            <w:r>
              <w:rPr>
                <w:rFonts w:ascii="Cambria" w:eastAsia="Cambria" w:hAnsi="Cambria" w:cs="Cambria"/>
              </w:rPr>
              <w:t>(</w:t>
            </w:r>
            <w:r>
              <w:rPr>
                <w:rFonts w:ascii="Cambria" w:eastAsia="Cambria" w:hAnsi="Cambria" w:cs="Cambria"/>
                <w:i/>
              </w:rPr>
              <w:t>S,</w:t>
            </w:r>
            <w:r>
              <w:rPr>
                <w:rFonts w:ascii="Cambria" w:eastAsia="Cambria" w:hAnsi="Cambria" w:cs="Cambria"/>
              </w:rPr>
              <w:t>∆</w:t>
            </w:r>
            <w:r>
              <w:rPr>
                <w:rFonts w:ascii="Cambria" w:eastAsia="Cambria" w:hAnsi="Cambria" w:cs="Cambria"/>
                <w:i/>
              </w:rPr>
              <w:t>S,σ,</w:t>
            </w:r>
            <w:r>
              <w:rPr>
                <w:rFonts w:ascii="Cambria" w:eastAsia="Cambria" w:hAnsi="Cambria" w:cs="Cambria"/>
              </w:rPr>
              <w:t>Γ</w:t>
            </w:r>
            <w:r>
              <w:rPr>
                <w:rFonts w:ascii="Cambria" w:eastAsia="Cambria" w:hAnsi="Cambria" w:cs="Cambria"/>
                <w:i/>
              </w:rPr>
              <w:t>,</w:t>
            </w:r>
            <w:r>
              <w:rPr>
                <w:rFonts w:ascii="Cambria" w:eastAsia="Cambria" w:hAnsi="Cambria" w:cs="Cambria"/>
              </w:rPr>
              <w:t xml:space="preserve">) </w:t>
            </w:r>
            <w:r>
              <w:rPr>
                <w:rFonts w:ascii="Cambria" w:eastAsia="Cambria" w:hAnsi="Cambria" w:cs="Cambria"/>
                <w:i/>
              </w:rPr>
              <w:t>&lt;</w:t>
            </w:r>
            <w:r>
              <w:rPr>
                <w:rFonts w:ascii="Cambria" w:eastAsia="Cambria" w:hAnsi="Cambria" w:cs="Cambria"/>
              </w:rPr>
              <w:t xml:space="preserve">= </w:t>
            </w:r>
            <w:r>
              <w:rPr>
                <w:rFonts w:ascii="Cambria" w:eastAsia="Cambria" w:hAnsi="Cambria" w:cs="Cambria"/>
                <w:i/>
              </w:rPr>
              <w:t>L</w:t>
            </w:r>
          </w:p>
        </w:tc>
        <w:tc>
          <w:tcPr>
            <w:tcW w:w="2464" w:type="dxa"/>
            <w:tcBorders>
              <w:top w:val="nil"/>
              <w:left w:val="nil"/>
              <w:bottom w:val="nil"/>
              <w:right w:val="nil"/>
            </w:tcBorders>
          </w:tcPr>
          <w:p w:rsidR="00EE13F6" w:rsidRDefault="002E5BC4">
            <w:pPr>
              <w:spacing w:after="0"/>
              <w:jc w:val="right"/>
            </w:pPr>
            <w:r>
              <w:rPr>
                <w:rFonts w:ascii="Cambria" w:eastAsia="Cambria" w:hAnsi="Cambria" w:cs="Cambria"/>
              </w:rPr>
              <w:t>(34)</w:t>
            </w:r>
          </w:p>
        </w:tc>
      </w:tr>
    </w:tbl>
    <w:p w:rsidR="00EE13F6" w:rsidRDefault="002E5BC4">
      <w:pPr>
        <w:tabs>
          <w:tab w:val="center" w:pos="4711"/>
          <w:tab w:val="center" w:pos="9166"/>
        </w:tabs>
        <w:spacing w:after="18" w:line="265" w:lineRule="auto"/>
      </w:pPr>
      <w:r>
        <w:tab/>
      </w:r>
      <w:r>
        <w:rPr>
          <w:noProof/>
        </w:rPr>
        <w:drawing>
          <wp:inline distT="0" distB="0" distL="0" distR="0">
            <wp:extent cx="3276600" cy="286512"/>
            <wp:effectExtent l="0" t="0" r="0" b="0"/>
            <wp:docPr id="221882" name="Picture 221882"/>
            <wp:cNvGraphicFramePr/>
            <a:graphic xmlns:a="http://schemas.openxmlformats.org/drawingml/2006/main">
              <a:graphicData uri="http://schemas.openxmlformats.org/drawingml/2006/picture">
                <pic:pic xmlns:pic="http://schemas.openxmlformats.org/drawingml/2006/picture">
                  <pic:nvPicPr>
                    <pic:cNvPr id="221882" name="Picture 221882"/>
                    <pic:cNvPicPr/>
                  </pic:nvPicPr>
                  <pic:blipFill>
                    <a:blip r:embed="rId98"/>
                    <a:stretch>
                      <a:fillRect/>
                    </a:stretch>
                  </pic:blipFill>
                  <pic:spPr>
                    <a:xfrm>
                      <a:off x="0" y="0"/>
                      <a:ext cx="3276600" cy="286512"/>
                    </a:xfrm>
                    <a:prstGeom prst="rect">
                      <a:avLst/>
                    </a:prstGeom>
                  </pic:spPr>
                </pic:pic>
              </a:graphicData>
            </a:graphic>
          </wp:inline>
        </w:drawing>
      </w:r>
      <w:r>
        <w:rPr>
          <w:rFonts w:ascii="Cambria" w:eastAsia="Cambria" w:hAnsi="Cambria" w:cs="Cambria"/>
        </w:rPr>
        <w:tab/>
        <w:t>(35)</w:t>
      </w:r>
    </w:p>
    <w:p w:rsidR="00EE13F6" w:rsidRDefault="002E5BC4">
      <w:pPr>
        <w:spacing w:after="27" w:line="264" w:lineRule="auto"/>
        <w:ind w:left="19" w:right="477" w:hanging="10"/>
        <w:jc w:val="both"/>
      </w:pPr>
      <w:r>
        <w:rPr>
          <w:rFonts w:ascii="Cambria" w:eastAsia="Cambria" w:hAnsi="Cambria" w:cs="Cambria"/>
        </w:rPr>
        <w:t>and</w:t>
      </w:r>
    </w:p>
    <w:p w:rsidR="00EE13F6" w:rsidRDefault="002E5BC4">
      <w:pPr>
        <w:spacing w:after="104" w:line="419" w:lineRule="auto"/>
        <w:ind w:left="4361" w:right="477" w:hanging="10"/>
        <w:jc w:val="both"/>
      </w:pPr>
      <w:r>
        <w:rPr>
          <w:rFonts w:ascii="Cambria" w:eastAsia="Cambria" w:hAnsi="Cambria" w:cs="Cambria"/>
        </w:rPr>
        <w:t>Γ ≤ Γ</w:t>
      </w:r>
      <w:r>
        <w:rPr>
          <w:rFonts w:ascii="Cambria" w:eastAsia="Cambria" w:hAnsi="Cambria" w:cs="Cambria"/>
          <w:vertAlign w:val="subscript"/>
        </w:rPr>
        <w:t>0</w:t>
      </w:r>
      <w:r>
        <w:rPr>
          <w:rFonts w:ascii="Cambria" w:eastAsia="Cambria" w:hAnsi="Cambria" w:cs="Cambria"/>
          <w:vertAlign w:val="subscript"/>
        </w:rPr>
        <w:tab/>
      </w:r>
      <w:r>
        <w:rPr>
          <w:rFonts w:ascii="Cambria" w:eastAsia="Cambria" w:hAnsi="Cambria" w:cs="Cambria"/>
        </w:rPr>
        <w:t xml:space="preserve">(36) </w:t>
      </w:r>
      <w:r>
        <w:rPr>
          <w:rFonts w:ascii="Cambria" w:eastAsia="Cambria" w:hAnsi="Cambria" w:cs="Cambria"/>
          <w:i/>
        </w:rPr>
        <w:t>ϑ</w:t>
      </w:r>
      <w:r>
        <w:rPr>
          <w:rFonts w:ascii="Cambria" w:eastAsia="Cambria" w:hAnsi="Cambria" w:cs="Cambria"/>
          <w:i/>
        </w:rPr>
        <w:t xml:space="preserve"> </w:t>
      </w:r>
      <w:r>
        <w:rPr>
          <w:rFonts w:ascii="Cambria" w:eastAsia="Cambria" w:hAnsi="Cambria" w:cs="Cambria"/>
        </w:rPr>
        <w:t xml:space="preserve">≤ </w:t>
      </w:r>
      <w:r>
        <w:rPr>
          <w:rFonts w:ascii="Cambria" w:eastAsia="Cambria" w:hAnsi="Cambria" w:cs="Cambria"/>
          <w:i/>
        </w:rPr>
        <w:t>ϑ</w:t>
      </w:r>
      <w:r>
        <w:rPr>
          <w:rFonts w:ascii="Cambria" w:eastAsia="Cambria" w:hAnsi="Cambria" w:cs="Cambria"/>
          <w:vertAlign w:val="subscript"/>
        </w:rPr>
        <w:t>0</w:t>
      </w:r>
      <w:r>
        <w:rPr>
          <w:rFonts w:ascii="Cambria" w:eastAsia="Cambria" w:hAnsi="Cambria" w:cs="Cambria"/>
          <w:vertAlign w:val="subscript"/>
        </w:rPr>
        <w:tab/>
      </w:r>
      <w:r>
        <w:rPr>
          <w:rFonts w:ascii="Cambria" w:eastAsia="Cambria" w:hAnsi="Cambria" w:cs="Cambria"/>
        </w:rPr>
        <w:t xml:space="preserve">(37) </w:t>
      </w:r>
      <w:r>
        <w:rPr>
          <w:rFonts w:ascii="Cambria" w:eastAsia="Cambria" w:hAnsi="Cambria" w:cs="Cambria"/>
          <w:i/>
        </w:rPr>
        <w:t xml:space="preserve">δ </w:t>
      </w:r>
      <w:r>
        <w:rPr>
          <w:rFonts w:ascii="Cambria" w:eastAsia="Cambria" w:hAnsi="Cambria" w:cs="Cambria"/>
        </w:rPr>
        <w:t xml:space="preserve">≤ </w:t>
      </w:r>
      <w:r>
        <w:rPr>
          <w:rFonts w:ascii="Cambria" w:eastAsia="Cambria" w:hAnsi="Cambria" w:cs="Cambria"/>
          <w:i/>
        </w:rPr>
        <w:t>δ</w:t>
      </w:r>
      <w:r>
        <w:rPr>
          <w:rFonts w:ascii="Cambria" w:eastAsia="Cambria" w:hAnsi="Cambria" w:cs="Cambria"/>
          <w:vertAlign w:val="subscript"/>
        </w:rPr>
        <w:t>0</w:t>
      </w:r>
      <w:r>
        <w:rPr>
          <w:rFonts w:ascii="Cambria" w:eastAsia="Cambria" w:hAnsi="Cambria" w:cs="Cambria"/>
          <w:vertAlign w:val="subscript"/>
        </w:rPr>
        <w:tab/>
      </w:r>
      <w:r>
        <w:rPr>
          <w:rFonts w:ascii="Cambria" w:eastAsia="Cambria" w:hAnsi="Cambria" w:cs="Cambria"/>
        </w:rPr>
        <w:t xml:space="preserve">(38) </w:t>
      </w:r>
      <w:r>
        <w:rPr>
          <w:rFonts w:ascii="Cambria" w:eastAsia="Cambria" w:hAnsi="Cambria" w:cs="Cambria"/>
          <w:i/>
        </w:rPr>
        <w:t xml:space="preserve">θ </w:t>
      </w:r>
      <w:r>
        <w:rPr>
          <w:rFonts w:ascii="Cambria" w:eastAsia="Cambria" w:hAnsi="Cambria" w:cs="Cambria"/>
        </w:rPr>
        <w:t xml:space="preserve">≤ </w:t>
      </w:r>
      <w:r>
        <w:rPr>
          <w:rFonts w:ascii="Cambria" w:eastAsia="Cambria" w:hAnsi="Cambria" w:cs="Cambria"/>
          <w:i/>
        </w:rPr>
        <w:t>θ</w:t>
      </w:r>
      <w:r>
        <w:rPr>
          <w:rFonts w:ascii="Cambria" w:eastAsia="Cambria" w:hAnsi="Cambria" w:cs="Cambria"/>
          <w:vertAlign w:val="subscript"/>
        </w:rPr>
        <w:t>0</w:t>
      </w:r>
      <w:r>
        <w:rPr>
          <w:rFonts w:ascii="Cambria" w:eastAsia="Cambria" w:hAnsi="Cambria" w:cs="Cambria"/>
          <w:vertAlign w:val="subscript"/>
        </w:rPr>
        <w:tab/>
      </w:r>
      <w:r>
        <w:rPr>
          <w:rFonts w:ascii="Cambria" w:eastAsia="Cambria" w:hAnsi="Cambria" w:cs="Cambria"/>
        </w:rPr>
        <w:t>(39)</w:t>
      </w:r>
    </w:p>
    <w:p w:rsidR="00EE13F6" w:rsidRDefault="002E5BC4">
      <w:pPr>
        <w:spacing w:after="133" w:line="264" w:lineRule="auto"/>
        <w:ind w:left="19" w:right="477" w:hanging="10"/>
        <w:jc w:val="both"/>
      </w:pPr>
      <w:r>
        <w:rPr>
          <w:rFonts w:ascii="Cambria" w:eastAsia="Cambria" w:hAnsi="Cambria" w:cs="Cambria"/>
        </w:rPr>
        <w:t>In this context, the market-maker considers other sources of income than facilitation revenues. It acts also as an ”informed trader”, as the limits above are in fact ”trading ” limits allowing it to take directional positions on both stock and volatility p</w:t>
      </w:r>
      <w:r>
        <w:rPr>
          <w:rFonts w:ascii="Cambria" w:eastAsia="Cambria" w:hAnsi="Cambria" w:cs="Cambria"/>
        </w:rPr>
        <w:t>rice level. For this reason, somehow, the two activities of market-maker and informed trader are commingled.</w:t>
      </w:r>
    </w:p>
    <w:p w:rsidR="00EE13F6" w:rsidRDefault="002E5BC4">
      <w:pPr>
        <w:spacing w:after="133" w:line="264" w:lineRule="auto"/>
        <w:ind w:left="19" w:right="477" w:hanging="10"/>
        <w:jc w:val="both"/>
      </w:pPr>
      <w:r>
        <w:rPr>
          <w:rFonts w:ascii="Cambria" w:eastAsia="Cambria" w:hAnsi="Cambria" w:cs="Cambria"/>
        </w:rPr>
        <w:t>Consequently, the market-maker when facing the market flow has several activities, that it will exercise in the following ascending order:</w:t>
      </w:r>
    </w:p>
    <w:p w:rsidR="00EE13F6" w:rsidRDefault="002E5BC4" w:rsidP="002E5BC4">
      <w:pPr>
        <w:numPr>
          <w:ilvl w:val="0"/>
          <w:numId w:val="19"/>
        </w:numPr>
        <w:spacing w:after="193" w:line="264" w:lineRule="auto"/>
        <w:ind w:right="477" w:hanging="218"/>
        <w:jc w:val="both"/>
      </w:pPr>
      <w:r>
        <w:rPr>
          <w:rFonts w:ascii="Cambria" w:eastAsia="Cambria" w:hAnsi="Cambria" w:cs="Cambria"/>
        </w:rPr>
        <w:t>Acting a</w:t>
      </w:r>
      <w:r>
        <w:rPr>
          <w:rFonts w:ascii="Cambria" w:eastAsia="Cambria" w:hAnsi="Cambria" w:cs="Cambria"/>
        </w:rPr>
        <w:t>s an agent matching orders from the client base with the market without acting as a principal</w:t>
      </w:r>
    </w:p>
    <w:p w:rsidR="00EE13F6" w:rsidRDefault="002E5BC4" w:rsidP="002E5BC4">
      <w:pPr>
        <w:numPr>
          <w:ilvl w:val="0"/>
          <w:numId w:val="19"/>
        </w:numPr>
        <w:spacing w:after="193" w:line="264" w:lineRule="auto"/>
        <w:ind w:right="477" w:hanging="218"/>
        <w:jc w:val="both"/>
      </w:pPr>
      <w:r>
        <w:rPr>
          <w:rFonts w:ascii="Cambria" w:eastAsia="Cambria" w:hAnsi="Cambria" w:cs="Cambria"/>
        </w:rPr>
        <w:t>Acting as a principal, netting orders from the client base with the market without taking any outright position</w:t>
      </w:r>
    </w:p>
    <w:p w:rsidR="00EE13F6" w:rsidRDefault="002E5BC4" w:rsidP="002E5BC4">
      <w:pPr>
        <w:numPr>
          <w:ilvl w:val="0"/>
          <w:numId w:val="19"/>
        </w:numPr>
        <w:spacing w:after="193" w:line="264" w:lineRule="auto"/>
        <w:ind w:right="477" w:hanging="218"/>
        <w:jc w:val="both"/>
      </w:pPr>
      <w:r>
        <w:rPr>
          <w:rFonts w:ascii="Cambria" w:eastAsia="Cambria" w:hAnsi="Cambria" w:cs="Cambria"/>
        </w:rPr>
        <w:t>Acting as a principal and taking outright position</w:t>
      </w:r>
      <w:r>
        <w:rPr>
          <w:rFonts w:ascii="Cambria" w:eastAsia="Cambria" w:hAnsi="Cambria" w:cs="Cambria"/>
        </w:rPr>
        <w:t>s bearing market risk within the trading limit</w:t>
      </w:r>
    </w:p>
    <w:p w:rsidR="00EE13F6" w:rsidRDefault="002E5BC4" w:rsidP="002E5BC4">
      <w:pPr>
        <w:numPr>
          <w:ilvl w:val="0"/>
          <w:numId w:val="19"/>
        </w:numPr>
        <w:spacing w:after="338" w:line="264" w:lineRule="auto"/>
        <w:ind w:right="477" w:hanging="218"/>
        <w:jc w:val="both"/>
      </w:pPr>
      <w:r>
        <w:rPr>
          <w:rFonts w:ascii="Cambria" w:eastAsia="Cambria" w:hAnsi="Cambria" w:cs="Cambria"/>
        </w:rPr>
        <w:lastRenderedPageBreak/>
        <w:t>Acting as a principal and hedging positions in excess of the trading limit with a replication portfolio and support the corresponding transaction costs</w:t>
      </w:r>
    </w:p>
    <w:p w:rsidR="00EE13F6" w:rsidRDefault="002E5BC4">
      <w:pPr>
        <w:spacing w:after="475" w:line="264" w:lineRule="auto"/>
        <w:ind w:left="19" w:right="477" w:hanging="10"/>
        <w:jc w:val="both"/>
      </w:pPr>
      <w:r>
        <w:rPr>
          <w:rFonts w:ascii="Cambria" w:eastAsia="Cambria" w:hAnsi="Cambria" w:cs="Cambria"/>
        </w:rPr>
        <w:t xml:space="preserve">c- Consequently, </w:t>
      </w:r>
      <w:r>
        <w:rPr>
          <w:rFonts w:ascii="Cambria" w:eastAsia="Cambria" w:hAnsi="Cambria" w:cs="Cambria"/>
          <w:b/>
        </w:rPr>
        <w:t xml:space="preserve">there is only a proportion </w:t>
      </w:r>
      <w:r>
        <w:rPr>
          <w:rFonts w:ascii="Cambria" w:eastAsia="Cambria" w:hAnsi="Cambria" w:cs="Cambria"/>
          <w:i/>
        </w:rPr>
        <w:t xml:space="preserve">λ </w:t>
      </w:r>
      <w:r>
        <w:rPr>
          <w:rFonts w:ascii="Cambria" w:eastAsia="Cambria" w:hAnsi="Cambria" w:cs="Cambria"/>
          <w:b/>
        </w:rPr>
        <w:t>of the quot</w:t>
      </w:r>
      <w:r>
        <w:rPr>
          <w:rFonts w:ascii="Cambria" w:eastAsia="Cambria" w:hAnsi="Cambria" w:cs="Cambria"/>
          <w:b/>
        </w:rPr>
        <w:t>ed options on the flow markets which will need a hedging replication portfolio at inception</w:t>
      </w:r>
      <w:r>
        <w:rPr>
          <w:rFonts w:ascii="Cambria" w:eastAsia="Cambria" w:hAnsi="Cambria" w:cs="Cambria"/>
        </w:rPr>
        <w:t xml:space="preserve">. The hedging will occur automatically when the MPL limit is reached, or it will happen when the market-maker decides to lower its exposure. Intuitively, the larger </w:t>
      </w:r>
      <w:r>
        <w:rPr>
          <w:rFonts w:ascii="Cambria" w:eastAsia="Cambria" w:hAnsi="Cambria" w:cs="Cambria"/>
        </w:rPr>
        <w:t>the MPL limit is the smaller the proportion options needing replication will be. A conservative assumption is to consider that, in such highly liquid markets, up to 20 percent of the option quoted for a given maturity and strike require a replication and h</w:t>
      </w:r>
      <w:r>
        <w:rPr>
          <w:rFonts w:ascii="Cambria" w:eastAsia="Cambria" w:hAnsi="Cambria" w:cs="Cambria"/>
        </w:rPr>
        <w:t>edging portfolio. Furthermore, if the option is replicated with futures whose maturity is beyond the option maturity, once the option is unwound in the market, there is no need to build an other replication portfolio. The existing portfolio can be used imm</w:t>
      </w:r>
      <w:r>
        <w:rPr>
          <w:rFonts w:ascii="Cambria" w:eastAsia="Cambria" w:hAnsi="Cambria" w:cs="Cambria"/>
        </w:rPr>
        <w:t>ediately at no additional transaction costs.</w:t>
      </w:r>
    </w:p>
    <w:p w:rsidR="00EE13F6" w:rsidRDefault="002E5BC4">
      <w:pPr>
        <w:pStyle w:val="Heading2"/>
        <w:spacing w:after="286"/>
        <w:ind w:left="598" w:right="302" w:hanging="613"/>
      </w:pPr>
      <w:r>
        <w:t>3.3 Quantitative Estimation of the FTT Impact on the Option Mid-price and the Bid-Ask Spread</w:t>
      </w:r>
    </w:p>
    <w:p w:rsidR="00EE13F6" w:rsidRDefault="002E5BC4">
      <w:pPr>
        <w:tabs>
          <w:tab w:val="center" w:pos="3135"/>
        </w:tabs>
        <w:spacing w:after="314" w:line="261" w:lineRule="auto"/>
        <w:ind w:left="-15"/>
      </w:pPr>
      <w:r>
        <w:rPr>
          <w:rFonts w:ascii="Cambria" w:eastAsia="Cambria" w:hAnsi="Cambria" w:cs="Cambria"/>
          <w:b/>
        </w:rPr>
        <w:t>3.3.1</w:t>
      </w:r>
      <w:r>
        <w:rPr>
          <w:rFonts w:ascii="Cambria" w:eastAsia="Cambria" w:hAnsi="Cambria" w:cs="Cambria"/>
          <w:b/>
        </w:rPr>
        <w:tab/>
        <w:t>Impact on Option Mid Price and Volatility</w:t>
      </w:r>
    </w:p>
    <w:p w:rsidR="00EE13F6" w:rsidRDefault="002E5BC4">
      <w:pPr>
        <w:spacing w:after="133" w:line="264" w:lineRule="auto"/>
        <w:ind w:left="19" w:right="477" w:hanging="10"/>
        <w:jc w:val="both"/>
      </w:pPr>
      <w:r>
        <w:rPr>
          <w:rFonts w:ascii="Cambria" w:eastAsia="Cambria" w:hAnsi="Cambria" w:cs="Cambria"/>
        </w:rPr>
        <w:t xml:space="preserve">We now consider the Rule of Thumb. We know that the expected transaction costs </w:t>
      </w:r>
      <w:r>
        <w:rPr>
          <w:rFonts w:ascii="Cambria" w:eastAsia="Cambria" w:hAnsi="Cambria" w:cs="Cambria"/>
          <w:i/>
        </w:rPr>
        <w:t>TC</w:t>
      </w:r>
      <w:r>
        <w:rPr>
          <w:rFonts w:ascii="Cambria" w:eastAsia="Cambria" w:hAnsi="Cambria" w:cs="Cambria"/>
        </w:rPr>
        <w:t>(</w:t>
      </w:r>
      <w:r>
        <w:rPr>
          <w:rFonts w:ascii="Cambria" w:eastAsia="Cambria" w:hAnsi="Cambria" w:cs="Cambria"/>
          <w:i/>
        </w:rPr>
        <w:t>t,T,σ</w:t>
      </w:r>
      <w:r>
        <w:rPr>
          <w:rFonts w:ascii="Cambria" w:eastAsia="Cambria" w:hAnsi="Cambria" w:cs="Cambria"/>
        </w:rPr>
        <w:t>) are a fraction of the complete hedging costs.</w:t>
      </w:r>
    </w:p>
    <w:p w:rsidR="00EE13F6" w:rsidRDefault="002E5BC4">
      <w:pPr>
        <w:spacing w:after="107" w:line="264" w:lineRule="auto"/>
        <w:ind w:left="19" w:right="477" w:hanging="10"/>
        <w:jc w:val="both"/>
      </w:pPr>
      <w:r>
        <w:rPr>
          <w:rFonts w:ascii="Cambria" w:eastAsia="Cambria" w:hAnsi="Cambria" w:cs="Cambria"/>
        </w:rPr>
        <w:t>Consequently they will write:</w:t>
      </w:r>
    </w:p>
    <w:p w:rsidR="00EE13F6" w:rsidRDefault="002E5BC4">
      <w:pPr>
        <w:spacing w:after="269"/>
        <w:ind w:left="3000"/>
      </w:pPr>
      <w:r>
        <w:rPr>
          <w:noProof/>
        </w:rPr>
        <w:drawing>
          <wp:inline distT="0" distB="0" distL="0" distR="0">
            <wp:extent cx="2078736" cy="295656"/>
            <wp:effectExtent l="0" t="0" r="0" b="0"/>
            <wp:docPr id="221883" name="Picture 221883"/>
            <wp:cNvGraphicFramePr/>
            <a:graphic xmlns:a="http://schemas.openxmlformats.org/drawingml/2006/main">
              <a:graphicData uri="http://schemas.openxmlformats.org/drawingml/2006/picture">
                <pic:pic xmlns:pic="http://schemas.openxmlformats.org/drawingml/2006/picture">
                  <pic:nvPicPr>
                    <pic:cNvPr id="221883" name="Picture 221883"/>
                    <pic:cNvPicPr/>
                  </pic:nvPicPr>
                  <pic:blipFill>
                    <a:blip r:embed="rId99"/>
                    <a:stretch>
                      <a:fillRect/>
                    </a:stretch>
                  </pic:blipFill>
                  <pic:spPr>
                    <a:xfrm>
                      <a:off x="0" y="0"/>
                      <a:ext cx="2078736" cy="295656"/>
                    </a:xfrm>
                    <a:prstGeom prst="rect">
                      <a:avLst/>
                    </a:prstGeom>
                  </pic:spPr>
                </pic:pic>
              </a:graphicData>
            </a:graphic>
          </wp:inline>
        </w:drawing>
      </w:r>
    </w:p>
    <w:p w:rsidR="00EE13F6" w:rsidRDefault="002E5BC4">
      <w:pPr>
        <w:spacing w:after="159" w:line="264" w:lineRule="auto"/>
        <w:ind w:left="19" w:right="477" w:hanging="10"/>
        <w:jc w:val="both"/>
      </w:pPr>
      <w:r>
        <w:rPr>
          <w:rFonts w:ascii="Cambria" w:eastAsia="Cambria" w:hAnsi="Cambria" w:cs="Cambria"/>
        </w:rPr>
        <w:t>We have to consider in addition the total costs including inception costs.</w:t>
      </w:r>
    </w:p>
    <w:p w:rsidR="00EE13F6" w:rsidRDefault="002E5BC4">
      <w:pPr>
        <w:spacing w:after="133" w:line="264" w:lineRule="auto"/>
        <w:ind w:left="19" w:right="477" w:hanging="10"/>
        <w:jc w:val="both"/>
      </w:pPr>
      <w:r>
        <w:rPr>
          <w:rFonts w:ascii="Cambria" w:eastAsia="Cambria" w:hAnsi="Cambria" w:cs="Cambria"/>
        </w:rPr>
        <w:t xml:space="preserve">Applying this </w:t>
      </w:r>
      <w:r>
        <w:rPr>
          <w:rFonts w:ascii="Cambria" w:eastAsia="Cambria" w:hAnsi="Cambria" w:cs="Cambria"/>
        </w:rPr>
        <w:t xml:space="preserve">to our particular case we find that the total costs </w:t>
      </w:r>
      <w:r>
        <w:rPr>
          <w:rFonts w:ascii="Cambria" w:eastAsia="Cambria" w:hAnsi="Cambria" w:cs="Cambria"/>
          <w:i/>
        </w:rPr>
        <w:t xml:space="preserve">x </w:t>
      </w:r>
      <w:r>
        <w:rPr>
          <w:rFonts w:ascii="Cambria" w:eastAsia="Cambria" w:hAnsi="Cambria" w:cs="Cambria"/>
        </w:rPr>
        <w:t xml:space="preserve">= </w:t>
      </w:r>
      <w:r>
        <w:rPr>
          <w:rFonts w:ascii="Cambria" w:eastAsia="Cambria" w:hAnsi="Cambria" w:cs="Cambria"/>
          <w:i/>
        </w:rPr>
        <w:t>x</w:t>
      </w:r>
      <w:r>
        <w:rPr>
          <w:rFonts w:ascii="Cambria" w:eastAsia="Cambria" w:hAnsi="Cambria" w:cs="Cambria"/>
        </w:rPr>
        <w:t>(</w:t>
      </w:r>
      <w:r>
        <w:rPr>
          <w:rFonts w:ascii="Cambria" w:eastAsia="Cambria" w:hAnsi="Cambria" w:cs="Cambria"/>
          <w:i/>
        </w:rPr>
        <w:t>t,T,σ</w:t>
      </w:r>
      <w:r>
        <w:rPr>
          <w:rFonts w:ascii="Cambria" w:eastAsia="Cambria" w:hAnsi="Cambria" w:cs="Cambria"/>
        </w:rPr>
        <w:t>) write:</w:t>
      </w:r>
    </w:p>
    <w:p w:rsidR="00EE13F6" w:rsidRDefault="002E5BC4">
      <w:pPr>
        <w:tabs>
          <w:tab w:val="center" w:pos="4691"/>
          <w:tab w:val="center" w:pos="9166"/>
        </w:tabs>
        <w:spacing w:after="319" w:line="265" w:lineRule="auto"/>
      </w:pPr>
      <w:r>
        <w:tab/>
      </w:r>
      <w:r>
        <w:rPr>
          <w:noProof/>
        </w:rPr>
        <w:drawing>
          <wp:inline distT="0" distB="0" distL="0" distR="0">
            <wp:extent cx="2456688" cy="335280"/>
            <wp:effectExtent l="0" t="0" r="0" b="0"/>
            <wp:docPr id="221884" name="Picture 221884"/>
            <wp:cNvGraphicFramePr/>
            <a:graphic xmlns:a="http://schemas.openxmlformats.org/drawingml/2006/main">
              <a:graphicData uri="http://schemas.openxmlformats.org/drawingml/2006/picture">
                <pic:pic xmlns:pic="http://schemas.openxmlformats.org/drawingml/2006/picture">
                  <pic:nvPicPr>
                    <pic:cNvPr id="221884" name="Picture 221884"/>
                    <pic:cNvPicPr/>
                  </pic:nvPicPr>
                  <pic:blipFill>
                    <a:blip r:embed="rId100"/>
                    <a:stretch>
                      <a:fillRect/>
                    </a:stretch>
                  </pic:blipFill>
                  <pic:spPr>
                    <a:xfrm>
                      <a:off x="0" y="0"/>
                      <a:ext cx="2456688" cy="335280"/>
                    </a:xfrm>
                    <a:prstGeom prst="rect">
                      <a:avLst/>
                    </a:prstGeom>
                  </pic:spPr>
                </pic:pic>
              </a:graphicData>
            </a:graphic>
          </wp:inline>
        </w:drawing>
      </w:r>
      <w:r>
        <w:rPr>
          <w:rFonts w:ascii="Cambria" w:eastAsia="Cambria" w:hAnsi="Cambria" w:cs="Cambria"/>
        </w:rPr>
        <w:tab/>
        <w:t>(40)</w:t>
      </w:r>
    </w:p>
    <w:p w:rsidR="00EE13F6" w:rsidRDefault="002E5BC4">
      <w:pPr>
        <w:spacing w:after="133" w:line="216" w:lineRule="auto"/>
        <w:ind w:left="19" w:right="477" w:hanging="10"/>
        <w:jc w:val="both"/>
      </w:pPr>
      <w:r>
        <w:rPr>
          <w:rFonts w:ascii="Cambria" w:eastAsia="Cambria" w:hAnsi="Cambria" w:cs="Cambria"/>
        </w:rPr>
        <w:t xml:space="preserve">Indeed, the hedging costs will not only have an impact on the bid-ask spread but they will also have a lessened impact on the option mid-price and therefore the volatility. As </w:t>
      </w:r>
      <w:r>
        <w:rPr>
          <w:rFonts w:ascii="Cambria" w:eastAsia="Cambria" w:hAnsi="Cambria" w:cs="Cambria"/>
        </w:rPr>
        <w:t xml:space="preserve">we have seen that the increase in the reservation price is </w:t>
      </w:r>
      <w:r>
        <w:rPr>
          <w:noProof/>
        </w:rPr>
        <w:drawing>
          <wp:inline distT="0" distB="0" distL="0" distR="0">
            <wp:extent cx="67056" cy="152400"/>
            <wp:effectExtent l="0" t="0" r="0" b="0"/>
            <wp:docPr id="221886" name="Picture 221886"/>
            <wp:cNvGraphicFramePr/>
            <a:graphic xmlns:a="http://schemas.openxmlformats.org/drawingml/2006/main">
              <a:graphicData uri="http://schemas.openxmlformats.org/drawingml/2006/picture">
                <pic:pic xmlns:pic="http://schemas.openxmlformats.org/drawingml/2006/picture">
                  <pic:nvPicPr>
                    <pic:cNvPr id="221886" name="Picture 221886"/>
                    <pic:cNvPicPr/>
                  </pic:nvPicPr>
                  <pic:blipFill>
                    <a:blip r:embed="rId101"/>
                    <a:stretch>
                      <a:fillRect/>
                    </a:stretch>
                  </pic:blipFill>
                  <pic:spPr>
                    <a:xfrm>
                      <a:off x="0" y="0"/>
                      <a:ext cx="67056" cy="152400"/>
                    </a:xfrm>
                    <a:prstGeom prst="rect">
                      <a:avLst/>
                    </a:prstGeom>
                  </pic:spPr>
                </pic:pic>
              </a:graphicData>
            </a:graphic>
          </wp:inline>
        </w:drawing>
      </w:r>
      <w:r>
        <w:rPr>
          <w:rFonts w:ascii="Cambria" w:eastAsia="Cambria" w:hAnsi="Cambria" w:cs="Cambria"/>
        </w:rPr>
        <w:t xml:space="preserve"> and the total bid-ask spread is 2</w:t>
      </w:r>
      <w:r>
        <w:rPr>
          <w:noProof/>
        </w:rPr>
        <w:drawing>
          <wp:inline distT="0" distB="0" distL="0" distR="0">
            <wp:extent cx="417576" cy="173736"/>
            <wp:effectExtent l="0" t="0" r="0" b="0"/>
            <wp:docPr id="221885" name="Picture 221885"/>
            <wp:cNvGraphicFramePr/>
            <a:graphic xmlns:a="http://schemas.openxmlformats.org/drawingml/2006/main">
              <a:graphicData uri="http://schemas.openxmlformats.org/drawingml/2006/picture">
                <pic:pic xmlns:pic="http://schemas.openxmlformats.org/drawingml/2006/picture">
                  <pic:nvPicPr>
                    <pic:cNvPr id="221885" name="Picture 221885"/>
                    <pic:cNvPicPr/>
                  </pic:nvPicPr>
                  <pic:blipFill>
                    <a:blip r:embed="rId102"/>
                    <a:stretch>
                      <a:fillRect/>
                    </a:stretch>
                  </pic:blipFill>
                  <pic:spPr>
                    <a:xfrm>
                      <a:off x="0" y="0"/>
                      <a:ext cx="417576" cy="173736"/>
                    </a:xfrm>
                    <a:prstGeom prst="rect">
                      <a:avLst/>
                    </a:prstGeom>
                  </pic:spPr>
                </pic:pic>
              </a:graphicData>
            </a:graphic>
          </wp:inline>
        </w:drawing>
      </w:r>
      <w:r>
        <w:rPr>
          <w:rFonts w:ascii="Cambria" w:eastAsia="Cambria" w:hAnsi="Cambria" w:cs="Cambria"/>
        </w:rPr>
        <w:t>it is easy to figure that in order to get the impact on the mid- price, we have to consider a fraction</w:t>
      </w:r>
      <w:r>
        <w:rPr>
          <w:noProof/>
        </w:rPr>
        <w:drawing>
          <wp:inline distT="0" distB="0" distL="0" distR="0">
            <wp:extent cx="57912" cy="176785"/>
            <wp:effectExtent l="0" t="0" r="0" b="0"/>
            <wp:docPr id="221887" name="Picture 221887"/>
            <wp:cNvGraphicFramePr/>
            <a:graphic xmlns:a="http://schemas.openxmlformats.org/drawingml/2006/main">
              <a:graphicData uri="http://schemas.openxmlformats.org/drawingml/2006/picture">
                <pic:pic xmlns:pic="http://schemas.openxmlformats.org/drawingml/2006/picture">
                  <pic:nvPicPr>
                    <pic:cNvPr id="221887" name="Picture 221887"/>
                    <pic:cNvPicPr/>
                  </pic:nvPicPr>
                  <pic:blipFill>
                    <a:blip r:embed="rId103"/>
                    <a:stretch>
                      <a:fillRect/>
                    </a:stretch>
                  </pic:blipFill>
                  <pic:spPr>
                    <a:xfrm>
                      <a:off x="0" y="0"/>
                      <a:ext cx="57912" cy="176785"/>
                    </a:xfrm>
                    <a:prstGeom prst="rect">
                      <a:avLst/>
                    </a:prstGeom>
                  </pic:spPr>
                </pic:pic>
              </a:graphicData>
            </a:graphic>
          </wp:inline>
        </w:drawing>
      </w:r>
      <w:r>
        <w:rPr>
          <w:rFonts w:ascii="Cambria" w:eastAsia="Cambria" w:hAnsi="Cambria" w:cs="Cambria"/>
        </w:rPr>
        <w:t>of the impact on the bid-ask spread.</w:t>
      </w:r>
    </w:p>
    <w:p w:rsidR="00EE13F6" w:rsidRDefault="002E5BC4">
      <w:pPr>
        <w:spacing w:after="276" w:line="261" w:lineRule="auto"/>
        <w:ind w:left="752" w:right="468" w:hanging="767"/>
        <w:jc w:val="both"/>
      </w:pPr>
      <w:r>
        <w:rPr>
          <w:rFonts w:ascii="Cambria" w:eastAsia="Cambria" w:hAnsi="Cambria" w:cs="Cambria"/>
          <w:b/>
        </w:rPr>
        <w:t>3.3.2 Impact on Optio</w:t>
      </w:r>
      <w:r>
        <w:rPr>
          <w:rFonts w:ascii="Cambria" w:eastAsia="Cambria" w:hAnsi="Cambria" w:cs="Cambria"/>
          <w:b/>
        </w:rPr>
        <w:t>n Price and Volatility for Equity Options Hedged with Futures or Cash</w:t>
      </w:r>
    </w:p>
    <w:p w:rsidR="00EE13F6" w:rsidRDefault="002E5BC4">
      <w:pPr>
        <w:spacing w:line="264" w:lineRule="auto"/>
        <w:ind w:left="19" w:right="477" w:hanging="10"/>
        <w:jc w:val="both"/>
      </w:pPr>
      <w:r>
        <w:rPr>
          <w:rFonts w:ascii="Cambria" w:eastAsia="Cambria" w:hAnsi="Cambria" w:cs="Cambria"/>
        </w:rPr>
        <w:t>We can then compute the impact on the option mid-price for both cash equity and (futures) Index options. We will make a distinction between those two categories.</w:t>
      </w:r>
    </w:p>
    <w:p w:rsidR="00EE13F6" w:rsidRDefault="002E5BC4">
      <w:pPr>
        <w:spacing w:after="133" w:line="264" w:lineRule="auto"/>
        <w:ind w:left="19" w:right="477" w:hanging="10"/>
        <w:jc w:val="both"/>
      </w:pPr>
      <w:r>
        <w:rPr>
          <w:rFonts w:ascii="Cambria" w:eastAsia="Cambria" w:hAnsi="Cambria" w:cs="Cambria"/>
          <w:b/>
        </w:rPr>
        <w:t xml:space="preserve">a- Options Hedged with Futures </w:t>
      </w:r>
      <w:r>
        <w:rPr>
          <w:rFonts w:ascii="Cambria" w:eastAsia="Cambria" w:hAnsi="Cambria" w:cs="Cambria"/>
        </w:rPr>
        <w:t>We consider Option markets where the hedge consists either of cash stocks or Single Stock Futures or even Index Futures. The cash equity market associated is considered as highly liquid and the bid-ask spread is 2 b.p which i</w:t>
      </w:r>
      <w:r>
        <w:rPr>
          <w:rFonts w:ascii="Cambria" w:eastAsia="Cambria" w:hAnsi="Cambria" w:cs="Cambria"/>
        </w:rPr>
        <w:t>s the magnitude of the roundtrip FTT rate on derivatives.</w:t>
      </w:r>
    </w:p>
    <w:p w:rsidR="00EE13F6" w:rsidRDefault="002E5BC4">
      <w:pPr>
        <w:spacing w:after="133" w:line="264" w:lineRule="auto"/>
        <w:ind w:left="19" w:right="477" w:hanging="10"/>
        <w:jc w:val="both"/>
      </w:pPr>
      <w:r>
        <w:rPr>
          <w:rFonts w:ascii="Cambria" w:eastAsia="Cambria" w:hAnsi="Cambria" w:cs="Cambria"/>
        </w:rPr>
        <w:lastRenderedPageBreak/>
        <w:t>Option market-makers can either hedge with cash stocks or futures. The arbitrage condition between cash and futures holds. Following the FTT implementation, market-makers hedging with cash will switch to futures whose roundtrip transaction cost is more fav</w:t>
      </w:r>
      <w:r>
        <w:rPr>
          <w:rFonts w:ascii="Cambria" w:eastAsia="Cambria" w:hAnsi="Cambria" w:cs="Cambria"/>
        </w:rPr>
        <w:t>orable.</w:t>
      </w:r>
    </w:p>
    <w:p w:rsidR="00EE13F6" w:rsidRDefault="002E5BC4">
      <w:pPr>
        <w:spacing w:after="133" w:line="264" w:lineRule="auto"/>
        <w:ind w:left="19" w:right="477" w:hanging="10"/>
        <w:jc w:val="both"/>
      </w:pPr>
      <w:r>
        <w:rPr>
          <w:rFonts w:ascii="Cambria" w:eastAsia="Cambria" w:hAnsi="Cambria" w:cs="Cambria"/>
        </w:rPr>
        <w:t>We assume that because of the substitution between futures and cash products triggering an improved liquidity, the bid-ask spread on derivatives before the addition of the tax at 0.01 percent, will not increase. Provided that before the introductio</w:t>
      </w:r>
      <w:r>
        <w:rPr>
          <w:rFonts w:ascii="Cambria" w:eastAsia="Cambria" w:hAnsi="Cambria" w:cs="Cambria"/>
        </w:rPr>
        <w:t>n of the tax, the derivatives and the cash prices were consistent with the arbitrage described in appendix B, the liquidity effect, should lower in fact the bid-ask spread on such products. We assume that it will not decrease.</w:t>
      </w:r>
    </w:p>
    <w:p w:rsidR="00EE13F6" w:rsidRDefault="002E5BC4">
      <w:pPr>
        <w:spacing w:line="264" w:lineRule="auto"/>
        <w:ind w:left="19" w:right="477" w:hanging="10"/>
        <w:jc w:val="both"/>
      </w:pPr>
      <w:r>
        <w:rPr>
          <w:rFonts w:ascii="Cambria" w:eastAsia="Cambria" w:hAnsi="Cambria" w:cs="Cambria"/>
        </w:rPr>
        <w:t>Taking into account a one-day</w:t>
      </w:r>
      <w:r>
        <w:rPr>
          <w:rFonts w:ascii="Cambria" w:eastAsia="Cambria" w:hAnsi="Cambria" w:cs="Cambria"/>
        </w:rPr>
        <w:t xml:space="preserve"> horizon for the maximization program of the market-maker’s utility function , we can see that for an option hedged with futures, the impact of the FTT roundtrip rate on the mid-price is going to be well within one basis point, which is ”within” one tick s</w:t>
      </w:r>
      <w:r>
        <w:rPr>
          <w:rFonts w:ascii="Cambria" w:eastAsia="Cambria" w:hAnsi="Cambria" w:cs="Cambria"/>
        </w:rPr>
        <w:t>ize.</w:t>
      </w:r>
    </w:p>
    <w:p w:rsidR="00EE13F6" w:rsidRDefault="002E5BC4">
      <w:pPr>
        <w:spacing w:after="174" w:line="264" w:lineRule="auto"/>
        <w:ind w:left="19" w:right="477" w:hanging="10"/>
        <w:jc w:val="both"/>
      </w:pPr>
      <w:r>
        <w:rPr>
          <w:rFonts w:ascii="Cambria" w:eastAsia="Cambria" w:hAnsi="Cambria" w:cs="Cambria"/>
        </w:rPr>
        <w:t xml:space="preserve">This comes from the direct calculation of the quantity </w:t>
      </w:r>
      <w:r>
        <w:rPr>
          <w:rFonts w:ascii="Cambria" w:eastAsia="Cambria" w:hAnsi="Cambria" w:cs="Cambria"/>
          <w:i/>
        </w:rPr>
        <w:t xml:space="preserve">x </w:t>
      </w:r>
      <w:r>
        <w:rPr>
          <w:rFonts w:ascii="Cambria" w:eastAsia="Cambria" w:hAnsi="Cambria" w:cs="Cambria"/>
        </w:rPr>
        <w:t>in equation (38) above:</w:t>
      </w:r>
    </w:p>
    <w:p w:rsidR="00EE13F6" w:rsidRDefault="002E5BC4">
      <w:pPr>
        <w:spacing w:after="133" w:line="264" w:lineRule="auto"/>
        <w:ind w:left="19" w:right="477" w:hanging="10"/>
        <w:jc w:val="both"/>
      </w:pPr>
      <w:r>
        <w:rPr>
          <w:rFonts w:ascii="Cambria" w:eastAsia="Cambria" w:hAnsi="Cambria" w:cs="Cambria"/>
        </w:rPr>
        <w:t xml:space="preserve">with parameters: </w:t>
      </w:r>
      <w:r>
        <w:rPr>
          <w:rFonts w:ascii="Cambria" w:eastAsia="Cambria" w:hAnsi="Cambria" w:cs="Cambria"/>
          <w:i/>
        </w:rPr>
        <w:t>S</w:t>
      </w:r>
      <w:r>
        <w:rPr>
          <w:rFonts w:ascii="Cambria" w:eastAsia="Cambria" w:hAnsi="Cambria" w:cs="Cambria"/>
          <w:vertAlign w:val="subscript"/>
        </w:rPr>
        <w:t xml:space="preserve">0 </w:t>
      </w:r>
      <w:r>
        <w:rPr>
          <w:rFonts w:ascii="Cambria" w:eastAsia="Cambria" w:hAnsi="Cambria" w:cs="Cambria"/>
        </w:rPr>
        <w:t>= 100;</w:t>
      </w:r>
      <w:r>
        <w:rPr>
          <w:rFonts w:ascii="Cambria" w:eastAsia="Cambria" w:hAnsi="Cambria" w:cs="Cambria"/>
          <w:i/>
        </w:rPr>
        <w:t xml:space="preserve">σ </w:t>
      </w:r>
      <w:r>
        <w:rPr>
          <w:rFonts w:ascii="Cambria" w:eastAsia="Cambria" w:hAnsi="Cambria" w:cs="Cambria"/>
        </w:rPr>
        <w:t>= 0</w:t>
      </w:r>
      <w:r>
        <w:rPr>
          <w:rFonts w:ascii="Cambria" w:eastAsia="Cambria" w:hAnsi="Cambria" w:cs="Cambria"/>
          <w:i/>
        </w:rPr>
        <w:t>.</w:t>
      </w:r>
      <w:r>
        <w:rPr>
          <w:rFonts w:ascii="Cambria" w:eastAsia="Cambria" w:hAnsi="Cambria" w:cs="Cambria"/>
        </w:rPr>
        <w:t>25; ∆</w:t>
      </w:r>
      <w:r>
        <w:rPr>
          <w:rFonts w:ascii="Cambria" w:eastAsia="Cambria" w:hAnsi="Cambria" w:cs="Cambria"/>
          <w:i/>
          <w:vertAlign w:val="subscript"/>
        </w:rPr>
        <w:t xml:space="preserve">t </w:t>
      </w:r>
      <w:r>
        <w:rPr>
          <w:rFonts w:ascii="Cambria" w:eastAsia="Cambria" w:hAnsi="Cambria" w:cs="Cambria"/>
        </w:rPr>
        <w:t>= 1 day; (</w:t>
      </w:r>
      <w:r>
        <w:rPr>
          <w:rFonts w:ascii="Cambria" w:eastAsia="Cambria" w:hAnsi="Cambria" w:cs="Cambria"/>
          <w:i/>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t</w:t>
      </w:r>
      <w:r>
        <w:rPr>
          <w:rFonts w:ascii="Cambria" w:eastAsia="Cambria" w:hAnsi="Cambria" w:cs="Cambria"/>
        </w:rPr>
        <w:t>) = 1 day; Γ = 0</w:t>
      </w:r>
      <w:r>
        <w:rPr>
          <w:rFonts w:ascii="Cambria" w:eastAsia="Cambria" w:hAnsi="Cambria" w:cs="Cambria"/>
          <w:i/>
        </w:rPr>
        <w:t>,</w:t>
      </w:r>
      <w:r>
        <w:rPr>
          <w:rFonts w:ascii="Cambria" w:eastAsia="Cambria" w:hAnsi="Cambria" w:cs="Cambria"/>
        </w:rPr>
        <w:t>422162606; r=d=0</w:t>
      </w:r>
      <w:r>
        <w:rPr>
          <w:rFonts w:ascii="Cambria" w:eastAsia="Cambria" w:hAnsi="Cambria" w:cs="Cambria"/>
          <w:i/>
        </w:rPr>
        <w:t>.</w:t>
      </w:r>
      <w:r>
        <w:rPr>
          <w:rFonts w:ascii="Cambria" w:eastAsia="Cambria" w:hAnsi="Cambria" w:cs="Cambria"/>
        </w:rPr>
        <w:t>02 which yields a variation of the quantity in equation above equals to 0</w:t>
      </w:r>
      <w:r>
        <w:rPr>
          <w:rFonts w:ascii="Cambria" w:eastAsia="Cambria" w:hAnsi="Cambria" w:cs="Cambria"/>
          <w:i/>
        </w:rPr>
        <w:t>.</w:t>
      </w:r>
      <w:r>
        <w:rPr>
          <w:rFonts w:ascii="Cambria" w:eastAsia="Cambria" w:hAnsi="Cambria" w:cs="Cambria"/>
        </w:rPr>
        <w:t>6 b.p fo</w:t>
      </w:r>
      <w:r>
        <w:rPr>
          <w:rFonts w:ascii="Cambria" w:eastAsia="Cambria" w:hAnsi="Cambria" w:cs="Cambria"/>
        </w:rPr>
        <w:t>r the bid-ask spread and 0</w:t>
      </w:r>
      <w:r>
        <w:rPr>
          <w:rFonts w:ascii="Cambria" w:eastAsia="Cambria" w:hAnsi="Cambria" w:cs="Cambria"/>
          <w:i/>
        </w:rPr>
        <w:t>.</w:t>
      </w:r>
      <w:r>
        <w:rPr>
          <w:rFonts w:ascii="Cambria" w:eastAsia="Cambria" w:hAnsi="Cambria" w:cs="Cambria"/>
        </w:rPr>
        <w:t>1 b.p for the mid-price variation.</w:t>
      </w:r>
    </w:p>
    <w:p w:rsidR="00EE13F6" w:rsidRDefault="002E5BC4">
      <w:pPr>
        <w:spacing w:after="133" w:line="264" w:lineRule="auto"/>
        <w:ind w:left="19" w:right="477" w:hanging="10"/>
        <w:jc w:val="both"/>
      </w:pPr>
      <w:r>
        <w:rPr>
          <w:rFonts w:ascii="Cambria" w:eastAsia="Cambria" w:hAnsi="Cambria" w:cs="Cambria"/>
        </w:rPr>
        <w:t>Table 7 below details the mid-price variation depending upon the maturity of the option when the time horizon of the market-maker is one day. The impact is maximal for the short dated options. I</w:t>
      </w:r>
      <w:r>
        <w:rPr>
          <w:rFonts w:ascii="Cambria" w:eastAsia="Cambria" w:hAnsi="Cambria" w:cs="Cambria"/>
        </w:rPr>
        <w:t xml:space="preserve">t is close to nil for the other option maturities. One tick on the option price gives a nearly insignificant effect on the implied volatility. Using Black and Scholes formula, and using the parameters ( interest rate; dividends; strike and stock price) of </w:t>
      </w:r>
      <w:r>
        <w:rPr>
          <w:rFonts w:ascii="Cambria" w:eastAsia="Cambria" w:hAnsi="Cambria" w:cs="Cambria"/>
        </w:rPr>
        <w:t xml:space="preserve">the Table 7 below, 1 tick of option price gives an impact of 0,003-0,004 percent on the level of volatility, for ATM options whose maturities are between 1 day and 3 years. Because implied volatility is usually quoted with 2 decimals, we can consider that </w:t>
      </w:r>
      <w:r>
        <w:rPr>
          <w:rFonts w:ascii="Cambria" w:eastAsia="Cambria" w:hAnsi="Cambria" w:cs="Cambria"/>
        </w:rPr>
        <w:t xml:space="preserve">the impact on the volatility is close to nil. </w:t>
      </w:r>
      <w:r>
        <w:rPr>
          <w:rFonts w:ascii="Cambria" w:eastAsia="Cambria" w:hAnsi="Cambria" w:cs="Cambria"/>
          <w:b/>
        </w:rPr>
        <w:t>b-Options hedged with cash equity.</w:t>
      </w:r>
    </w:p>
    <w:p w:rsidR="00EE13F6" w:rsidRDefault="002E5BC4">
      <w:pPr>
        <w:spacing w:after="133" w:line="264" w:lineRule="auto"/>
        <w:ind w:left="19" w:right="477" w:hanging="10"/>
        <w:jc w:val="both"/>
      </w:pPr>
      <w:r>
        <w:rPr>
          <w:rFonts w:ascii="Cambria" w:eastAsia="Cambria" w:hAnsi="Cambria" w:cs="Cambria"/>
        </w:rPr>
        <w:t>We consider here option market-makers which still use cash equity options even after the FTT implementation.</w:t>
      </w:r>
    </w:p>
    <w:p w:rsidR="00EE13F6" w:rsidRDefault="002E5BC4">
      <w:pPr>
        <w:spacing w:after="133" w:line="264" w:lineRule="auto"/>
        <w:ind w:left="19" w:right="477" w:hanging="10"/>
        <w:jc w:val="both"/>
      </w:pPr>
      <w:r>
        <w:rPr>
          <w:rFonts w:ascii="Cambria" w:eastAsia="Cambria" w:hAnsi="Cambria" w:cs="Cambria"/>
        </w:rPr>
        <w:t>Table 8 below gives the same calculation for cash equity options h</w:t>
      </w:r>
      <w:r>
        <w:rPr>
          <w:rFonts w:ascii="Cambria" w:eastAsia="Cambria" w:hAnsi="Cambria" w:cs="Cambria"/>
        </w:rPr>
        <w:t>edged with cash equity.</w:t>
      </w:r>
    </w:p>
    <w:p w:rsidR="00EE13F6" w:rsidRDefault="002E5BC4">
      <w:pPr>
        <w:spacing w:after="202" w:line="261" w:lineRule="auto"/>
        <w:ind w:left="-5" w:right="468" w:hanging="10"/>
        <w:jc w:val="both"/>
      </w:pPr>
      <w:r>
        <w:rPr>
          <w:rFonts w:ascii="Cambria" w:eastAsia="Cambria" w:hAnsi="Cambria" w:cs="Cambria"/>
        </w:rPr>
        <w:t xml:space="preserve">Table 7: </w:t>
      </w:r>
      <w:r>
        <w:rPr>
          <w:rFonts w:ascii="Cambria" w:eastAsia="Cambria" w:hAnsi="Cambria" w:cs="Cambria"/>
          <w:b/>
        </w:rPr>
        <w:t>FTT Impact on the Option Mid-Price in b.p of the Notional Contract For ”At The Money” Futures Index, Equity Futures or Cash Equity Options (</w:t>
      </w:r>
      <w:r>
        <w:rPr>
          <w:rFonts w:ascii="Cambria" w:eastAsia="Cambria" w:hAnsi="Cambria" w:cs="Cambria"/>
          <w:i/>
        </w:rPr>
        <w:t xml:space="preserve">S </w:t>
      </w:r>
      <w:r>
        <w:rPr>
          <w:rFonts w:ascii="Cambria" w:eastAsia="Cambria" w:hAnsi="Cambria" w:cs="Cambria"/>
        </w:rPr>
        <w:t xml:space="preserve">= </w:t>
      </w:r>
      <w:r>
        <w:rPr>
          <w:rFonts w:ascii="Cambria" w:eastAsia="Cambria" w:hAnsi="Cambria" w:cs="Cambria"/>
          <w:i/>
        </w:rPr>
        <w:t>K</w:t>
      </w:r>
      <w:r>
        <w:rPr>
          <w:rFonts w:ascii="Cambria" w:eastAsia="Cambria" w:hAnsi="Cambria" w:cs="Cambria"/>
          <w:b/>
        </w:rPr>
        <w:t xml:space="preserve">) Hedged by Futures Contracts for various Option Tenors (in days) and a 1 Day </w:t>
      </w:r>
      <w:r>
        <w:rPr>
          <w:rFonts w:ascii="Cambria" w:eastAsia="Cambria" w:hAnsi="Cambria" w:cs="Cambria"/>
          <w:b/>
        </w:rPr>
        <w:t xml:space="preserve">Horizon Time for the market-maker </w:t>
      </w:r>
      <w:r>
        <w:rPr>
          <w:rFonts w:ascii="Cambria" w:eastAsia="Cambria" w:hAnsi="Cambria" w:cs="Cambria"/>
          <w:i/>
        </w:rPr>
        <w:t>σ</w:t>
      </w:r>
      <w:r>
        <w:rPr>
          <w:rFonts w:ascii="Cambria" w:eastAsia="Cambria" w:hAnsi="Cambria" w:cs="Cambria"/>
          <w:b/>
        </w:rPr>
        <w:t>=0.25)</w:t>
      </w:r>
    </w:p>
    <w:tbl>
      <w:tblPr>
        <w:tblStyle w:val="TableGrid"/>
        <w:tblW w:w="4684" w:type="dxa"/>
        <w:tblInd w:w="2338" w:type="dxa"/>
        <w:tblCellMar>
          <w:top w:w="42" w:type="dxa"/>
          <w:left w:w="124" w:type="dxa"/>
          <w:bottom w:w="0" w:type="dxa"/>
          <w:right w:w="124" w:type="dxa"/>
        </w:tblCellMar>
        <w:tblLook w:val="04A0" w:firstRow="1" w:lastRow="0" w:firstColumn="1" w:lastColumn="0" w:noHBand="0" w:noVBand="1"/>
      </w:tblPr>
      <w:tblGrid>
        <w:gridCol w:w="1244"/>
        <w:gridCol w:w="1106"/>
        <w:gridCol w:w="1312"/>
        <w:gridCol w:w="1022"/>
      </w:tblGrid>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Maturity</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Gamma</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Call price</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Impact</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5</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0.08</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1.9664</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21</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0.039</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4.0274</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63</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0.0227</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6.9639</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126</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0.0160</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9.8236</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252</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0.0113</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13.823</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378</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0.009</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16.844</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504</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0.0079</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19.352</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756</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0.0063</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23.465</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w:t>
            </w:r>
          </w:p>
        </w:tc>
      </w:tr>
    </w:tbl>
    <w:p w:rsidR="00EE13F6" w:rsidRDefault="002E5BC4">
      <w:pPr>
        <w:spacing w:after="202" w:line="261" w:lineRule="auto"/>
        <w:ind w:left="-5" w:right="468" w:hanging="10"/>
        <w:jc w:val="both"/>
      </w:pPr>
      <w:r>
        <w:rPr>
          <w:rFonts w:ascii="Cambria" w:eastAsia="Cambria" w:hAnsi="Cambria" w:cs="Cambria"/>
        </w:rPr>
        <w:lastRenderedPageBreak/>
        <w:t xml:space="preserve">Table 8: </w:t>
      </w:r>
      <w:r>
        <w:rPr>
          <w:rFonts w:ascii="Cambria" w:eastAsia="Cambria" w:hAnsi="Cambria" w:cs="Cambria"/>
          <w:b/>
        </w:rPr>
        <w:t>FTT Impact on the Option Mid- Price in b.p of the Notional Contract For ”At The Money” Cash Equity Options Hedged with Cash Equity O(</w:t>
      </w:r>
      <w:r>
        <w:rPr>
          <w:rFonts w:ascii="Cambria" w:eastAsia="Cambria" w:hAnsi="Cambria" w:cs="Cambria"/>
          <w:i/>
        </w:rPr>
        <w:t xml:space="preserve">S </w:t>
      </w:r>
      <w:r>
        <w:rPr>
          <w:rFonts w:ascii="Cambria" w:eastAsia="Cambria" w:hAnsi="Cambria" w:cs="Cambria"/>
        </w:rPr>
        <w:t xml:space="preserve">= </w:t>
      </w:r>
      <w:r>
        <w:rPr>
          <w:rFonts w:ascii="Cambria" w:eastAsia="Cambria" w:hAnsi="Cambria" w:cs="Cambria"/>
          <w:i/>
        </w:rPr>
        <w:t>K</w:t>
      </w:r>
      <w:r>
        <w:rPr>
          <w:rFonts w:ascii="Cambria" w:eastAsia="Cambria" w:hAnsi="Cambria" w:cs="Cambria"/>
          <w:b/>
        </w:rPr>
        <w:t xml:space="preserve">) for various Tenors (in days) and Horizon Times (market depth-in fractional days and days; </w:t>
      </w:r>
      <w:r>
        <w:rPr>
          <w:rFonts w:ascii="Cambria" w:eastAsia="Cambria" w:hAnsi="Cambria" w:cs="Cambria"/>
          <w:i/>
        </w:rPr>
        <w:t>σ</w:t>
      </w:r>
      <w:r>
        <w:rPr>
          <w:rFonts w:ascii="Cambria" w:eastAsia="Cambria" w:hAnsi="Cambria" w:cs="Cambria"/>
          <w:b/>
        </w:rPr>
        <w:t>=0.35)</w:t>
      </w:r>
    </w:p>
    <w:tbl>
      <w:tblPr>
        <w:tblStyle w:val="TableGrid"/>
        <w:tblW w:w="6798" w:type="dxa"/>
        <w:tblInd w:w="1281" w:type="dxa"/>
        <w:tblCellMar>
          <w:top w:w="42" w:type="dxa"/>
          <w:left w:w="124" w:type="dxa"/>
          <w:bottom w:w="0" w:type="dxa"/>
          <w:right w:w="115" w:type="dxa"/>
        </w:tblCellMar>
        <w:tblLook w:val="04A0" w:firstRow="1" w:lastRow="0" w:firstColumn="1" w:lastColumn="0" w:noHBand="0" w:noVBand="1"/>
      </w:tblPr>
      <w:tblGrid>
        <w:gridCol w:w="1244"/>
        <w:gridCol w:w="1106"/>
        <w:gridCol w:w="1314"/>
        <w:gridCol w:w="528"/>
        <w:gridCol w:w="2606"/>
      </w:tblGrid>
      <w:tr w:rsidR="00EE13F6">
        <w:trPr>
          <w:trHeight w:val="279"/>
        </w:trPr>
        <w:tc>
          <w:tcPr>
            <w:tcW w:w="1244" w:type="dxa"/>
            <w:tcBorders>
              <w:top w:val="single" w:sz="3" w:space="0" w:color="000000"/>
              <w:left w:val="single" w:sz="3" w:space="0" w:color="000000"/>
              <w:bottom w:val="single" w:sz="3" w:space="0" w:color="000000"/>
              <w:right w:val="nil"/>
            </w:tcBorders>
          </w:tcPr>
          <w:p w:rsidR="00EE13F6" w:rsidRDefault="00EE13F6"/>
        </w:tc>
        <w:tc>
          <w:tcPr>
            <w:tcW w:w="1106" w:type="dxa"/>
            <w:tcBorders>
              <w:top w:val="single" w:sz="3" w:space="0" w:color="000000"/>
              <w:left w:val="nil"/>
              <w:bottom w:val="single" w:sz="3" w:space="0" w:color="000000"/>
              <w:right w:val="nil"/>
            </w:tcBorders>
          </w:tcPr>
          <w:p w:rsidR="00EE13F6" w:rsidRDefault="00EE13F6"/>
        </w:tc>
        <w:tc>
          <w:tcPr>
            <w:tcW w:w="1315" w:type="dxa"/>
            <w:tcBorders>
              <w:top w:val="single" w:sz="3" w:space="0" w:color="000000"/>
              <w:left w:val="nil"/>
              <w:bottom w:val="single" w:sz="3" w:space="0" w:color="000000"/>
              <w:right w:val="single" w:sz="6" w:space="0" w:color="000000"/>
            </w:tcBorders>
          </w:tcPr>
          <w:p w:rsidR="00EE13F6" w:rsidRDefault="00EE13F6"/>
        </w:tc>
        <w:tc>
          <w:tcPr>
            <w:tcW w:w="3132" w:type="dxa"/>
            <w:gridSpan w:val="2"/>
            <w:tcBorders>
              <w:top w:val="single" w:sz="3" w:space="0" w:color="000000"/>
              <w:left w:val="single" w:sz="6" w:space="0" w:color="000000"/>
              <w:bottom w:val="single" w:sz="3" w:space="0" w:color="000000"/>
              <w:right w:val="single" w:sz="3" w:space="0" w:color="000000"/>
            </w:tcBorders>
          </w:tcPr>
          <w:p w:rsidR="00EE13F6" w:rsidRDefault="002E5BC4">
            <w:pPr>
              <w:spacing w:after="0"/>
              <w:ind w:left="5"/>
            </w:pPr>
            <w:r>
              <w:rPr>
                <w:rFonts w:ascii="Cambria" w:eastAsia="Cambria" w:hAnsi="Cambria" w:cs="Cambria"/>
                <w:b/>
                <w:sz w:val="18"/>
              </w:rPr>
              <w:t>Market Maker Horizon in days</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Maturity</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Gamma</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Call price</w:t>
            </w:r>
          </w:p>
        </w:tc>
        <w:tc>
          <w:tcPr>
            <w:tcW w:w="52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4"/>
            </w:pPr>
            <w:r>
              <w:rPr>
                <w:rFonts w:ascii="Cambria" w:eastAsia="Cambria" w:hAnsi="Cambria" w:cs="Cambria"/>
                <w:b/>
              </w:rPr>
              <w:t>1</w:t>
            </w:r>
          </w:p>
        </w:tc>
        <w:tc>
          <w:tcPr>
            <w:tcW w:w="2610"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0.75</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0.1809</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0.8785</w:t>
            </w:r>
          </w:p>
        </w:tc>
        <w:tc>
          <w:tcPr>
            <w:tcW w:w="52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1.1</w:t>
            </w:r>
          </w:p>
        </w:tc>
        <w:tc>
          <w:tcPr>
            <w:tcW w:w="2610"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0.8</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5</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0.08</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1.9664</w:t>
            </w:r>
          </w:p>
        </w:tc>
        <w:tc>
          <w:tcPr>
            <w:tcW w:w="52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0.4</w:t>
            </w:r>
          </w:p>
        </w:tc>
        <w:tc>
          <w:tcPr>
            <w:tcW w:w="2610"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0.4</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21</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0.039</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4.0274</w:t>
            </w:r>
          </w:p>
        </w:tc>
        <w:tc>
          <w:tcPr>
            <w:tcW w:w="52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0.2</w:t>
            </w:r>
          </w:p>
        </w:tc>
        <w:tc>
          <w:tcPr>
            <w:tcW w:w="2610"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0.1</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63</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0.0227</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6.9639</w:t>
            </w:r>
          </w:p>
        </w:tc>
        <w:tc>
          <w:tcPr>
            <w:tcW w:w="52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0.1</w:t>
            </w:r>
          </w:p>
        </w:tc>
        <w:tc>
          <w:tcPr>
            <w:tcW w:w="2610"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126</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0.0160</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9.8236</w:t>
            </w:r>
          </w:p>
        </w:tc>
        <w:tc>
          <w:tcPr>
            <w:tcW w:w="52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0.1</w:t>
            </w:r>
          </w:p>
        </w:tc>
        <w:tc>
          <w:tcPr>
            <w:tcW w:w="2610"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252</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0.0113</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13.823</w:t>
            </w:r>
          </w:p>
        </w:tc>
        <w:tc>
          <w:tcPr>
            <w:tcW w:w="52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0.1</w:t>
            </w:r>
          </w:p>
        </w:tc>
        <w:tc>
          <w:tcPr>
            <w:tcW w:w="2610"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378</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0.009</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16.844</w:t>
            </w:r>
          </w:p>
        </w:tc>
        <w:tc>
          <w:tcPr>
            <w:tcW w:w="52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0.0</w:t>
            </w:r>
          </w:p>
        </w:tc>
        <w:tc>
          <w:tcPr>
            <w:tcW w:w="2610"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504</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0.0079</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19.352</w:t>
            </w:r>
          </w:p>
        </w:tc>
        <w:tc>
          <w:tcPr>
            <w:tcW w:w="52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0.0</w:t>
            </w:r>
          </w:p>
        </w:tc>
        <w:tc>
          <w:tcPr>
            <w:tcW w:w="2610"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756</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0.0063</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23.465</w:t>
            </w:r>
          </w:p>
        </w:tc>
        <w:tc>
          <w:tcPr>
            <w:tcW w:w="52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0.0</w:t>
            </w:r>
          </w:p>
        </w:tc>
        <w:tc>
          <w:tcPr>
            <w:tcW w:w="2610"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r>
    </w:tbl>
    <w:p w:rsidR="00EE13F6" w:rsidRDefault="002E5BC4">
      <w:pPr>
        <w:spacing w:after="276" w:line="261" w:lineRule="auto"/>
        <w:ind w:left="752" w:right="468" w:hanging="767"/>
        <w:jc w:val="both"/>
      </w:pPr>
      <w:r>
        <w:rPr>
          <w:rFonts w:ascii="Cambria" w:eastAsia="Cambria" w:hAnsi="Cambria" w:cs="Cambria"/>
          <w:b/>
        </w:rPr>
        <w:t>3.3.3</w:t>
      </w:r>
      <w:r>
        <w:rPr>
          <w:rFonts w:ascii="Cambria" w:eastAsia="Cambria" w:hAnsi="Cambria" w:cs="Cambria"/>
          <w:b/>
        </w:rPr>
        <w:tab/>
        <w:t>Impact of FTT Related Increase of Hedging Costs on the Derivatives Bid-Ask Spread</w:t>
      </w:r>
    </w:p>
    <w:p w:rsidR="00EE13F6" w:rsidRDefault="002E5BC4">
      <w:pPr>
        <w:spacing w:after="161" w:line="264" w:lineRule="auto"/>
        <w:ind w:left="19" w:right="477" w:hanging="10"/>
        <w:jc w:val="both"/>
      </w:pPr>
      <w:r>
        <w:rPr>
          <w:rFonts w:ascii="Cambria" w:eastAsia="Cambria" w:hAnsi="Cambria" w:cs="Cambria"/>
        </w:rPr>
        <w:t>Table 9 evidences the impact of the FTT additional costs on the bid-ask spread in b.p of the notional amount under the assumptions stated above for such highly liquid market. The costs are computed according to a rule of thumb for various ∆</w:t>
      </w:r>
      <w:r>
        <w:rPr>
          <w:rFonts w:ascii="Cambria" w:eastAsia="Cambria" w:hAnsi="Cambria" w:cs="Cambria"/>
          <w:i/>
          <w:vertAlign w:val="subscript"/>
        </w:rPr>
        <w:t xml:space="preserve">t </w:t>
      </w:r>
      <w:r>
        <w:rPr>
          <w:rFonts w:ascii="Cambria" w:eastAsia="Cambria" w:hAnsi="Cambria" w:cs="Cambria"/>
        </w:rPr>
        <w:t>times.</w:t>
      </w:r>
    </w:p>
    <w:p w:rsidR="00EE13F6" w:rsidRDefault="002E5BC4">
      <w:pPr>
        <w:spacing w:after="133" w:line="264" w:lineRule="auto"/>
        <w:ind w:left="19" w:right="477" w:hanging="10"/>
        <w:jc w:val="both"/>
      </w:pPr>
      <w:r>
        <w:rPr>
          <w:rFonts w:ascii="Cambria" w:eastAsia="Cambria" w:hAnsi="Cambria" w:cs="Cambria"/>
        </w:rPr>
        <w:t>As we c</w:t>
      </w:r>
      <w:r>
        <w:rPr>
          <w:rFonts w:ascii="Cambria" w:eastAsia="Cambria" w:hAnsi="Cambria" w:cs="Cambria"/>
        </w:rPr>
        <w:t>onsider that an horizon ∆</w:t>
      </w:r>
      <w:r>
        <w:rPr>
          <w:rFonts w:ascii="Cambria" w:eastAsia="Cambria" w:hAnsi="Cambria" w:cs="Cambria"/>
          <w:i/>
          <w:vertAlign w:val="subscript"/>
        </w:rPr>
        <w:t xml:space="preserve">t </w:t>
      </w:r>
      <w:r>
        <w:rPr>
          <w:rFonts w:ascii="Cambria" w:eastAsia="Cambria" w:hAnsi="Cambria" w:cs="Cambria"/>
        </w:rPr>
        <w:t>of 1 day, is realistic, we focus on the last column. We can see that the total costs are representing 0</w:t>
      </w:r>
      <w:r>
        <w:rPr>
          <w:rFonts w:ascii="Cambria" w:eastAsia="Cambria" w:hAnsi="Cambria" w:cs="Cambria"/>
          <w:i/>
        </w:rPr>
        <w:t>.</w:t>
      </w:r>
      <w:r>
        <w:rPr>
          <w:rFonts w:ascii="Cambria" w:eastAsia="Cambria" w:hAnsi="Cambria" w:cs="Cambria"/>
        </w:rPr>
        <w:t>1 bp of the notional value of the contract for ATM options. Taking a deep dive into the calculation, we see that the transaction costs borne at both the inception and the liquidation of the portfolio, amounts for 0</w:t>
      </w:r>
      <w:r>
        <w:rPr>
          <w:rFonts w:ascii="Cambria" w:eastAsia="Cambria" w:hAnsi="Cambria" w:cs="Cambria"/>
          <w:i/>
        </w:rPr>
        <w:t>.</w:t>
      </w:r>
      <w:r>
        <w:rPr>
          <w:rFonts w:ascii="Cambria" w:eastAsia="Cambria" w:hAnsi="Cambria" w:cs="Cambria"/>
        </w:rPr>
        <w:t>05 b.p.</w:t>
      </w:r>
    </w:p>
    <w:p w:rsidR="00EE13F6" w:rsidRDefault="002E5BC4">
      <w:pPr>
        <w:spacing w:after="225" w:line="264" w:lineRule="auto"/>
        <w:ind w:left="19" w:right="477" w:hanging="10"/>
        <w:jc w:val="both"/>
      </w:pPr>
      <w:r>
        <w:rPr>
          <w:rFonts w:ascii="Cambria" w:eastAsia="Cambria" w:hAnsi="Cambria" w:cs="Cambria"/>
        </w:rPr>
        <w:t>This suggests additional reductio</w:t>
      </w:r>
      <w:r>
        <w:rPr>
          <w:rFonts w:ascii="Cambria" w:eastAsia="Cambria" w:hAnsi="Cambria" w:cs="Cambria"/>
        </w:rPr>
        <w:t xml:space="preserve">n for institutions harboring option market-making desks coexisting with futures market-making desks. As the internal transactions between desks occur within the same legal entity, they are not subject to the FTT. Consequently, those costs at inception and </w:t>
      </w:r>
      <w:r>
        <w:rPr>
          <w:rFonts w:ascii="Cambria" w:eastAsia="Cambria" w:hAnsi="Cambria" w:cs="Cambria"/>
        </w:rPr>
        <w:t>liquidation could be further reduced to 0</w:t>
      </w:r>
      <w:r>
        <w:rPr>
          <w:rFonts w:ascii="Cambria" w:eastAsia="Cambria" w:hAnsi="Cambria" w:cs="Cambria"/>
          <w:i/>
        </w:rPr>
        <w:t>.</w:t>
      </w:r>
      <w:r>
        <w:rPr>
          <w:rFonts w:ascii="Cambria" w:eastAsia="Cambria" w:hAnsi="Cambria" w:cs="Cambria"/>
        </w:rPr>
        <w:t>025 bp for ATM options.</w:t>
      </w:r>
    </w:p>
    <w:p w:rsidR="00EE13F6" w:rsidRDefault="002E5BC4">
      <w:pPr>
        <w:spacing w:after="202" w:line="261" w:lineRule="auto"/>
        <w:ind w:left="-5" w:right="468" w:hanging="10"/>
        <w:jc w:val="both"/>
      </w:pPr>
      <w:r>
        <w:rPr>
          <w:rFonts w:ascii="Cambria" w:eastAsia="Cambria" w:hAnsi="Cambria" w:cs="Cambria"/>
        </w:rPr>
        <w:t xml:space="preserve">Table 9: </w:t>
      </w:r>
      <w:r>
        <w:rPr>
          <w:rFonts w:ascii="Cambria" w:eastAsia="Cambria" w:hAnsi="Cambria" w:cs="Cambria"/>
          <w:b/>
        </w:rPr>
        <w:t>FTT Impact on the Option Bid-Ask Spread in b.p of the Notional Contract For ”At The Money” Futures Index, Equity Futures or Cash Equity Options (</w:t>
      </w:r>
      <w:r>
        <w:rPr>
          <w:rFonts w:ascii="Cambria" w:eastAsia="Cambria" w:hAnsi="Cambria" w:cs="Cambria"/>
          <w:i/>
        </w:rPr>
        <w:t xml:space="preserve">S </w:t>
      </w:r>
      <w:r>
        <w:rPr>
          <w:rFonts w:ascii="Cambria" w:eastAsia="Cambria" w:hAnsi="Cambria" w:cs="Cambria"/>
        </w:rPr>
        <w:t xml:space="preserve">= </w:t>
      </w:r>
      <w:r>
        <w:rPr>
          <w:rFonts w:ascii="Cambria" w:eastAsia="Cambria" w:hAnsi="Cambria" w:cs="Cambria"/>
          <w:i/>
        </w:rPr>
        <w:t>K</w:t>
      </w:r>
      <w:r>
        <w:rPr>
          <w:rFonts w:ascii="Cambria" w:eastAsia="Cambria" w:hAnsi="Cambria" w:cs="Cambria"/>
          <w:b/>
        </w:rPr>
        <w:t>) Hedged by Futures Contracts f</w:t>
      </w:r>
      <w:r>
        <w:rPr>
          <w:rFonts w:ascii="Cambria" w:eastAsia="Cambria" w:hAnsi="Cambria" w:cs="Cambria"/>
          <w:b/>
        </w:rPr>
        <w:t xml:space="preserve">or various Option Tenors (in days) and a 1 Day Horizon Time for the market-maker </w:t>
      </w:r>
      <w:r>
        <w:rPr>
          <w:rFonts w:ascii="Cambria" w:eastAsia="Cambria" w:hAnsi="Cambria" w:cs="Cambria"/>
          <w:i/>
        </w:rPr>
        <w:t>σ</w:t>
      </w:r>
      <w:r>
        <w:rPr>
          <w:rFonts w:ascii="Cambria" w:eastAsia="Cambria" w:hAnsi="Cambria" w:cs="Cambria"/>
          <w:b/>
        </w:rPr>
        <w:t>=0.35)</w:t>
      </w:r>
    </w:p>
    <w:tbl>
      <w:tblPr>
        <w:tblStyle w:val="TableGrid"/>
        <w:tblW w:w="4684" w:type="dxa"/>
        <w:tblInd w:w="2338" w:type="dxa"/>
        <w:tblCellMar>
          <w:top w:w="42" w:type="dxa"/>
          <w:left w:w="124" w:type="dxa"/>
          <w:bottom w:w="0" w:type="dxa"/>
          <w:right w:w="124" w:type="dxa"/>
        </w:tblCellMar>
        <w:tblLook w:val="04A0" w:firstRow="1" w:lastRow="0" w:firstColumn="1" w:lastColumn="0" w:noHBand="0" w:noVBand="1"/>
      </w:tblPr>
      <w:tblGrid>
        <w:gridCol w:w="1244"/>
        <w:gridCol w:w="1106"/>
        <w:gridCol w:w="1312"/>
        <w:gridCol w:w="1022"/>
      </w:tblGrid>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Maturity</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Gamma</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Call price</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Impact</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5</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0.08</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1.9664</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0.6</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21</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0.039</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4.0274</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0.2</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63</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0.0227</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6.9639</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126</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0.0160</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9.8236</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252</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0.0113</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13.823</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378</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0.009</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16.844</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504</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0.0079</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19.352</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lastRenderedPageBreak/>
              <w:t>756</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0.0063</w:t>
            </w:r>
          </w:p>
        </w:tc>
        <w:tc>
          <w:tcPr>
            <w:tcW w:w="131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23.465</w:t>
            </w:r>
          </w:p>
        </w:tc>
        <w:tc>
          <w:tcPr>
            <w:tcW w:w="102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w:t>
            </w:r>
          </w:p>
        </w:tc>
      </w:tr>
    </w:tbl>
    <w:p w:rsidR="00EE13F6" w:rsidRDefault="002E5BC4">
      <w:pPr>
        <w:spacing w:after="146" w:line="261" w:lineRule="auto"/>
        <w:ind w:left="-5" w:right="468" w:hanging="10"/>
      </w:pPr>
      <w:r>
        <w:rPr>
          <w:rFonts w:ascii="Cambria" w:eastAsia="Cambria" w:hAnsi="Cambria" w:cs="Cambria"/>
        </w:rPr>
        <w:t>For this same reason of initial and unsettling replication costs, we can see in Table 10, that equity option markets where hedging occurs with cash equity only will record a more significant increase of the transaction cost. Assuming that 20 percent of the</w:t>
      </w:r>
      <w:r>
        <w:rPr>
          <w:rFonts w:ascii="Cambria" w:eastAsia="Cambria" w:hAnsi="Cambria" w:cs="Cambria"/>
        </w:rPr>
        <w:t xml:space="preserve"> quoted options have to be replicated, we see that from ATM options, the spread impact is already 2 bp of the notional value and 1</w:t>
      </w:r>
      <w:r>
        <w:rPr>
          <w:rFonts w:ascii="Cambria" w:eastAsia="Cambria" w:hAnsi="Cambria" w:cs="Cambria"/>
          <w:i/>
        </w:rPr>
        <w:t>.</w:t>
      </w:r>
      <w:r>
        <w:rPr>
          <w:rFonts w:ascii="Cambria" w:eastAsia="Cambria" w:hAnsi="Cambria" w:cs="Cambria"/>
        </w:rPr>
        <w:t xml:space="preserve">5 bp for OTM call options whose </w:t>
      </w:r>
      <w:r>
        <w:rPr>
          <w:rFonts w:ascii="Cambria" w:eastAsia="Cambria" w:hAnsi="Cambria" w:cs="Cambria"/>
          <w:i/>
        </w:rPr>
        <w:t xml:space="preserve">δ </w:t>
      </w:r>
      <w:r>
        <w:rPr>
          <w:rFonts w:ascii="Cambria" w:eastAsia="Cambria" w:hAnsi="Cambria" w:cs="Cambria"/>
        </w:rPr>
        <w:t>is below 0</w:t>
      </w:r>
      <w:r>
        <w:rPr>
          <w:rFonts w:ascii="Cambria" w:eastAsia="Cambria" w:hAnsi="Cambria" w:cs="Cambria"/>
          <w:i/>
        </w:rPr>
        <w:t>.</w:t>
      </w:r>
      <w:r>
        <w:rPr>
          <w:rFonts w:ascii="Cambria" w:eastAsia="Cambria" w:hAnsi="Cambria" w:cs="Cambria"/>
        </w:rPr>
        <w:t>25. However, for the reasons explained above, the impact on the reservation pric</w:t>
      </w:r>
      <w:r>
        <w:rPr>
          <w:rFonts w:ascii="Cambria" w:eastAsia="Cambria" w:hAnsi="Cambria" w:cs="Cambria"/>
        </w:rPr>
        <w:t>e is a fraction of those costs and is in fact still below 1 b.p. The impact is going to grow when the time ∆</w:t>
      </w:r>
      <w:r>
        <w:rPr>
          <w:rFonts w:ascii="Cambria" w:eastAsia="Cambria" w:hAnsi="Cambria" w:cs="Cambria"/>
          <w:i/>
          <w:vertAlign w:val="subscript"/>
        </w:rPr>
        <w:t xml:space="preserve">t </w:t>
      </w:r>
      <w:r>
        <w:rPr>
          <w:rFonts w:ascii="Cambria" w:eastAsia="Cambria" w:hAnsi="Cambria" w:cs="Cambria"/>
        </w:rPr>
        <w:t>which measures the liquidity is increasing.</w:t>
      </w:r>
    </w:p>
    <w:p w:rsidR="00EE13F6" w:rsidRDefault="002E5BC4">
      <w:pPr>
        <w:spacing w:after="133" w:line="264" w:lineRule="auto"/>
        <w:ind w:left="19" w:right="477" w:hanging="10"/>
        <w:jc w:val="both"/>
      </w:pPr>
      <w:r>
        <w:rPr>
          <w:rFonts w:ascii="Cambria" w:eastAsia="Cambria" w:hAnsi="Cambria" w:cs="Cambria"/>
        </w:rPr>
        <w:t xml:space="preserve">Consequently, it suggests that even for equity option markets which are already liquid, the impact of </w:t>
      </w:r>
      <w:r>
        <w:rPr>
          <w:rFonts w:ascii="Cambria" w:eastAsia="Cambria" w:hAnsi="Cambria" w:cs="Cambria"/>
        </w:rPr>
        <w:t>the FTT will be more significant than for future options or cash option hedged with futures, and that this impact will be inversely related to the liquidity of that market.</w:t>
      </w:r>
    </w:p>
    <w:p w:rsidR="00EE13F6" w:rsidRDefault="002E5BC4">
      <w:pPr>
        <w:spacing w:after="202" w:line="261" w:lineRule="auto"/>
        <w:ind w:left="-5" w:right="468" w:hanging="10"/>
        <w:jc w:val="both"/>
      </w:pPr>
      <w:r>
        <w:rPr>
          <w:rFonts w:ascii="Cambria" w:eastAsia="Cambria" w:hAnsi="Cambria" w:cs="Cambria"/>
        </w:rPr>
        <w:t xml:space="preserve">Table 10: </w:t>
      </w:r>
      <w:r>
        <w:rPr>
          <w:rFonts w:ascii="Cambria" w:eastAsia="Cambria" w:hAnsi="Cambria" w:cs="Cambria"/>
          <w:b/>
        </w:rPr>
        <w:t>Impact on the Bid-Ask Spread of the Hedging Costs generated by the FTT in b.p of the Notional Contract For ”At The Money” Cash Equity Options Hedged with Cash Equity O(</w:t>
      </w:r>
      <w:r>
        <w:rPr>
          <w:rFonts w:ascii="Cambria" w:eastAsia="Cambria" w:hAnsi="Cambria" w:cs="Cambria"/>
          <w:i/>
        </w:rPr>
        <w:t xml:space="preserve">S </w:t>
      </w:r>
      <w:r>
        <w:rPr>
          <w:rFonts w:ascii="Cambria" w:eastAsia="Cambria" w:hAnsi="Cambria" w:cs="Cambria"/>
        </w:rPr>
        <w:t xml:space="preserve">= </w:t>
      </w:r>
      <w:r>
        <w:rPr>
          <w:rFonts w:ascii="Cambria" w:eastAsia="Cambria" w:hAnsi="Cambria" w:cs="Cambria"/>
          <w:i/>
        </w:rPr>
        <w:t>K</w:t>
      </w:r>
      <w:r>
        <w:rPr>
          <w:rFonts w:ascii="Cambria" w:eastAsia="Cambria" w:hAnsi="Cambria" w:cs="Cambria"/>
          <w:b/>
        </w:rPr>
        <w:t>) for various Tenors (in days) and HorizonTimes (market depth-in fractional days an</w:t>
      </w:r>
      <w:r>
        <w:rPr>
          <w:rFonts w:ascii="Cambria" w:eastAsia="Cambria" w:hAnsi="Cambria" w:cs="Cambria"/>
          <w:b/>
        </w:rPr>
        <w:t xml:space="preserve">d days; </w:t>
      </w:r>
      <w:r>
        <w:rPr>
          <w:rFonts w:ascii="Cambria" w:eastAsia="Cambria" w:hAnsi="Cambria" w:cs="Cambria"/>
          <w:i/>
        </w:rPr>
        <w:t>σ</w:t>
      </w:r>
      <w:r>
        <w:rPr>
          <w:rFonts w:ascii="Cambria" w:eastAsia="Cambria" w:hAnsi="Cambria" w:cs="Cambria"/>
          <w:b/>
        </w:rPr>
        <w:t>=0.35)</w:t>
      </w:r>
    </w:p>
    <w:tbl>
      <w:tblPr>
        <w:tblStyle w:val="TableGrid"/>
        <w:tblW w:w="7003" w:type="dxa"/>
        <w:tblInd w:w="1179" w:type="dxa"/>
        <w:tblCellMar>
          <w:top w:w="42" w:type="dxa"/>
          <w:left w:w="124" w:type="dxa"/>
          <w:bottom w:w="0" w:type="dxa"/>
          <w:right w:w="115" w:type="dxa"/>
        </w:tblCellMar>
        <w:tblLook w:val="04A0" w:firstRow="1" w:lastRow="0" w:firstColumn="1" w:lastColumn="0" w:noHBand="0" w:noVBand="1"/>
      </w:tblPr>
      <w:tblGrid>
        <w:gridCol w:w="1245"/>
        <w:gridCol w:w="1106"/>
        <w:gridCol w:w="1315"/>
        <w:gridCol w:w="565"/>
        <w:gridCol w:w="693"/>
        <w:gridCol w:w="693"/>
        <w:gridCol w:w="693"/>
        <w:gridCol w:w="693"/>
      </w:tblGrid>
      <w:tr w:rsidR="00EE13F6">
        <w:trPr>
          <w:trHeight w:val="279"/>
        </w:trPr>
        <w:tc>
          <w:tcPr>
            <w:tcW w:w="1244" w:type="dxa"/>
            <w:tcBorders>
              <w:top w:val="single" w:sz="3" w:space="0" w:color="000000"/>
              <w:left w:val="single" w:sz="3" w:space="0" w:color="000000"/>
              <w:bottom w:val="single" w:sz="3" w:space="0" w:color="000000"/>
              <w:right w:val="nil"/>
            </w:tcBorders>
            <w:vAlign w:val="center"/>
          </w:tcPr>
          <w:p w:rsidR="00EE13F6" w:rsidRDefault="00EE13F6"/>
        </w:tc>
        <w:tc>
          <w:tcPr>
            <w:tcW w:w="1106" w:type="dxa"/>
            <w:tcBorders>
              <w:top w:val="single" w:sz="3" w:space="0" w:color="000000"/>
              <w:left w:val="nil"/>
              <w:bottom w:val="single" w:sz="3" w:space="0" w:color="000000"/>
              <w:right w:val="nil"/>
            </w:tcBorders>
            <w:vAlign w:val="bottom"/>
          </w:tcPr>
          <w:p w:rsidR="00EE13F6" w:rsidRDefault="00EE13F6"/>
        </w:tc>
        <w:tc>
          <w:tcPr>
            <w:tcW w:w="1315" w:type="dxa"/>
            <w:tcBorders>
              <w:top w:val="single" w:sz="3" w:space="0" w:color="000000"/>
              <w:left w:val="nil"/>
              <w:bottom w:val="single" w:sz="3" w:space="0" w:color="000000"/>
              <w:right w:val="single" w:sz="6" w:space="0" w:color="000000"/>
            </w:tcBorders>
          </w:tcPr>
          <w:p w:rsidR="00EE13F6" w:rsidRDefault="00EE13F6"/>
        </w:tc>
        <w:tc>
          <w:tcPr>
            <w:tcW w:w="3337" w:type="dxa"/>
            <w:gridSpan w:val="5"/>
            <w:tcBorders>
              <w:top w:val="single" w:sz="3" w:space="0" w:color="000000"/>
              <w:left w:val="single" w:sz="6" w:space="0" w:color="000000"/>
              <w:bottom w:val="single" w:sz="3" w:space="0" w:color="000000"/>
              <w:right w:val="single" w:sz="3" w:space="0" w:color="000000"/>
            </w:tcBorders>
          </w:tcPr>
          <w:p w:rsidR="00EE13F6" w:rsidRDefault="002E5BC4">
            <w:pPr>
              <w:spacing w:after="0"/>
              <w:ind w:left="5"/>
              <w:jc w:val="center"/>
            </w:pPr>
            <w:r>
              <w:rPr>
                <w:rFonts w:ascii="Cambria" w:eastAsia="Cambria" w:hAnsi="Cambria" w:cs="Cambria"/>
                <w:b/>
                <w:sz w:val="18"/>
              </w:rPr>
              <w:t>Market Maker Horizon in days</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Maturity</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Gamma</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Call price</w:t>
            </w:r>
          </w:p>
        </w:tc>
        <w:tc>
          <w:tcPr>
            <w:tcW w:w="56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95"/>
            </w:pPr>
            <w:r>
              <w:rPr>
                <w:rFonts w:ascii="Cambria" w:eastAsia="Cambria" w:hAnsi="Cambria" w:cs="Cambria"/>
                <w:b/>
              </w:rPr>
              <w:t>1</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0.75</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0.25</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0.16</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0.08</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0.1809</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0.8795</w:t>
            </w:r>
          </w:p>
        </w:tc>
        <w:tc>
          <w:tcPr>
            <w:tcW w:w="56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21"/>
            </w:pPr>
            <w:r>
              <w:rPr>
                <w:rFonts w:ascii="Cambria" w:eastAsia="Cambria" w:hAnsi="Cambria" w:cs="Cambria"/>
              </w:rPr>
              <w:t>6.3</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4.7</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1.6</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1.0</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0.5</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5</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0.08</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1.9664</w:t>
            </w:r>
          </w:p>
        </w:tc>
        <w:tc>
          <w:tcPr>
            <w:tcW w:w="56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21"/>
            </w:pPr>
            <w:r>
              <w:rPr>
                <w:rFonts w:ascii="Cambria" w:eastAsia="Cambria" w:hAnsi="Cambria" w:cs="Cambria"/>
              </w:rPr>
              <w:t>2.5</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1.9</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0.6</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0.4</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0.2</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21</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0.039</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4.0274</w:t>
            </w:r>
          </w:p>
        </w:tc>
        <w:tc>
          <w:tcPr>
            <w:tcW w:w="56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21"/>
            </w:pPr>
            <w:r>
              <w:rPr>
                <w:rFonts w:ascii="Cambria" w:eastAsia="Cambria" w:hAnsi="Cambria" w:cs="Cambria"/>
              </w:rPr>
              <w:t>1.1</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0.9</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0.3</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0.2</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0.1</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63</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0.0227</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6.9639</w:t>
            </w:r>
          </w:p>
        </w:tc>
        <w:tc>
          <w:tcPr>
            <w:tcW w:w="56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21"/>
            </w:pPr>
            <w:r>
              <w:rPr>
                <w:rFonts w:ascii="Cambria" w:eastAsia="Cambria" w:hAnsi="Cambria" w:cs="Cambria"/>
              </w:rPr>
              <w:t>0.7</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0.5</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0.2</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0.1</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126</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0.0160</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9.8236</w:t>
            </w:r>
          </w:p>
        </w:tc>
        <w:tc>
          <w:tcPr>
            <w:tcW w:w="56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21"/>
            </w:pPr>
            <w:r>
              <w:rPr>
                <w:rFonts w:ascii="Cambria" w:eastAsia="Cambria" w:hAnsi="Cambria" w:cs="Cambria"/>
              </w:rPr>
              <w:t>0.5</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0.4</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0.1</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0.1</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252</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0.0113</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13.823</w:t>
            </w:r>
          </w:p>
        </w:tc>
        <w:tc>
          <w:tcPr>
            <w:tcW w:w="56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21"/>
            </w:pPr>
            <w:r>
              <w:rPr>
                <w:rFonts w:ascii="Cambria" w:eastAsia="Cambria" w:hAnsi="Cambria" w:cs="Cambria"/>
              </w:rPr>
              <w:t>0.3</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0.2</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378</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0.009</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16.844</w:t>
            </w:r>
          </w:p>
        </w:tc>
        <w:tc>
          <w:tcPr>
            <w:tcW w:w="56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21"/>
            </w:pPr>
            <w:r>
              <w:rPr>
                <w:rFonts w:ascii="Cambria" w:eastAsia="Cambria" w:hAnsi="Cambria" w:cs="Cambria"/>
              </w:rPr>
              <w:t>0.3</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0.2</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504</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0.0079</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19.352</w:t>
            </w:r>
          </w:p>
        </w:tc>
        <w:tc>
          <w:tcPr>
            <w:tcW w:w="56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0.3</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0.2</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0.1</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756</w:t>
            </w:r>
          </w:p>
        </w:tc>
        <w:tc>
          <w:tcPr>
            <w:tcW w:w="110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1"/>
            </w:pPr>
            <w:r>
              <w:rPr>
                <w:rFonts w:ascii="Cambria" w:eastAsia="Cambria" w:hAnsi="Cambria" w:cs="Cambria"/>
                <w:b/>
              </w:rPr>
              <w:t>0.0063</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23.465</w:t>
            </w:r>
          </w:p>
        </w:tc>
        <w:tc>
          <w:tcPr>
            <w:tcW w:w="56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21"/>
            </w:pPr>
            <w:r>
              <w:rPr>
                <w:rFonts w:ascii="Cambria" w:eastAsia="Cambria" w:hAnsi="Cambria" w:cs="Cambria"/>
              </w:rPr>
              <w:t>0.2</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0.1</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1.0</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0.0</w:t>
            </w:r>
          </w:p>
        </w:tc>
      </w:tr>
    </w:tbl>
    <w:p w:rsidR="00EE13F6" w:rsidRDefault="002E5BC4">
      <w:pPr>
        <w:spacing w:after="276" w:line="261" w:lineRule="auto"/>
        <w:ind w:left="752" w:right="468" w:hanging="767"/>
        <w:jc w:val="both"/>
      </w:pPr>
      <w:r>
        <w:rPr>
          <w:rFonts w:ascii="Cambria" w:eastAsia="Cambria" w:hAnsi="Cambria" w:cs="Cambria"/>
          <w:b/>
        </w:rPr>
        <w:t>3.3.4 The Additional Impact of the FTT Tax at 0.01 percent on the Bid-Ask Spread for Derivatives Products</w:t>
      </w:r>
    </w:p>
    <w:p w:rsidR="00EE13F6" w:rsidRDefault="002E5BC4">
      <w:pPr>
        <w:spacing w:after="133" w:line="264" w:lineRule="auto"/>
        <w:ind w:left="19" w:right="477" w:hanging="10"/>
        <w:jc w:val="both"/>
      </w:pPr>
      <w:r>
        <w:rPr>
          <w:rFonts w:ascii="Cambria" w:eastAsia="Cambria" w:hAnsi="Cambria" w:cs="Cambria"/>
        </w:rPr>
        <w:t>We consider the impact of the FTT tax at 0.01 percent of the notional value of derivative contracts on the bid-ask spread quoted by the cash equity op</w:t>
      </w:r>
      <w:r>
        <w:rPr>
          <w:rFonts w:ascii="Cambria" w:eastAsia="Cambria" w:hAnsi="Cambria" w:cs="Cambria"/>
        </w:rPr>
        <w:t>tion market-makers. This tax will not affect the mid reservation price and then the volatility in a highly liquid cash or futures option equity market</w:t>
      </w:r>
    </w:p>
    <w:p w:rsidR="00EE13F6" w:rsidRDefault="002E5BC4">
      <w:pPr>
        <w:spacing w:after="133" w:line="264" w:lineRule="auto"/>
        <w:ind w:left="19" w:right="477" w:hanging="10"/>
        <w:jc w:val="both"/>
      </w:pPr>
      <w:r>
        <w:rPr>
          <w:rFonts w:ascii="Cambria" w:eastAsia="Cambria" w:hAnsi="Cambria" w:cs="Cambria"/>
        </w:rPr>
        <w:t xml:space="preserve">There ares several reasons, why this tax should not affect practically the bid-ask spreads quoted by the </w:t>
      </w:r>
      <w:r>
        <w:rPr>
          <w:rFonts w:ascii="Cambria" w:eastAsia="Cambria" w:hAnsi="Cambria" w:cs="Cambria"/>
        </w:rPr>
        <w:t>market-makers in highly liquid cash equity option markets. We think that while its initial ex-ante impact on the bid-ask spread is 2 b.p of the notional value of the contract, its final impact will be lessened for the following reasons:</w:t>
      </w:r>
    </w:p>
    <w:p w:rsidR="00EE13F6" w:rsidRDefault="002E5BC4" w:rsidP="002E5BC4">
      <w:pPr>
        <w:numPr>
          <w:ilvl w:val="0"/>
          <w:numId w:val="20"/>
        </w:numPr>
        <w:spacing w:after="133" w:line="264" w:lineRule="auto"/>
        <w:ind w:right="477" w:hanging="10"/>
        <w:jc w:val="both"/>
      </w:pPr>
      <w:r>
        <w:rPr>
          <w:rFonts w:ascii="Cambria" w:eastAsia="Cambria" w:hAnsi="Cambria" w:cs="Cambria"/>
        </w:rPr>
        <w:t>Under the monopolis</w:t>
      </w:r>
      <w:r>
        <w:rPr>
          <w:rFonts w:ascii="Cambria" w:eastAsia="Cambria" w:hAnsi="Cambria" w:cs="Cambria"/>
        </w:rPr>
        <w:t>tic business model prevailing for market makers, an excise tax is partiallypassed through to the market to consumers, usually 50 percent (See as for example, Chamberlin (1949)). In our case, this means that only 1 b.p would be passed trough to the market.</w:t>
      </w:r>
    </w:p>
    <w:p w:rsidR="00EE13F6" w:rsidRDefault="002E5BC4" w:rsidP="002E5BC4">
      <w:pPr>
        <w:numPr>
          <w:ilvl w:val="0"/>
          <w:numId w:val="20"/>
        </w:numPr>
        <w:spacing w:after="133" w:line="264" w:lineRule="auto"/>
        <w:ind w:right="477" w:hanging="10"/>
        <w:jc w:val="both"/>
      </w:pPr>
      <w:r>
        <w:rPr>
          <w:rFonts w:ascii="Cambria" w:eastAsia="Cambria" w:hAnsi="Cambria" w:cs="Cambria"/>
        </w:rPr>
        <w:lastRenderedPageBreak/>
        <w:t>The increase in volumes traded on options, and the ”liquidity begets liquidity” effect optiondiscussed in paragraph 3, should increase the liquidity and the market depth and allow for in fact a reduction of the bid-ask spread for Delta one products and con</w:t>
      </w:r>
      <w:r>
        <w:rPr>
          <w:rFonts w:ascii="Cambria" w:eastAsia="Cambria" w:hAnsi="Cambria" w:cs="Cambria"/>
        </w:rPr>
        <w:t>sequently synthetic stocks.</w:t>
      </w:r>
    </w:p>
    <w:p w:rsidR="00EE13F6" w:rsidRDefault="002E5BC4">
      <w:pPr>
        <w:spacing w:after="164" w:line="264" w:lineRule="auto"/>
        <w:ind w:left="19" w:right="477" w:hanging="10"/>
        <w:jc w:val="both"/>
      </w:pPr>
      <w:r>
        <w:rPr>
          <w:rFonts w:ascii="Cambria" w:eastAsia="Cambria" w:hAnsi="Cambria" w:cs="Cambria"/>
        </w:rPr>
        <w:t>For instance, let’s consider a 5 days synthetic option based on two equity futures options based upon a position consisting of a long Call and short Put position. We assume that the horizon of the market-maker is 0.25 days. According to Table 7, the increa</w:t>
      </w:r>
      <w:r>
        <w:rPr>
          <w:rFonts w:ascii="Cambria" w:eastAsia="Cambria" w:hAnsi="Cambria" w:cs="Cambria"/>
        </w:rPr>
        <w:t>se in the bid-ask spread due to hedging costs amounts to 1.4 b.p whereas the impact of the FTT is 2 b.p leading to a total impact of 3.4 b.p o the bid-ask spread.</w:t>
      </w:r>
    </w:p>
    <w:p w:rsidR="00EE13F6" w:rsidRDefault="002E5BC4">
      <w:pPr>
        <w:spacing w:after="169" w:line="264" w:lineRule="auto"/>
        <w:ind w:left="19" w:right="477" w:hanging="10"/>
        <w:jc w:val="both"/>
      </w:pPr>
      <w:r>
        <w:rPr>
          <w:rFonts w:ascii="Cambria" w:eastAsia="Cambria" w:hAnsi="Cambria" w:cs="Cambria"/>
        </w:rPr>
        <w:t>This additional bid-ask spread (</w:t>
      </w:r>
      <w:r>
        <w:rPr>
          <w:rFonts w:ascii="Cambria" w:eastAsia="Cambria" w:hAnsi="Cambria" w:cs="Cambria"/>
          <w:i/>
        </w:rPr>
        <w:t>S</w:t>
      </w:r>
      <w:r>
        <w:rPr>
          <w:rFonts w:ascii="Cambria" w:eastAsia="Cambria" w:hAnsi="Cambria" w:cs="Cambria"/>
          <w:vertAlign w:val="subscript"/>
        </w:rPr>
        <w:t xml:space="preserve">0 </w:t>
      </w:r>
      <w:r>
        <w:rPr>
          <w:rFonts w:ascii="Cambria" w:eastAsia="Cambria" w:hAnsi="Cambria" w:cs="Cambria"/>
        </w:rPr>
        <w:t xml:space="preserve">= </w:t>
      </w:r>
      <w:r>
        <w:rPr>
          <w:rFonts w:ascii="Cambria" w:eastAsia="Cambria" w:hAnsi="Cambria" w:cs="Cambria"/>
          <w:i/>
        </w:rPr>
        <w:t xml:space="preserve">K </w:t>
      </w:r>
      <w:r>
        <w:rPr>
          <w:rFonts w:ascii="Cambria" w:eastAsia="Cambria" w:hAnsi="Cambria" w:cs="Cambria"/>
        </w:rPr>
        <w:t xml:space="preserve">= 100 ; </w:t>
      </w:r>
      <w:r>
        <w:rPr>
          <w:rFonts w:ascii="Cambria" w:eastAsia="Cambria" w:hAnsi="Cambria" w:cs="Cambria"/>
          <w:i/>
        </w:rPr>
        <w:t xml:space="preserve">σ </w:t>
      </w:r>
      <w:r>
        <w:rPr>
          <w:rFonts w:ascii="Cambria" w:eastAsia="Cambria" w:hAnsi="Cambria" w:cs="Cambria"/>
        </w:rPr>
        <w:t>= 0</w:t>
      </w:r>
      <w:r>
        <w:rPr>
          <w:rFonts w:ascii="Cambria" w:eastAsia="Cambria" w:hAnsi="Cambria" w:cs="Cambria"/>
          <w:i/>
        </w:rPr>
        <w:t>.</w:t>
      </w:r>
      <w:r>
        <w:rPr>
          <w:rFonts w:ascii="Cambria" w:eastAsia="Cambria" w:hAnsi="Cambria" w:cs="Cambria"/>
        </w:rPr>
        <w:t>35; Γ = 0</w:t>
      </w:r>
      <w:r>
        <w:rPr>
          <w:rFonts w:ascii="Cambria" w:eastAsia="Cambria" w:hAnsi="Cambria" w:cs="Cambria"/>
          <w:i/>
        </w:rPr>
        <w:t>,</w:t>
      </w:r>
      <w:r>
        <w:rPr>
          <w:rFonts w:ascii="Cambria" w:eastAsia="Cambria" w:hAnsi="Cambria" w:cs="Cambria"/>
        </w:rPr>
        <w:t xml:space="preserve">080863587 will be offset by a </w:t>
      </w:r>
      <w:r>
        <w:rPr>
          <w:rFonts w:ascii="Cambria" w:eastAsia="Cambria" w:hAnsi="Cambria" w:cs="Cambria"/>
        </w:rPr>
        <w:t>reduction of approximately 0.9 days of the average time to unwind the position in the market. This is equivalent to an increase of roughly one third of the volumes.</w:t>
      </w:r>
    </w:p>
    <w:p w:rsidR="00EE13F6" w:rsidRDefault="002E5BC4">
      <w:pPr>
        <w:spacing w:after="133" w:line="264" w:lineRule="auto"/>
        <w:ind w:left="19" w:right="477" w:hanging="10"/>
        <w:jc w:val="both"/>
      </w:pPr>
      <w:r>
        <w:rPr>
          <w:rFonts w:ascii="Cambria" w:eastAsia="Cambria" w:hAnsi="Cambria" w:cs="Cambria"/>
          <w:b/>
        </w:rPr>
        <w:t xml:space="preserve">Proof: </w:t>
      </w:r>
      <w:r>
        <w:rPr>
          <w:rFonts w:ascii="Cambria" w:eastAsia="Cambria" w:hAnsi="Cambria" w:cs="Cambria"/>
        </w:rPr>
        <w:t>we can try to compute what is the implicit value of ∆</w:t>
      </w:r>
      <w:r>
        <w:rPr>
          <w:rFonts w:ascii="Cambria" w:eastAsia="Cambria" w:hAnsi="Cambria" w:cs="Cambria"/>
          <w:i/>
          <w:vertAlign w:val="subscript"/>
        </w:rPr>
        <w:t xml:space="preserve">t </w:t>
      </w:r>
      <w:r>
        <w:rPr>
          <w:rFonts w:ascii="Cambria" w:eastAsia="Cambria" w:hAnsi="Cambria" w:cs="Cambria"/>
        </w:rPr>
        <w:t>in fractional days.</w:t>
      </w:r>
    </w:p>
    <w:p w:rsidR="00EE13F6" w:rsidRDefault="002E5BC4">
      <w:pPr>
        <w:spacing w:after="215"/>
        <w:ind w:left="3695"/>
      </w:pPr>
      <w:r>
        <w:rPr>
          <w:noProof/>
        </w:rPr>
        <w:drawing>
          <wp:inline distT="0" distB="0" distL="0" distR="0">
            <wp:extent cx="1240536" cy="289560"/>
            <wp:effectExtent l="0" t="0" r="0" b="0"/>
            <wp:docPr id="221888" name="Picture 221888"/>
            <wp:cNvGraphicFramePr/>
            <a:graphic xmlns:a="http://schemas.openxmlformats.org/drawingml/2006/main">
              <a:graphicData uri="http://schemas.openxmlformats.org/drawingml/2006/picture">
                <pic:pic xmlns:pic="http://schemas.openxmlformats.org/drawingml/2006/picture">
                  <pic:nvPicPr>
                    <pic:cNvPr id="221888" name="Picture 221888"/>
                    <pic:cNvPicPr/>
                  </pic:nvPicPr>
                  <pic:blipFill>
                    <a:blip r:embed="rId104"/>
                    <a:stretch>
                      <a:fillRect/>
                    </a:stretch>
                  </pic:blipFill>
                  <pic:spPr>
                    <a:xfrm>
                      <a:off x="0" y="0"/>
                      <a:ext cx="1240536" cy="289560"/>
                    </a:xfrm>
                    <a:prstGeom prst="rect">
                      <a:avLst/>
                    </a:prstGeom>
                  </pic:spPr>
                </pic:pic>
              </a:graphicData>
            </a:graphic>
          </wp:inline>
        </w:drawing>
      </w:r>
    </w:p>
    <w:p w:rsidR="00EE13F6" w:rsidRDefault="002E5BC4">
      <w:pPr>
        <w:spacing w:after="0" w:line="264" w:lineRule="auto"/>
        <w:ind w:left="19" w:right="477" w:hanging="10"/>
        <w:jc w:val="both"/>
      </w:pPr>
      <w:r>
        <w:rPr>
          <w:rFonts w:ascii="Cambria" w:eastAsia="Cambria" w:hAnsi="Cambria" w:cs="Cambria"/>
        </w:rPr>
        <w:t>implies</w:t>
      </w:r>
      <w:r>
        <w:rPr>
          <w:rFonts w:ascii="Cambria" w:eastAsia="Cambria" w:hAnsi="Cambria" w:cs="Cambria"/>
        </w:rPr>
        <w:t xml:space="preserve"> that</w:t>
      </w:r>
    </w:p>
    <w:p w:rsidR="00EE13F6" w:rsidRDefault="002E5BC4">
      <w:pPr>
        <w:spacing w:after="225"/>
        <w:ind w:left="3628"/>
      </w:pPr>
      <w:r>
        <w:rPr>
          <w:noProof/>
        </w:rPr>
        <w:drawing>
          <wp:inline distT="0" distB="0" distL="0" distR="0">
            <wp:extent cx="1322832" cy="307848"/>
            <wp:effectExtent l="0" t="0" r="0" b="0"/>
            <wp:docPr id="221889" name="Picture 221889"/>
            <wp:cNvGraphicFramePr/>
            <a:graphic xmlns:a="http://schemas.openxmlformats.org/drawingml/2006/main">
              <a:graphicData uri="http://schemas.openxmlformats.org/drawingml/2006/picture">
                <pic:pic xmlns:pic="http://schemas.openxmlformats.org/drawingml/2006/picture">
                  <pic:nvPicPr>
                    <pic:cNvPr id="221889" name="Picture 221889"/>
                    <pic:cNvPicPr/>
                  </pic:nvPicPr>
                  <pic:blipFill>
                    <a:blip r:embed="rId105"/>
                    <a:stretch>
                      <a:fillRect/>
                    </a:stretch>
                  </pic:blipFill>
                  <pic:spPr>
                    <a:xfrm>
                      <a:off x="0" y="0"/>
                      <a:ext cx="1322832" cy="307848"/>
                    </a:xfrm>
                    <a:prstGeom prst="rect">
                      <a:avLst/>
                    </a:prstGeom>
                  </pic:spPr>
                </pic:pic>
              </a:graphicData>
            </a:graphic>
          </wp:inline>
        </w:drawing>
      </w:r>
    </w:p>
    <w:p w:rsidR="00EE13F6" w:rsidRDefault="002E5BC4">
      <w:pPr>
        <w:spacing w:after="154" w:line="264" w:lineRule="auto"/>
        <w:ind w:left="19" w:right="477" w:hanging="10"/>
        <w:jc w:val="both"/>
      </w:pPr>
      <w:r>
        <w:rPr>
          <w:rFonts w:ascii="Cambria" w:eastAsia="Cambria" w:hAnsi="Cambria" w:cs="Cambria"/>
        </w:rPr>
        <w:t>∆</w:t>
      </w:r>
      <w:r>
        <w:rPr>
          <w:rFonts w:ascii="Cambria" w:eastAsia="Cambria" w:hAnsi="Cambria" w:cs="Cambria"/>
          <w:i/>
          <w:vertAlign w:val="subscript"/>
        </w:rPr>
        <w:t xml:space="preserve">t </w:t>
      </w:r>
      <w:r>
        <w:rPr>
          <w:rFonts w:ascii="Cambria" w:eastAsia="Cambria" w:hAnsi="Cambria" w:cs="Cambria"/>
        </w:rPr>
        <w:t>= 0</w:t>
      </w:r>
      <w:r>
        <w:rPr>
          <w:rFonts w:ascii="Cambria" w:eastAsia="Cambria" w:hAnsi="Cambria" w:cs="Cambria"/>
          <w:i/>
        </w:rPr>
        <w:t>,</w:t>
      </w:r>
      <w:r>
        <w:rPr>
          <w:rFonts w:ascii="Cambria" w:eastAsia="Cambria" w:hAnsi="Cambria" w:cs="Cambria"/>
        </w:rPr>
        <w:t>00012634 =0</w:t>
      </w:r>
      <w:r>
        <w:rPr>
          <w:rFonts w:ascii="Cambria" w:eastAsia="Cambria" w:hAnsi="Cambria" w:cs="Cambria"/>
          <w:i/>
        </w:rPr>
        <w:t>,</w:t>
      </w:r>
      <w:r>
        <w:rPr>
          <w:rFonts w:ascii="Cambria" w:eastAsia="Cambria" w:hAnsi="Cambria" w:cs="Cambria"/>
        </w:rPr>
        <w:t>03183671 Day.</w:t>
      </w:r>
    </w:p>
    <w:p w:rsidR="00EE13F6" w:rsidRDefault="002E5BC4">
      <w:pPr>
        <w:spacing w:after="133" w:line="264" w:lineRule="auto"/>
        <w:ind w:left="19" w:right="477" w:hanging="10"/>
        <w:jc w:val="both"/>
      </w:pPr>
      <w:r>
        <w:rPr>
          <w:rFonts w:ascii="Cambria" w:eastAsia="Cambria" w:hAnsi="Cambria" w:cs="Cambria"/>
        </w:rPr>
        <w:t>Consequently, a reduction of 2 b.p would require that the time to unwind is reduced by approximately 0.03 days. This reduction can be realized by an increase in traded volumes for the one day option as it can be see</w:t>
      </w:r>
      <w:r>
        <w:rPr>
          <w:rFonts w:ascii="Cambria" w:eastAsia="Cambria" w:hAnsi="Cambria" w:cs="Cambria"/>
        </w:rPr>
        <w:t>n through the following consideration:</w:t>
      </w:r>
    </w:p>
    <w:p w:rsidR="00EE13F6" w:rsidRDefault="002E5BC4">
      <w:pPr>
        <w:spacing w:after="69" w:line="264" w:lineRule="auto"/>
        <w:ind w:left="19" w:right="477" w:hanging="10"/>
        <w:jc w:val="both"/>
      </w:pPr>
      <w:r>
        <w:rPr>
          <w:rFonts w:ascii="Cambria" w:eastAsia="Cambria" w:hAnsi="Cambria" w:cs="Cambria"/>
        </w:rPr>
        <w:t>For a quote size of x, if we consider that a good ”estimation” of ∆</w:t>
      </w:r>
      <w:r>
        <w:rPr>
          <w:rFonts w:ascii="Cambria" w:eastAsia="Cambria" w:hAnsi="Cambria" w:cs="Cambria"/>
          <w:i/>
          <w:vertAlign w:val="subscript"/>
        </w:rPr>
        <w:t xml:space="preserve">t </w:t>
      </w:r>
      <w:r>
        <w:rPr>
          <w:rFonts w:ascii="Cambria" w:eastAsia="Cambria" w:hAnsi="Cambria" w:cs="Cambria"/>
        </w:rPr>
        <w:t>could be:</w:t>
      </w:r>
    </w:p>
    <w:p w:rsidR="00EE13F6" w:rsidRDefault="002E5BC4">
      <w:pPr>
        <w:spacing w:after="137"/>
        <w:ind w:left="4183"/>
      </w:pPr>
      <w:r>
        <w:rPr>
          <w:noProof/>
        </w:rPr>
        <w:drawing>
          <wp:inline distT="0" distB="0" distL="0" distR="0">
            <wp:extent cx="615696" cy="289560"/>
            <wp:effectExtent l="0" t="0" r="0" b="0"/>
            <wp:docPr id="221890" name="Picture 221890"/>
            <wp:cNvGraphicFramePr/>
            <a:graphic xmlns:a="http://schemas.openxmlformats.org/drawingml/2006/main">
              <a:graphicData uri="http://schemas.openxmlformats.org/drawingml/2006/picture">
                <pic:pic xmlns:pic="http://schemas.openxmlformats.org/drawingml/2006/picture">
                  <pic:nvPicPr>
                    <pic:cNvPr id="221890" name="Picture 221890"/>
                    <pic:cNvPicPr/>
                  </pic:nvPicPr>
                  <pic:blipFill>
                    <a:blip r:embed="rId106"/>
                    <a:stretch>
                      <a:fillRect/>
                    </a:stretch>
                  </pic:blipFill>
                  <pic:spPr>
                    <a:xfrm>
                      <a:off x="0" y="0"/>
                      <a:ext cx="615696" cy="289560"/>
                    </a:xfrm>
                    <a:prstGeom prst="rect">
                      <a:avLst/>
                    </a:prstGeom>
                  </pic:spPr>
                </pic:pic>
              </a:graphicData>
            </a:graphic>
          </wp:inline>
        </w:drawing>
      </w:r>
    </w:p>
    <w:p w:rsidR="00EE13F6" w:rsidRDefault="002E5BC4">
      <w:pPr>
        <w:spacing w:after="283" w:line="264" w:lineRule="auto"/>
        <w:ind w:left="19" w:right="477" w:hanging="10"/>
        <w:jc w:val="both"/>
      </w:pPr>
      <w:r>
        <w:rPr>
          <w:rFonts w:ascii="Cambria" w:eastAsia="Cambria" w:hAnsi="Cambria" w:cs="Cambria"/>
        </w:rPr>
        <w:t>then using equation (10)</w:t>
      </w:r>
    </w:p>
    <w:p w:rsidR="00EE13F6" w:rsidRDefault="002E5BC4">
      <w:pPr>
        <w:tabs>
          <w:tab w:val="center" w:pos="4680"/>
          <w:tab w:val="center" w:pos="9166"/>
        </w:tabs>
        <w:spacing w:after="42" w:line="265" w:lineRule="auto"/>
      </w:pPr>
      <w:r>
        <w:tab/>
      </w:r>
      <w:r>
        <w:rPr>
          <w:noProof/>
        </w:rPr>
        <w:drawing>
          <wp:inline distT="0" distB="0" distL="0" distR="0">
            <wp:extent cx="1216152" cy="256032"/>
            <wp:effectExtent l="0" t="0" r="0" b="0"/>
            <wp:docPr id="221891" name="Picture 221891"/>
            <wp:cNvGraphicFramePr/>
            <a:graphic xmlns:a="http://schemas.openxmlformats.org/drawingml/2006/main">
              <a:graphicData uri="http://schemas.openxmlformats.org/drawingml/2006/picture">
                <pic:pic xmlns:pic="http://schemas.openxmlformats.org/drawingml/2006/picture">
                  <pic:nvPicPr>
                    <pic:cNvPr id="221891" name="Picture 221891"/>
                    <pic:cNvPicPr/>
                  </pic:nvPicPr>
                  <pic:blipFill>
                    <a:blip r:embed="rId107"/>
                    <a:stretch>
                      <a:fillRect/>
                    </a:stretch>
                  </pic:blipFill>
                  <pic:spPr>
                    <a:xfrm>
                      <a:off x="0" y="0"/>
                      <a:ext cx="1216152" cy="256032"/>
                    </a:xfrm>
                    <a:prstGeom prst="rect">
                      <a:avLst/>
                    </a:prstGeom>
                  </pic:spPr>
                </pic:pic>
              </a:graphicData>
            </a:graphic>
          </wp:inline>
        </w:drawing>
      </w:r>
      <w:r>
        <w:rPr>
          <w:rFonts w:ascii="Cambria" w:eastAsia="Cambria" w:hAnsi="Cambria" w:cs="Cambria"/>
        </w:rPr>
        <w:t>)</w:t>
      </w:r>
      <w:r>
        <w:rPr>
          <w:rFonts w:ascii="Cambria" w:eastAsia="Cambria" w:hAnsi="Cambria" w:cs="Cambria"/>
        </w:rPr>
        <w:tab/>
        <w:t>(41)</w:t>
      </w:r>
    </w:p>
    <w:p w:rsidR="00EE13F6" w:rsidRDefault="002E5BC4">
      <w:pPr>
        <w:spacing w:after="298" w:line="264" w:lineRule="auto"/>
        <w:ind w:left="19" w:right="477" w:hanging="10"/>
        <w:jc w:val="both"/>
      </w:pPr>
      <w:r>
        <w:rPr>
          <w:rFonts w:ascii="Cambria" w:eastAsia="Cambria" w:hAnsi="Cambria" w:cs="Cambria"/>
        </w:rPr>
        <w:t xml:space="preserve">which further simplifies, (because the frequency is computed by dividing the average volume </w:t>
      </w:r>
      <w:r>
        <w:rPr>
          <w:rFonts w:ascii="Cambria" w:eastAsia="Cambria" w:hAnsi="Cambria" w:cs="Cambria"/>
          <w:i/>
        </w:rPr>
        <w:t>V</w:t>
      </w:r>
      <w:r>
        <w:rPr>
          <w:rFonts w:ascii="Cambria" w:eastAsia="Cambria" w:hAnsi="Cambria" w:cs="Cambria"/>
          <w:vertAlign w:val="subscript"/>
        </w:rPr>
        <w:t xml:space="preserve">0 </w:t>
      </w:r>
      <w:r>
        <w:rPr>
          <w:rFonts w:ascii="Cambria" w:eastAsia="Cambria" w:hAnsi="Cambria" w:cs="Cambria"/>
        </w:rPr>
        <w:t>by the average size) into:</w:t>
      </w:r>
    </w:p>
    <w:p w:rsidR="00EE13F6" w:rsidRDefault="002E5BC4">
      <w:pPr>
        <w:tabs>
          <w:tab w:val="center" w:pos="4680"/>
          <w:tab w:val="center" w:pos="9166"/>
        </w:tabs>
        <w:spacing w:after="159" w:line="265" w:lineRule="auto"/>
      </w:pPr>
      <w:r>
        <w:tab/>
      </w:r>
      <w:r>
        <w:rPr>
          <w:noProof/>
        </w:rPr>
        <w:drawing>
          <wp:inline distT="0" distB="0" distL="0" distR="0">
            <wp:extent cx="1191768" cy="277368"/>
            <wp:effectExtent l="0" t="0" r="0" b="0"/>
            <wp:docPr id="221892" name="Picture 221892"/>
            <wp:cNvGraphicFramePr/>
            <a:graphic xmlns:a="http://schemas.openxmlformats.org/drawingml/2006/main">
              <a:graphicData uri="http://schemas.openxmlformats.org/drawingml/2006/picture">
                <pic:pic xmlns:pic="http://schemas.openxmlformats.org/drawingml/2006/picture">
                  <pic:nvPicPr>
                    <pic:cNvPr id="221892" name="Picture 221892"/>
                    <pic:cNvPicPr/>
                  </pic:nvPicPr>
                  <pic:blipFill>
                    <a:blip r:embed="rId108"/>
                    <a:stretch>
                      <a:fillRect/>
                    </a:stretch>
                  </pic:blipFill>
                  <pic:spPr>
                    <a:xfrm>
                      <a:off x="0" y="0"/>
                      <a:ext cx="1191768" cy="277368"/>
                    </a:xfrm>
                    <a:prstGeom prst="rect">
                      <a:avLst/>
                    </a:prstGeom>
                  </pic:spPr>
                </pic:pic>
              </a:graphicData>
            </a:graphic>
          </wp:inline>
        </w:drawing>
      </w:r>
      <w:r>
        <w:rPr>
          <w:rFonts w:ascii="Cambria" w:eastAsia="Cambria" w:hAnsi="Cambria" w:cs="Cambria"/>
        </w:rPr>
        <w:t>)</w:t>
      </w:r>
      <w:r>
        <w:rPr>
          <w:rFonts w:ascii="Cambria" w:eastAsia="Cambria" w:hAnsi="Cambria" w:cs="Cambria"/>
        </w:rPr>
        <w:tab/>
        <w:t>(42)</w:t>
      </w:r>
    </w:p>
    <w:p w:rsidR="00EE13F6" w:rsidRDefault="002E5BC4">
      <w:pPr>
        <w:spacing w:after="133" w:line="264" w:lineRule="auto"/>
        <w:ind w:left="19" w:right="477" w:hanging="10"/>
        <w:jc w:val="both"/>
      </w:pPr>
      <w:r>
        <w:rPr>
          <w:rFonts w:ascii="Cambria" w:eastAsia="Cambria" w:hAnsi="Cambria" w:cs="Cambria"/>
        </w:rPr>
        <w:t>The above expression constitutes a possible ”proxy” (as it is obviously relies on several approximations).</w:t>
      </w:r>
    </w:p>
    <w:p w:rsidR="00EE13F6" w:rsidRDefault="002E5BC4" w:rsidP="002E5BC4">
      <w:pPr>
        <w:numPr>
          <w:ilvl w:val="0"/>
          <w:numId w:val="21"/>
        </w:numPr>
        <w:spacing w:after="133" w:line="264" w:lineRule="auto"/>
        <w:ind w:right="477" w:hanging="10"/>
        <w:jc w:val="both"/>
      </w:pPr>
      <w:r>
        <w:rPr>
          <w:rFonts w:ascii="Cambria" w:eastAsia="Cambria" w:hAnsi="Cambria" w:cs="Cambria"/>
        </w:rPr>
        <w:t>Today, internal deals within big institutions having several desks such as cash equity, delta one,and options are</w:t>
      </w:r>
      <w:r>
        <w:rPr>
          <w:rFonts w:ascii="Cambria" w:eastAsia="Cambria" w:hAnsi="Cambria" w:cs="Cambria"/>
        </w:rPr>
        <w:t xml:space="preserve"> done at market price, with a bid-ask spread applied to transactions. By doing so, various desks get internal pricing which is competitive when compared to the market. A possible response to the introduction of the FTT, is that such institutions will merge</w:t>
      </w:r>
      <w:r>
        <w:rPr>
          <w:rFonts w:ascii="Cambria" w:eastAsia="Cambria" w:hAnsi="Cambria" w:cs="Cambria"/>
        </w:rPr>
        <w:t xml:space="preserve"> their cash equity, delta one and option desks in one ”combined” desk, or allow internal transactions to be done at mid-price. Consequently, they will be able to reduce the transaction costs attached to the bid-ask spread.</w:t>
      </w:r>
    </w:p>
    <w:p w:rsidR="00EE13F6" w:rsidRDefault="002E5BC4">
      <w:pPr>
        <w:spacing w:after="133" w:line="264" w:lineRule="auto"/>
        <w:ind w:left="19" w:right="477" w:hanging="10"/>
        <w:jc w:val="both"/>
      </w:pPr>
      <w:r>
        <w:rPr>
          <w:rFonts w:ascii="Cambria" w:eastAsia="Cambria" w:hAnsi="Cambria" w:cs="Cambria"/>
        </w:rPr>
        <w:lastRenderedPageBreak/>
        <w:t>In markets where the bid-ask spre</w:t>
      </w:r>
      <w:r>
        <w:rPr>
          <w:rFonts w:ascii="Cambria" w:eastAsia="Cambria" w:hAnsi="Cambria" w:cs="Cambria"/>
        </w:rPr>
        <w:t>ad is 2 b.p on the cash, we can see that Desks using this rule and switching to Futures instead of cash for hedging would be able to nearly offset the additional tax on option transactions whose roundtrip is also 2 b.p. This would come at a price of a redu</w:t>
      </w:r>
      <w:r>
        <w:rPr>
          <w:rFonts w:ascii="Cambria" w:eastAsia="Cambria" w:hAnsi="Cambria" w:cs="Cambria"/>
        </w:rPr>
        <w:t>ction of the profitability of those desks, which would price at ”cost basis” the internal trades, in order to stay competitive on the external trades, on the combined desk.</w:t>
      </w:r>
    </w:p>
    <w:p w:rsidR="00EE13F6" w:rsidRDefault="002E5BC4">
      <w:pPr>
        <w:spacing w:after="133" w:line="264" w:lineRule="auto"/>
        <w:ind w:left="19" w:right="477" w:hanging="10"/>
        <w:jc w:val="both"/>
      </w:pPr>
      <w:r>
        <w:rPr>
          <w:rFonts w:ascii="Cambria" w:eastAsia="Cambria" w:hAnsi="Cambria" w:cs="Cambria"/>
        </w:rPr>
        <w:t xml:space="preserve">In addition, for large financial institutions, several ”trading desks” can use and </w:t>
      </w:r>
      <w:r>
        <w:rPr>
          <w:rFonts w:ascii="Cambria" w:eastAsia="Cambria" w:hAnsi="Cambria" w:cs="Cambria"/>
        </w:rPr>
        <w:t>reuse the same internal cash or derivatives portfolio for various purposes (lending/borrowing stocks, hedging options, arbitrage) and proceed to internal transfers. Those transfers are FTT free as they occur within the same legal entity. This in turn lower</w:t>
      </w:r>
      <w:r>
        <w:rPr>
          <w:rFonts w:ascii="Cambria" w:eastAsia="Cambria" w:hAnsi="Cambria" w:cs="Cambria"/>
        </w:rPr>
        <w:t>s the transaction costs.</w:t>
      </w:r>
    </w:p>
    <w:p w:rsidR="00EE13F6" w:rsidRDefault="002E5BC4" w:rsidP="002E5BC4">
      <w:pPr>
        <w:numPr>
          <w:ilvl w:val="0"/>
          <w:numId w:val="21"/>
        </w:numPr>
        <w:spacing w:after="0" w:line="262" w:lineRule="auto"/>
        <w:ind w:right="477" w:hanging="10"/>
        <w:jc w:val="both"/>
      </w:pPr>
      <w:r>
        <w:rPr>
          <w:rFonts w:ascii="Cambria" w:eastAsia="Cambria" w:hAnsi="Cambria" w:cs="Cambria"/>
        </w:rPr>
        <w:t>The MIFID regulation requirement on the minimum tick size has been implemented on April1, 2018. The purpose of such regulation is to curb the competition between Exchanges competing to attract business by lowering the tick size and</w:t>
      </w:r>
      <w:r>
        <w:rPr>
          <w:rFonts w:ascii="Cambria" w:eastAsia="Cambria" w:hAnsi="Cambria" w:cs="Cambria"/>
        </w:rPr>
        <w:t xml:space="preserve"> the bid-ask spread for transactions. The complete Grid is detailed in Appendix B. Minimum tick size is set up by underlying share or Exchange</w:t>
      </w:r>
    </w:p>
    <w:p w:rsidR="00EE13F6" w:rsidRDefault="002E5BC4">
      <w:pPr>
        <w:spacing w:after="133" w:line="264" w:lineRule="auto"/>
        <w:ind w:left="19" w:right="477" w:hanging="10"/>
        <w:jc w:val="both"/>
      </w:pPr>
      <w:r>
        <w:rPr>
          <w:rFonts w:ascii="Cambria" w:eastAsia="Cambria" w:hAnsi="Cambria" w:cs="Cambria"/>
        </w:rPr>
        <w:t>Traded Fund (ETF) as a function of the daily trading volume and the price of the stock or the ETF. For liquid sto</w:t>
      </w:r>
      <w:r>
        <w:rPr>
          <w:rFonts w:ascii="Cambria" w:eastAsia="Cambria" w:hAnsi="Cambria" w:cs="Cambria"/>
        </w:rPr>
        <w:t>cks, the minimum tick size is comprised between 1 and 2 b.p depending upon the stock price. Consequently, if we consider a stock whose bid-ask spread is 1 b.p and MIFID imposes a 2 b.p spread, the FTT would be responsible for only 1 b.p of additional bid-a</w:t>
      </w:r>
      <w:r>
        <w:rPr>
          <w:rFonts w:ascii="Cambria" w:eastAsia="Cambria" w:hAnsi="Cambria" w:cs="Cambria"/>
        </w:rPr>
        <w:t>sk spread.</w:t>
      </w:r>
    </w:p>
    <w:p w:rsidR="00EE13F6" w:rsidRDefault="002E5BC4" w:rsidP="002E5BC4">
      <w:pPr>
        <w:numPr>
          <w:ilvl w:val="0"/>
          <w:numId w:val="21"/>
        </w:numPr>
        <w:spacing w:after="585" w:line="264" w:lineRule="auto"/>
        <w:ind w:right="477" w:hanging="10"/>
        <w:jc w:val="both"/>
      </w:pPr>
      <w:r>
        <w:rPr>
          <w:rFonts w:ascii="Cambria" w:eastAsia="Cambria" w:hAnsi="Cambria" w:cs="Cambria"/>
        </w:rPr>
        <w:t>Finally, we expect a reduction in the underlying asset price as evidenced in Chapter III. Theequity share cannot be considered as a pure commodity, and its in fact an instrument whose primary role is to raise capital for corporations. As shown i</w:t>
      </w:r>
      <w:r>
        <w:rPr>
          <w:rFonts w:ascii="Cambria" w:eastAsia="Cambria" w:hAnsi="Cambria" w:cs="Cambria"/>
        </w:rPr>
        <w:t xml:space="preserve">n Chapter III, we should observe an increase in the volumes of shares issued on the primary market as well as a decrease in the equity share price. As the additional transaction costs generated by the FTT are proportional to the share price, any reduction </w:t>
      </w:r>
      <w:r>
        <w:rPr>
          <w:rFonts w:ascii="Cambria" w:eastAsia="Cambria" w:hAnsi="Cambria" w:cs="Cambria"/>
        </w:rPr>
        <w:t>should decrease the final amount of costs and the impact on the bid-ask spread.</w:t>
      </w:r>
    </w:p>
    <w:p w:rsidR="00EE13F6" w:rsidRDefault="002E5BC4">
      <w:pPr>
        <w:pStyle w:val="Heading1"/>
        <w:tabs>
          <w:tab w:val="center" w:pos="1256"/>
        </w:tabs>
        <w:ind w:left="-15" w:firstLine="0"/>
      </w:pPr>
      <w:r>
        <w:t>4</w:t>
      </w:r>
      <w:r>
        <w:tab/>
        <w:t>Conclusion</w:t>
      </w:r>
    </w:p>
    <w:p w:rsidR="00EE13F6" w:rsidRDefault="002E5BC4">
      <w:pPr>
        <w:spacing w:after="133" w:line="264" w:lineRule="auto"/>
        <w:ind w:left="19" w:right="477" w:hanging="10"/>
        <w:jc w:val="both"/>
      </w:pPr>
      <w:r>
        <w:rPr>
          <w:rFonts w:ascii="Cambria" w:eastAsia="Cambria" w:hAnsi="Cambria" w:cs="Cambria"/>
        </w:rPr>
        <w:t>In Section I, we have first explored the impact of the FTT on Implied Volatility using well known results on transaction cost introduced by Leland (1985), Leland et al. (2007) and Boyle and Vorst (1992), for a number of finite re-hedging trades through the</w:t>
      </w:r>
      <w:r>
        <w:rPr>
          <w:rFonts w:ascii="Cambria" w:eastAsia="Cambria" w:hAnsi="Cambria" w:cs="Cambria"/>
        </w:rPr>
        <w:t xml:space="preserve"> life span of the option. We have completed both calculations by an additional volatility correction to accommodate the transactions costs to be borne by the market-maker, in case the European option is exercised at maturity, as well as original costs of b</w:t>
      </w:r>
      <w:r>
        <w:rPr>
          <w:rFonts w:ascii="Cambria" w:eastAsia="Cambria" w:hAnsi="Cambria" w:cs="Cambria"/>
        </w:rPr>
        <w:t>uilding up a replication portfolio of equity shares at inception..</w:t>
      </w:r>
    </w:p>
    <w:p w:rsidR="00EE13F6" w:rsidRDefault="002E5BC4">
      <w:pPr>
        <w:spacing w:after="133" w:line="264" w:lineRule="auto"/>
        <w:ind w:left="19" w:right="477" w:hanging="10"/>
        <w:jc w:val="both"/>
      </w:pPr>
      <w:r>
        <w:rPr>
          <w:rFonts w:ascii="Cambria" w:eastAsia="Cambria" w:hAnsi="Cambria" w:cs="Cambria"/>
        </w:rPr>
        <w:t>We have extended the Leland and Boyle and Vorst ”proxy” calculation for a number of finite re-hedging through the life span of the option, to the Variance swap market and concludes that the</w:t>
      </w:r>
      <w:r>
        <w:rPr>
          <w:rFonts w:ascii="Cambria" w:eastAsia="Cambria" w:hAnsi="Cambria" w:cs="Cambria"/>
        </w:rPr>
        <w:t xml:space="preserve"> correction of the implied volatility to be considered, pursuant to the FTT, applies also on the expected realized variance of the underlying cash equity.</w:t>
      </w:r>
    </w:p>
    <w:p w:rsidR="00EE13F6" w:rsidRDefault="002E5BC4">
      <w:pPr>
        <w:spacing w:after="133" w:line="264" w:lineRule="auto"/>
        <w:ind w:left="19" w:right="477" w:hanging="10"/>
        <w:jc w:val="both"/>
      </w:pPr>
      <w:r>
        <w:rPr>
          <w:rFonts w:ascii="Cambria" w:eastAsia="Cambria" w:hAnsi="Cambria" w:cs="Cambria"/>
        </w:rPr>
        <w:t>Furthermore, we have explored additional impact when the volatility is itself non constant. Such calc</w:t>
      </w:r>
      <w:r>
        <w:rPr>
          <w:rFonts w:ascii="Cambria" w:eastAsia="Cambria" w:hAnsi="Cambria" w:cs="Cambria"/>
        </w:rPr>
        <w:t>ulation requires first the calibration of volatility surface using option market prices then the Monte-Carlo simulation of the path dependent effects. We concluded on a sample of 5 corporate stocks that the impact of including volatility is significant but</w:t>
      </w:r>
      <w:r>
        <w:rPr>
          <w:rFonts w:ascii="Cambria" w:eastAsia="Cambria" w:hAnsi="Cambria" w:cs="Cambria"/>
        </w:rPr>
        <w:t xml:space="preserve"> moderate (between 0.5 and 1.5 vega), and has to be added to the original estimations of both Leland and Boyle and Vorst. Going further, we have decided to keep the assumption of a constant volatility for simplicity sake.</w:t>
      </w:r>
    </w:p>
    <w:p w:rsidR="00EE13F6" w:rsidRDefault="002E5BC4">
      <w:pPr>
        <w:spacing w:after="133" w:line="264" w:lineRule="auto"/>
        <w:ind w:left="19" w:right="477" w:hanging="10"/>
        <w:jc w:val="both"/>
      </w:pPr>
      <w:r>
        <w:rPr>
          <w:rFonts w:ascii="Cambria" w:eastAsia="Cambria" w:hAnsi="Cambria" w:cs="Cambria"/>
        </w:rPr>
        <w:lastRenderedPageBreak/>
        <w:t>We have used a well known result a</w:t>
      </w:r>
      <w:r>
        <w:rPr>
          <w:rFonts w:ascii="Cambria" w:eastAsia="Cambria" w:hAnsi="Cambria" w:cs="Cambria"/>
        </w:rPr>
        <w:t xml:space="preserve">bout the asymmetry between buyers and sellers of options, which favors option buyers to the detriment of option sellers when it comes to transaction costs. This effect is responsible for a theoretical increase in option mid-price and therefore volatility, </w:t>
      </w:r>
      <w:r>
        <w:rPr>
          <w:rFonts w:ascii="Cambria" w:eastAsia="Cambria" w:hAnsi="Cambria" w:cs="Cambria"/>
        </w:rPr>
        <w:t>whose magnitude and significancy have to be further estimated.</w:t>
      </w:r>
    </w:p>
    <w:p w:rsidR="00EE13F6" w:rsidRDefault="002E5BC4">
      <w:pPr>
        <w:spacing w:after="133" w:line="264" w:lineRule="auto"/>
        <w:ind w:left="19" w:right="477" w:hanging="10"/>
        <w:jc w:val="both"/>
      </w:pPr>
      <w:r>
        <w:rPr>
          <w:rFonts w:ascii="Cambria" w:eastAsia="Cambria" w:hAnsi="Cambria" w:cs="Cambria"/>
        </w:rPr>
        <w:t>We find that in option markets with a low liquidity, and where market-makers are structurally short of options, the impact of the FTT on the volatility is going to be positive. A maximal effect</w:t>
      </w:r>
      <w:r>
        <w:rPr>
          <w:rFonts w:ascii="Cambria" w:eastAsia="Cambria" w:hAnsi="Cambria" w:cs="Cambria"/>
        </w:rPr>
        <w:t xml:space="preserve"> will occur in ”insurance type” markets, when market-makers are the only sellers and face agents looking only for hedging and which maintain their positions until the option’s maturity.</w:t>
      </w:r>
    </w:p>
    <w:p w:rsidR="00EE13F6" w:rsidRDefault="002E5BC4">
      <w:pPr>
        <w:spacing w:after="133" w:line="264" w:lineRule="auto"/>
        <w:ind w:left="19" w:right="477" w:hanging="10"/>
        <w:jc w:val="both"/>
      </w:pPr>
      <w:r>
        <w:rPr>
          <w:rFonts w:ascii="Cambria" w:eastAsia="Cambria" w:hAnsi="Cambria" w:cs="Cambria"/>
        </w:rPr>
        <w:t>In Section II, we have considered the liquidity of option markets as a</w:t>
      </w:r>
      <w:r>
        <w:rPr>
          <w:rFonts w:ascii="Cambria" w:eastAsia="Cambria" w:hAnsi="Cambria" w:cs="Cambria"/>
        </w:rPr>
        <w:t xml:space="preserve"> variable explaining the intensity of the FTT impact on implied volatility quoted by either risk neutral or risk adverse market-makers. We have done numerical simulations using a theoretical and hypothetical cash equity option marked. We show that, if the </w:t>
      </w:r>
      <w:r>
        <w:rPr>
          <w:rFonts w:ascii="Cambria" w:eastAsia="Cambria" w:hAnsi="Cambria" w:cs="Cambria"/>
        </w:rPr>
        <w:t>liquidity is sufficient, the FTT would have no tangible impact on the option reservation-price quoted by the risk neutral market-maker. The computed impact, will be within one fraction of an effective quotation unit of the option. Therefore, there should b</w:t>
      </w:r>
      <w:r>
        <w:rPr>
          <w:rFonts w:ascii="Cambria" w:eastAsia="Cambria" w:hAnsi="Cambria" w:cs="Cambria"/>
        </w:rPr>
        <w:t>e no tangible impact, too, on the implied volatility quoted by the market-maker.</w:t>
      </w:r>
    </w:p>
    <w:p w:rsidR="00EE13F6" w:rsidRDefault="002E5BC4">
      <w:pPr>
        <w:spacing w:after="136" w:line="261" w:lineRule="auto"/>
        <w:ind w:left="-5" w:right="468" w:hanging="10"/>
      </w:pPr>
      <w:r>
        <w:rPr>
          <w:rFonts w:ascii="Cambria" w:eastAsia="Cambria" w:hAnsi="Cambria" w:cs="Cambria"/>
        </w:rPr>
        <w:t>Option markets such as Future Indices on the main market or cash equity option markets comparable to Apple’s, or Microsoft’s markets, seem as good candidate in terms of existi</w:t>
      </w:r>
      <w:r>
        <w:rPr>
          <w:rFonts w:ascii="Cambria" w:eastAsia="Cambria" w:hAnsi="Cambria" w:cs="Cambria"/>
        </w:rPr>
        <w:t>ng volumes and liquidity.</w:t>
      </w:r>
    </w:p>
    <w:p w:rsidR="00EE13F6" w:rsidRDefault="002E5BC4">
      <w:pPr>
        <w:spacing w:after="133" w:line="264" w:lineRule="auto"/>
        <w:ind w:left="19" w:right="477" w:hanging="10"/>
        <w:jc w:val="both"/>
      </w:pPr>
      <w:r>
        <w:rPr>
          <w:rFonts w:ascii="Cambria" w:eastAsia="Cambria" w:hAnsi="Cambria" w:cs="Cambria"/>
        </w:rPr>
        <w:t>In Section III, we have conducted comparative statics for the effects of the FTT on the costs of hedging the replication portfolio as well as building this portfolio at option’s inception and liquidating it when the option is unwo</w:t>
      </w:r>
      <w:r>
        <w:rPr>
          <w:rFonts w:ascii="Cambria" w:eastAsia="Cambria" w:hAnsi="Cambria" w:cs="Cambria"/>
        </w:rPr>
        <w:t>und.</w:t>
      </w:r>
    </w:p>
    <w:p w:rsidR="00EE13F6" w:rsidRDefault="002E5BC4">
      <w:pPr>
        <w:spacing w:after="133" w:line="264" w:lineRule="auto"/>
        <w:ind w:left="19" w:right="477" w:hanging="10"/>
        <w:jc w:val="both"/>
      </w:pPr>
      <w:r>
        <w:rPr>
          <w:rFonts w:ascii="Cambria" w:eastAsia="Cambria" w:hAnsi="Cambria" w:cs="Cambria"/>
        </w:rPr>
        <w:t>Our results suggest that the final impact on volatility will depend upon the option market liquidity which will command the magnitude of the impact on the volatility mi-price. Results suggest an inverse relationship between the impact of the FTT and t</w:t>
      </w:r>
      <w:r>
        <w:rPr>
          <w:rFonts w:ascii="Cambria" w:eastAsia="Cambria" w:hAnsi="Cambria" w:cs="Cambria"/>
        </w:rPr>
        <w:t>he option market liquidity prevailing at the time the FTT is introduced.</w:t>
      </w:r>
    </w:p>
    <w:p w:rsidR="00EE13F6" w:rsidRDefault="002E5BC4">
      <w:pPr>
        <w:spacing w:after="133" w:line="264" w:lineRule="auto"/>
        <w:ind w:left="19" w:right="477" w:hanging="10"/>
        <w:jc w:val="both"/>
      </w:pPr>
      <w:r>
        <w:rPr>
          <w:rFonts w:ascii="Cambria" w:eastAsia="Cambria" w:hAnsi="Cambria" w:cs="Cambria"/>
        </w:rPr>
        <w:t>The difference in taxation between cash and derivatives should trigger a ”gravitational pull” for those agents, which should end clustering all in the delta one market. They should sw</w:t>
      </w:r>
      <w:r>
        <w:rPr>
          <w:rFonts w:ascii="Cambria" w:eastAsia="Cambria" w:hAnsi="Cambria" w:cs="Cambria"/>
        </w:rPr>
        <w:t>itch from cash stocks to ”delta one” derivatives products, including synthetic securities. As the latter is built up using a call and a put with the same strike and maturity it should generate a liquidity surge on the option market, most likely first on th</w:t>
      </w:r>
      <w:r>
        <w:rPr>
          <w:rFonts w:ascii="Cambria" w:eastAsia="Cambria" w:hAnsi="Cambria" w:cs="Cambria"/>
        </w:rPr>
        <w:t>e strikes and maturities which are already liquid. Consequently, in existing option markets where the liquidity is sufficient for building up synthetic securities, or where the single stock futures market is already liquid, the liquidity should not decreas</w:t>
      </w:r>
      <w:r>
        <w:rPr>
          <w:rFonts w:ascii="Cambria" w:eastAsia="Cambria" w:hAnsi="Cambria" w:cs="Cambria"/>
        </w:rPr>
        <w:t>e at all and is expected to increase significantly.</w:t>
      </w:r>
    </w:p>
    <w:p w:rsidR="00EE13F6" w:rsidRDefault="002E5BC4">
      <w:pPr>
        <w:spacing w:after="133" w:line="264" w:lineRule="auto"/>
        <w:ind w:left="19" w:right="477" w:hanging="10"/>
        <w:jc w:val="both"/>
      </w:pPr>
      <w:r>
        <w:rPr>
          <w:rFonts w:ascii="Cambria" w:eastAsia="Cambria" w:hAnsi="Cambria" w:cs="Cambria"/>
        </w:rPr>
        <w:t>For the impact of the FTT on the bid-ask spread of derivatives we found that several possible factors such as the flight to derivatives taxed at a lesser rate, as well as a better management of order book</w:t>
      </w:r>
      <w:r>
        <w:rPr>
          <w:rFonts w:ascii="Cambria" w:eastAsia="Cambria" w:hAnsi="Cambria" w:cs="Cambria"/>
        </w:rPr>
        <w:t>s, and also the implementation of MIFID II regulation on minimum tick size, could mitigate the ex-ante impact of 2 b.p of the notional value of the contract on the bid-ask spread, without completely offsetting it.</w:t>
      </w:r>
    </w:p>
    <w:p w:rsidR="00EE13F6" w:rsidRDefault="002E5BC4">
      <w:pPr>
        <w:spacing w:after="133" w:line="264" w:lineRule="auto"/>
        <w:ind w:left="19" w:right="477" w:hanging="10"/>
        <w:jc w:val="both"/>
      </w:pPr>
      <w:r>
        <w:rPr>
          <w:rFonts w:ascii="Cambria" w:eastAsia="Cambria" w:hAnsi="Cambria" w:cs="Cambria"/>
        </w:rPr>
        <w:t>As a consequence, the bid-ask spread on th</w:t>
      </w:r>
      <w:r>
        <w:rPr>
          <w:rFonts w:ascii="Cambria" w:eastAsia="Cambria" w:hAnsi="Cambria" w:cs="Cambria"/>
        </w:rPr>
        <w:t>e derivatives products such as Delta one derivatives (Single Stock Futures, Options, Contract for Difference-CFDs) should increase slightly, purely for tax reasons, in a context where the liquidity should improve very significantly.</w:t>
      </w:r>
    </w:p>
    <w:p w:rsidR="00EE13F6" w:rsidRDefault="002E5BC4">
      <w:pPr>
        <w:pStyle w:val="Heading1"/>
        <w:ind w:left="-15" w:right="142" w:firstLine="0"/>
      </w:pPr>
      <w:r>
        <w:lastRenderedPageBreak/>
        <w:t xml:space="preserve">Appendix A: The Impact </w:t>
      </w:r>
      <w:r>
        <w:t>of the FTT on the Option Demand from Economic Agents Acting as Hedgers</w:t>
      </w:r>
    </w:p>
    <w:p w:rsidR="00EE13F6" w:rsidRDefault="002E5BC4">
      <w:pPr>
        <w:spacing w:after="254" w:line="264" w:lineRule="auto"/>
        <w:ind w:left="19" w:right="477" w:hanging="10"/>
        <w:jc w:val="both"/>
      </w:pPr>
      <w:r>
        <w:rPr>
          <w:rFonts w:ascii="Cambria" w:eastAsia="Cambria" w:hAnsi="Cambria" w:cs="Cambria"/>
        </w:rPr>
        <w:t xml:space="preserve">There are similarities between option pricing and insurance theory. In fact, an option can be seen at first glance as an insurance contract. For instance, a European call option can be </w:t>
      </w:r>
      <w:r>
        <w:rPr>
          <w:rFonts w:ascii="Cambria" w:eastAsia="Cambria" w:hAnsi="Cambria" w:cs="Cambria"/>
        </w:rPr>
        <w:t>seen as an insurance contract against the event of having:</w:t>
      </w:r>
    </w:p>
    <w:p w:rsidR="00EE13F6" w:rsidRDefault="002E5BC4">
      <w:pPr>
        <w:spacing w:after="366" w:line="265" w:lineRule="auto"/>
        <w:ind w:left="167" w:right="655" w:hanging="10"/>
        <w:jc w:val="center"/>
      </w:pP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&gt; K</w:t>
      </w:r>
    </w:p>
    <w:p w:rsidR="00EE13F6" w:rsidRDefault="002E5BC4">
      <w:pPr>
        <w:spacing w:after="133" w:line="264" w:lineRule="auto"/>
        <w:ind w:left="19" w:right="477" w:hanging="10"/>
        <w:jc w:val="both"/>
      </w:pPr>
      <w:r>
        <w:rPr>
          <w:rFonts w:ascii="Cambria" w:eastAsia="Cambria" w:hAnsi="Cambria" w:cs="Cambria"/>
        </w:rPr>
        <w:t>The insurance contract pay-off is the difference between the value reached by the asset at expiration time and the strike price. By the same token, a European put option can be seen as an insurance contract whose pay-off is the difference between the strik</w:t>
      </w:r>
      <w:r>
        <w:rPr>
          <w:rFonts w:ascii="Cambria" w:eastAsia="Cambria" w:hAnsi="Cambria" w:cs="Cambria"/>
        </w:rPr>
        <w:t>e price and the value reached by the underlying asset at expiration time. In both cases, the premium of the option corresponds to the premium of the insurance contract.</w:t>
      </w:r>
    </w:p>
    <w:p w:rsidR="00EE13F6" w:rsidRDefault="002E5BC4">
      <w:pPr>
        <w:spacing w:after="585" w:line="264" w:lineRule="auto"/>
        <w:ind w:left="19" w:right="477" w:hanging="10"/>
        <w:jc w:val="both"/>
      </w:pPr>
      <w:r>
        <w:rPr>
          <w:rFonts w:ascii="Cambria" w:eastAsia="Cambria" w:hAnsi="Cambria" w:cs="Cambria"/>
        </w:rPr>
        <w:t>In fact, we will see below, that both call and put options can be considered as the com</w:t>
      </w:r>
      <w:r>
        <w:rPr>
          <w:rFonts w:ascii="Cambria" w:eastAsia="Cambria" w:hAnsi="Cambria" w:cs="Cambria"/>
        </w:rPr>
        <w:t>bination of two insurance contracts.</w:t>
      </w:r>
    </w:p>
    <w:p w:rsidR="00EE13F6" w:rsidRDefault="002E5BC4">
      <w:pPr>
        <w:pStyle w:val="Heading1"/>
        <w:ind w:left="479" w:right="142"/>
      </w:pPr>
      <w:r>
        <w:t>5</w:t>
      </w:r>
      <w:r>
        <w:tab/>
        <w:t>European Call and Put Equity Options Markets seen as Insurance Exchanges</w:t>
      </w:r>
    </w:p>
    <w:p w:rsidR="00EE13F6" w:rsidRDefault="002E5BC4">
      <w:pPr>
        <w:spacing w:after="448" w:line="264" w:lineRule="auto"/>
        <w:ind w:left="19" w:right="477" w:hanging="10"/>
        <w:jc w:val="both"/>
      </w:pPr>
      <w:r>
        <w:rPr>
          <w:rFonts w:ascii="Cambria" w:eastAsia="Cambria" w:hAnsi="Cambria" w:cs="Cambria"/>
        </w:rPr>
        <w:t xml:space="preserve">According to well-known properties of the Black-Scholes pricing framework, a European call option on an underlying asset </w:t>
      </w:r>
      <w:r>
        <w:rPr>
          <w:rFonts w:ascii="Cambria" w:eastAsia="Cambria" w:hAnsi="Cambria" w:cs="Cambria"/>
          <w:i/>
        </w:rPr>
        <w:t xml:space="preserve">S </w:t>
      </w:r>
      <w:r>
        <w:rPr>
          <w:rFonts w:ascii="Cambria" w:eastAsia="Cambria" w:hAnsi="Cambria" w:cs="Cambria"/>
        </w:rPr>
        <w:t>whose spot value at t</w:t>
      </w:r>
      <w:r>
        <w:rPr>
          <w:rFonts w:ascii="Cambria" w:eastAsia="Cambria" w:hAnsi="Cambria" w:cs="Cambria"/>
        </w:rPr>
        <w:t xml:space="preserve">ime </w:t>
      </w:r>
      <w:r>
        <w:rPr>
          <w:rFonts w:ascii="Cambria" w:eastAsia="Cambria" w:hAnsi="Cambria" w:cs="Cambria"/>
          <w:i/>
        </w:rPr>
        <w:t xml:space="preserve">t </w:t>
      </w:r>
      <w:r>
        <w:rPr>
          <w:rFonts w:ascii="Cambria" w:eastAsia="Cambria" w:hAnsi="Cambria" w:cs="Cambria"/>
        </w:rPr>
        <w:t xml:space="preserve">= 0 is </w:t>
      </w:r>
      <w:r>
        <w:rPr>
          <w:rFonts w:ascii="Cambria" w:eastAsia="Cambria" w:hAnsi="Cambria" w:cs="Cambria"/>
          <w:i/>
        </w:rPr>
        <w:t>S</w:t>
      </w:r>
      <w:r>
        <w:rPr>
          <w:rFonts w:ascii="Cambria" w:eastAsia="Cambria" w:hAnsi="Cambria" w:cs="Cambria"/>
          <w:vertAlign w:val="subscript"/>
        </w:rPr>
        <w:t>0</w:t>
      </w:r>
      <w:r>
        <w:rPr>
          <w:rFonts w:ascii="Cambria" w:eastAsia="Cambria" w:hAnsi="Cambria" w:cs="Cambria"/>
        </w:rPr>
        <w:t xml:space="preserve">, with a strike </w:t>
      </w:r>
      <w:r>
        <w:rPr>
          <w:rFonts w:ascii="Cambria" w:eastAsia="Cambria" w:hAnsi="Cambria" w:cs="Cambria"/>
          <w:i/>
        </w:rPr>
        <w:t>K</w:t>
      </w:r>
      <w:r>
        <w:rPr>
          <w:rFonts w:ascii="Cambria" w:eastAsia="Cambria" w:hAnsi="Cambria" w:cs="Cambria"/>
        </w:rPr>
        <w:t xml:space="preserve">, a time to maturity </w:t>
      </w:r>
      <w:r>
        <w:rPr>
          <w:rFonts w:ascii="Cambria" w:eastAsia="Cambria" w:hAnsi="Cambria" w:cs="Cambria"/>
          <w:i/>
        </w:rPr>
        <w:t>T</w:t>
      </w:r>
      <w:r>
        <w:rPr>
          <w:rFonts w:ascii="Cambria" w:eastAsia="Cambria" w:hAnsi="Cambria" w:cs="Cambria"/>
        </w:rPr>
        <w:t xml:space="preserve">, a forward </w:t>
      </w:r>
      <w:r>
        <w:rPr>
          <w:rFonts w:ascii="Cambria" w:eastAsia="Cambria" w:hAnsi="Cambria" w:cs="Cambria"/>
          <w:i/>
        </w:rPr>
        <w:t xml:space="preserve">F </w:t>
      </w:r>
      <w:r>
        <w:rPr>
          <w:rFonts w:ascii="Cambria" w:eastAsia="Cambria" w:hAnsi="Cambria" w:cs="Cambria"/>
        </w:rPr>
        <w:t xml:space="preserve">can be seen as the sum of two exotic options. Recall the Black-Scholes formula, with the usual notations (for simplicity sake we consider a nil interest rate, thus that the forward value </w:t>
      </w:r>
      <w:r>
        <w:rPr>
          <w:rFonts w:ascii="Cambria" w:eastAsia="Cambria" w:hAnsi="Cambria" w:cs="Cambria"/>
          <w:i/>
        </w:rPr>
        <w:t xml:space="preserve">F </w:t>
      </w:r>
      <w:r>
        <w:rPr>
          <w:rFonts w:ascii="Cambria" w:eastAsia="Cambria" w:hAnsi="Cambria" w:cs="Cambria"/>
        </w:rPr>
        <w:t xml:space="preserve">is such that </w:t>
      </w:r>
      <w:r>
        <w:rPr>
          <w:rFonts w:ascii="Cambria" w:eastAsia="Cambria" w:hAnsi="Cambria" w:cs="Cambria"/>
          <w:i/>
        </w:rPr>
        <w:t xml:space="preserve">F </w:t>
      </w:r>
      <w:r>
        <w:rPr>
          <w:rFonts w:ascii="Cambria" w:eastAsia="Cambria" w:hAnsi="Cambria" w:cs="Cambria"/>
        </w:rPr>
        <w:t xml:space="preserve">= </w:t>
      </w:r>
      <w:r>
        <w:rPr>
          <w:rFonts w:ascii="Cambria" w:eastAsia="Cambria" w:hAnsi="Cambria" w:cs="Cambria"/>
          <w:i/>
        </w:rPr>
        <w:t>S</w:t>
      </w:r>
      <w:r>
        <w:rPr>
          <w:rFonts w:ascii="Cambria" w:eastAsia="Cambria" w:hAnsi="Cambria" w:cs="Cambria"/>
          <w:vertAlign w:val="subscript"/>
        </w:rPr>
        <w:t>0</w:t>
      </w:r>
      <w:r>
        <w:rPr>
          <w:rFonts w:ascii="Cambria" w:eastAsia="Cambria" w:hAnsi="Cambria" w:cs="Cambria"/>
        </w:rPr>
        <w:t>).</w:t>
      </w:r>
    </w:p>
    <w:p w:rsidR="00EE13F6" w:rsidRDefault="002E5BC4">
      <w:pPr>
        <w:spacing w:after="286" w:line="262" w:lineRule="auto"/>
        <w:ind w:left="10" w:right="483" w:hanging="10"/>
        <w:jc w:val="center"/>
      </w:pPr>
      <w:r>
        <w:rPr>
          <w:rFonts w:ascii="Cambria" w:eastAsia="Cambria" w:hAnsi="Cambria" w:cs="Cambria"/>
          <w:i/>
        </w:rPr>
        <w:t xml:space="preserve">C </w:t>
      </w:r>
      <w:r>
        <w:rPr>
          <w:rFonts w:ascii="Cambria" w:eastAsia="Cambria" w:hAnsi="Cambria" w:cs="Cambria"/>
        </w:rPr>
        <w:t xml:space="preserve">= </w:t>
      </w:r>
      <w:r>
        <w:rPr>
          <w:rFonts w:ascii="Cambria" w:eastAsia="Cambria" w:hAnsi="Cambria" w:cs="Cambria"/>
          <w:i/>
        </w:rPr>
        <w:t>S</w:t>
      </w:r>
      <w:r>
        <w:rPr>
          <w:rFonts w:ascii="Cambria" w:eastAsia="Cambria" w:hAnsi="Cambria" w:cs="Cambria"/>
          <w:vertAlign w:val="subscript"/>
        </w:rPr>
        <w:t>0</w:t>
      </w:r>
      <w:r>
        <w:rPr>
          <w:rFonts w:ascii="Cambria" w:eastAsia="Cambria" w:hAnsi="Cambria" w:cs="Cambria"/>
        </w:rPr>
        <w:t>Φ(</w:t>
      </w:r>
      <w:r>
        <w:rPr>
          <w:rFonts w:ascii="Cambria" w:eastAsia="Cambria" w:hAnsi="Cambria" w:cs="Cambria"/>
          <w:i/>
        </w:rPr>
        <w:t>d</w:t>
      </w:r>
      <w:r>
        <w:rPr>
          <w:rFonts w:ascii="Cambria" w:eastAsia="Cambria" w:hAnsi="Cambria" w:cs="Cambria"/>
        </w:rPr>
        <w:t xml:space="preserve">1) − </w:t>
      </w:r>
      <w:r>
        <w:rPr>
          <w:rFonts w:ascii="Cambria" w:eastAsia="Cambria" w:hAnsi="Cambria" w:cs="Cambria"/>
          <w:i/>
        </w:rPr>
        <w:t>K</w:t>
      </w:r>
      <w:r>
        <w:rPr>
          <w:rFonts w:ascii="Cambria" w:eastAsia="Cambria" w:hAnsi="Cambria" w:cs="Cambria"/>
        </w:rPr>
        <w:t>Φ(</w:t>
      </w:r>
      <w:r>
        <w:rPr>
          <w:rFonts w:ascii="Cambria" w:eastAsia="Cambria" w:hAnsi="Cambria" w:cs="Cambria"/>
          <w:i/>
        </w:rPr>
        <w:t>d</w:t>
      </w:r>
      <w:r>
        <w:rPr>
          <w:rFonts w:ascii="Cambria" w:eastAsia="Cambria" w:hAnsi="Cambria" w:cs="Cambria"/>
        </w:rPr>
        <w:t>2)</w:t>
      </w:r>
    </w:p>
    <w:p w:rsidR="00EE13F6" w:rsidRDefault="002E5BC4">
      <w:pPr>
        <w:spacing w:after="159" w:line="264" w:lineRule="auto"/>
        <w:ind w:left="19" w:right="477" w:hanging="10"/>
        <w:jc w:val="both"/>
      </w:pPr>
      <w:r>
        <w:rPr>
          <w:rFonts w:ascii="Cambria" w:eastAsia="Cambria" w:hAnsi="Cambria" w:cs="Cambria"/>
        </w:rPr>
        <w:t>The expression above can be seen itself as the difference of two exotic options:</w:t>
      </w:r>
    </w:p>
    <w:p w:rsidR="00EE13F6" w:rsidRDefault="002E5BC4" w:rsidP="002E5BC4">
      <w:pPr>
        <w:numPr>
          <w:ilvl w:val="0"/>
          <w:numId w:val="22"/>
        </w:numPr>
        <w:spacing w:after="158" w:line="264" w:lineRule="auto"/>
        <w:ind w:right="477" w:hanging="10"/>
        <w:jc w:val="both"/>
      </w:pPr>
      <w:r>
        <w:rPr>
          <w:rFonts w:ascii="Cambria" w:eastAsia="Cambria" w:hAnsi="Cambria" w:cs="Cambria"/>
        </w:rPr>
        <w:t>The first term consists of an ”Asset or Nothing” call option whose payoff at maturity is the value of the underlying asset.</w:t>
      </w:r>
    </w:p>
    <w:p w:rsidR="00EE13F6" w:rsidRDefault="002E5BC4" w:rsidP="002E5BC4">
      <w:pPr>
        <w:numPr>
          <w:ilvl w:val="0"/>
          <w:numId w:val="22"/>
        </w:numPr>
        <w:spacing w:after="165" w:line="264" w:lineRule="auto"/>
        <w:ind w:right="477" w:hanging="10"/>
        <w:jc w:val="both"/>
      </w:pPr>
      <w:r>
        <w:rPr>
          <w:rFonts w:ascii="Cambria" w:eastAsia="Cambria" w:hAnsi="Cambria" w:cs="Cambria"/>
        </w:rPr>
        <w:t>The se</w:t>
      </w:r>
      <w:r>
        <w:rPr>
          <w:rFonts w:ascii="Cambria" w:eastAsia="Cambria" w:hAnsi="Cambria" w:cs="Cambria"/>
        </w:rPr>
        <w:t xml:space="preserve">cond term consists of a ”Binary” call option whose payoff at maturity is a fixed amount of money equal to </w:t>
      </w:r>
      <w:r>
        <w:rPr>
          <w:rFonts w:ascii="Cambria" w:eastAsia="Cambria" w:hAnsi="Cambria" w:cs="Cambria"/>
          <w:i/>
        </w:rPr>
        <w:t xml:space="preserve">K </w:t>
      </w:r>
      <w:r>
        <w:rPr>
          <w:rFonts w:ascii="Cambria" w:eastAsia="Cambria" w:hAnsi="Cambria" w:cs="Cambria"/>
        </w:rPr>
        <w:t>the value of the call option strike.</w:t>
      </w:r>
    </w:p>
    <w:p w:rsidR="00EE13F6" w:rsidRDefault="002E5BC4">
      <w:pPr>
        <w:spacing w:after="0" w:line="397" w:lineRule="auto"/>
        <w:ind w:left="19" w:right="477" w:hanging="10"/>
        <w:jc w:val="both"/>
      </w:pPr>
      <w:r>
        <w:rPr>
          <w:rFonts w:ascii="Cambria" w:eastAsia="Cambria" w:hAnsi="Cambria" w:cs="Cambria"/>
        </w:rPr>
        <w:t>The ”Asset or Nothing” call option value is the product of the Forward value and Φ(</w:t>
      </w:r>
      <w:r>
        <w:rPr>
          <w:rFonts w:ascii="Cambria" w:eastAsia="Cambria" w:hAnsi="Cambria" w:cs="Cambria"/>
          <w:i/>
        </w:rPr>
        <w:t>d</w:t>
      </w:r>
      <w:r>
        <w:rPr>
          <w:rFonts w:ascii="Cambria" w:eastAsia="Cambria" w:hAnsi="Cambria" w:cs="Cambria"/>
        </w:rPr>
        <w:t>1) where : Φ designates the cumulative distribution of a standard Gaussian random variable,</w:t>
      </w:r>
    </w:p>
    <w:p w:rsidR="00EE13F6" w:rsidRDefault="002E5BC4">
      <w:pPr>
        <w:spacing w:after="318"/>
        <w:ind w:left="3400"/>
      </w:pPr>
      <w:r>
        <w:rPr>
          <w:noProof/>
        </w:rPr>
        <w:drawing>
          <wp:inline distT="0" distB="0" distL="0" distR="0">
            <wp:extent cx="1530096" cy="362712"/>
            <wp:effectExtent l="0" t="0" r="0" b="0"/>
            <wp:docPr id="221893" name="Picture 221893"/>
            <wp:cNvGraphicFramePr/>
            <a:graphic xmlns:a="http://schemas.openxmlformats.org/drawingml/2006/main">
              <a:graphicData uri="http://schemas.openxmlformats.org/drawingml/2006/picture">
                <pic:pic xmlns:pic="http://schemas.openxmlformats.org/drawingml/2006/picture">
                  <pic:nvPicPr>
                    <pic:cNvPr id="221893" name="Picture 221893"/>
                    <pic:cNvPicPr/>
                  </pic:nvPicPr>
                  <pic:blipFill>
                    <a:blip r:embed="rId109"/>
                    <a:stretch>
                      <a:fillRect/>
                    </a:stretch>
                  </pic:blipFill>
                  <pic:spPr>
                    <a:xfrm>
                      <a:off x="0" y="0"/>
                      <a:ext cx="1530096" cy="362712"/>
                    </a:xfrm>
                    <a:prstGeom prst="rect">
                      <a:avLst/>
                    </a:prstGeom>
                  </pic:spPr>
                </pic:pic>
              </a:graphicData>
            </a:graphic>
          </wp:inline>
        </w:drawing>
      </w:r>
    </w:p>
    <w:p w:rsidR="00EE13F6" w:rsidRDefault="002E5BC4">
      <w:pPr>
        <w:spacing w:after="214" w:line="264" w:lineRule="auto"/>
        <w:ind w:left="19" w:right="477" w:hanging="10"/>
        <w:jc w:val="both"/>
      </w:pPr>
      <w:r>
        <w:rPr>
          <w:rFonts w:ascii="Cambria" w:eastAsia="Cambria" w:hAnsi="Cambria" w:cs="Cambria"/>
        </w:rPr>
        <w:t xml:space="preserve">and </w:t>
      </w:r>
      <w:r>
        <w:rPr>
          <w:rFonts w:ascii="Cambria" w:eastAsia="Cambria" w:hAnsi="Cambria" w:cs="Cambria"/>
          <w:i/>
        </w:rPr>
        <w:t>E</w:t>
      </w:r>
      <w:r>
        <w:rPr>
          <w:rFonts w:ascii="Cambria" w:eastAsia="Cambria" w:hAnsi="Cambria" w:cs="Cambria"/>
          <w:i/>
          <w:vertAlign w:val="superscript"/>
        </w:rPr>
        <w:t xml:space="preserve">Q </w:t>
      </w:r>
      <w:r>
        <w:rPr>
          <w:rFonts w:ascii="Cambria" w:eastAsia="Cambria" w:hAnsi="Cambria" w:cs="Cambria"/>
        </w:rPr>
        <w:t>designates the Risk-neutral modified probability.</w:t>
      </w:r>
    </w:p>
    <w:p w:rsidR="00EE13F6" w:rsidRDefault="002E5BC4">
      <w:pPr>
        <w:spacing w:after="133" w:line="264" w:lineRule="auto"/>
        <w:ind w:left="19" w:right="477" w:hanging="10"/>
        <w:jc w:val="both"/>
      </w:pPr>
      <w:r>
        <w:rPr>
          <w:rFonts w:ascii="Cambria" w:eastAsia="Cambria" w:hAnsi="Cambria" w:cs="Cambria"/>
        </w:rPr>
        <w:lastRenderedPageBreak/>
        <w:t xml:space="preserve">Because </w:t>
      </w:r>
      <w:r>
        <w:rPr>
          <w:rFonts w:ascii="Cambria" w:eastAsia="Cambria" w:hAnsi="Cambria" w:cs="Cambria"/>
          <w:i/>
        </w:rPr>
        <w:t xml:space="preserve">C </w:t>
      </w:r>
      <w:r>
        <w:rPr>
          <w:rFonts w:ascii="Cambria" w:eastAsia="Cambria" w:hAnsi="Cambria" w:cs="Cambria"/>
        </w:rPr>
        <w:t xml:space="preserve">= </w:t>
      </w: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K</w:t>
      </w:r>
      <w:r>
        <w:rPr>
          <w:rFonts w:ascii="Cambria" w:eastAsia="Cambria" w:hAnsi="Cambria" w:cs="Cambria"/>
        </w:rPr>
        <w:t>;</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&gt; K</w:t>
      </w:r>
      <w:r>
        <w:rPr>
          <w:rFonts w:ascii="Cambria" w:eastAsia="Cambria" w:hAnsi="Cambria" w:cs="Cambria"/>
        </w:rPr>
        <w:t>), we get</w:t>
      </w:r>
    </w:p>
    <w:p w:rsidR="00EE13F6" w:rsidRDefault="002E5BC4">
      <w:pPr>
        <w:spacing w:after="33"/>
        <w:ind w:left="3432"/>
      </w:pPr>
      <w:r>
        <w:rPr>
          <w:noProof/>
        </w:rPr>
        <w:drawing>
          <wp:inline distT="0" distB="0" distL="0" distR="0">
            <wp:extent cx="1566672" cy="350520"/>
            <wp:effectExtent l="0" t="0" r="0" b="0"/>
            <wp:docPr id="221894" name="Picture 221894"/>
            <wp:cNvGraphicFramePr/>
            <a:graphic xmlns:a="http://schemas.openxmlformats.org/drawingml/2006/main">
              <a:graphicData uri="http://schemas.openxmlformats.org/drawingml/2006/picture">
                <pic:pic xmlns:pic="http://schemas.openxmlformats.org/drawingml/2006/picture">
                  <pic:nvPicPr>
                    <pic:cNvPr id="221894" name="Picture 221894"/>
                    <pic:cNvPicPr/>
                  </pic:nvPicPr>
                  <pic:blipFill>
                    <a:blip r:embed="rId110"/>
                    <a:stretch>
                      <a:fillRect/>
                    </a:stretch>
                  </pic:blipFill>
                  <pic:spPr>
                    <a:xfrm>
                      <a:off x="0" y="0"/>
                      <a:ext cx="1566672" cy="350520"/>
                    </a:xfrm>
                    <a:prstGeom prst="rect">
                      <a:avLst/>
                    </a:prstGeom>
                  </pic:spPr>
                </pic:pic>
              </a:graphicData>
            </a:graphic>
          </wp:inline>
        </w:drawing>
      </w:r>
    </w:p>
    <w:p w:rsidR="00EE13F6" w:rsidRDefault="002E5BC4">
      <w:pPr>
        <w:spacing w:after="133" w:line="264" w:lineRule="auto"/>
        <w:ind w:left="19" w:right="477" w:hanging="10"/>
        <w:jc w:val="both"/>
      </w:pPr>
      <w:r>
        <w:rPr>
          <w:rFonts w:ascii="Cambria" w:eastAsia="Cambria" w:hAnsi="Cambria" w:cs="Cambria"/>
        </w:rPr>
        <w:t>.</w:t>
      </w:r>
    </w:p>
    <w:p w:rsidR="00EE13F6" w:rsidRDefault="002E5BC4">
      <w:pPr>
        <w:spacing w:after="46" w:line="264" w:lineRule="auto"/>
        <w:ind w:left="19" w:right="477" w:hanging="10"/>
        <w:jc w:val="both"/>
      </w:pPr>
      <w:r>
        <w:rPr>
          <w:rFonts w:ascii="Cambria" w:eastAsia="Cambria" w:hAnsi="Cambria" w:cs="Cambria"/>
        </w:rPr>
        <w:t>The ”Binary” call option value is the product of the strike pri</w:t>
      </w:r>
      <w:r>
        <w:rPr>
          <w:rFonts w:ascii="Cambria" w:eastAsia="Cambria" w:hAnsi="Cambria" w:cs="Cambria"/>
        </w:rPr>
        <w:t>ce and Φ(</w:t>
      </w:r>
      <w:r>
        <w:rPr>
          <w:rFonts w:ascii="Cambria" w:eastAsia="Cambria" w:hAnsi="Cambria" w:cs="Cambria"/>
          <w:i/>
        </w:rPr>
        <w:t>d</w:t>
      </w:r>
      <w:r>
        <w:rPr>
          <w:rFonts w:ascii="Cambria" w:eastAsia="Cambria" w:hAnsi="Cambria" w:cs="Cambria"/>
        </w:rPr>
        <w:t>2). Φ(</w:t>
      </w:r>
      <w:r>
        <w:rPr>
          <w:rFonts w:ascii="Cambria" w:eastAsia="Cambria" w:hAnsi="Cambria" w:cs="Cambria"/>
          <w:i/>
        </w:rPr>
        <w:t>d</w:t>
      </w:r>
      <w:r>
        <w:rPr>
          <w:rFonts w:ascii="Cambria" w:eastAsia="Cambria" w:hAnsi="Cambria" w:cs="Cambria"/>
        </w:rPr>
        <w:t>2), according to Black-Scholes, is the ”modified probability” of the event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&gt; K</w:t>
      </w:r>
      <w:r>
        <w:rPr>
          <w:rFonts w:ascii="Cambria" w:eastAsia="Cambria" w:hAnsi="Cambria" w:cs="Cambria"/>
        </w:rPr>
        <w:t>). This probability writes</w:t>
      </w:r>
    </w:p>
    <w:p w:rsidR="00EE13F6" w:rsidRDefault="002E5BC4">
      <w:pPr>
        <w:spacing w:after="181"/>
        <w:ind w:left="-5" w:hanging="10"/>
      </w:pP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&gt; K</w:t>
      </w:r>
      <w:r>
        <w:rPr>
          <w:rFonts w:ascii="Cambria" w:eastAsia="Cambria" w:hAnsi="Cambria" w:cs="Cambria"/>
        </w:rPr>
        <w:t>)</w:t>
      </w:r>
    </w:p>
    <w:p w:rsidR="00EE13F6" w:rsidRDefault="002E5BC4">
      <w:pPr>
        <w:spacing w:after="181"/>
        <w:ind w:left="-5" w:hanging="10"/>
      </w:pPr>
      <w:r>
        <w:rPr>
          <w:rFonts w:ascii="Cambria" w:eastAsia="Cambria" w:hAnsi="Cambria" w:cs="Cambria"/>
          <w:i/>
        </w:rPr>
        <w:t>Proof</w:t>
      </w:r>
    </w:p>
    <w:p w:rsidR="00EE13F6" w:rsidRDefault="002E5BC4">
      <w:pPr>
        <w:spacing w:after="110" w:line="317" w:lineRule="auto"/>
        <w:ind w:left="19" w:right="477" w:hanging="10"/>
        <w:jc w:val="both"/>
      </w:pPr>
      <w:r>
        <w:rPr>
          <w:rFonts w:ascii="Cambria" w:eastAsia="Cambria" w:hAnsi="Cambria" w:cs="Cambria"/>
        </w:rPr>
        <w:t xml:space="preserve">Assuming that S follows a geometric Black-Scholes process defined as </w:t>
      </w:r>
      <w:r>
        <w:rPr>
          <w:rFonts w:ascii="Cambria" w:eastAsia="Cambria" w:hAnsi="Cambria" w:cs="Cambria"/>
          <w:i/>
          <w:u w:val="single" w:color="000000"/>
          <w:vertAlign w:val="superscript"/>
        </w:rPr>
        <w:t>dS</w:t>
      </w:r>
      <w:r>
        <w:rPr>
          <w:rFonts w:ascii="Cambria" w:eastAsia="Cambria" w:hAnsi="Cambria" w:cs="Cambria"/>
          <w:i/>
          <w:vertAlign w:val="subscript"/>
        </w:rPr>
        <w:t xml:space="preserve">S </w:t>
      </w:r>
      <w:r>
        <w:rPr>
          <w:rFonts w:ascii="Cambria" w:eastAsia="Cambria" w:hAnsi="Cambria" w:cs="Cambria"/>
        </w:rPr>
        <w:t xml:space="preserve">= </w:t>
      </w:r>
      <w:r>
        <w:rPr>
          <w:rFonts w:ascii="Cambria" w:eastAsia="Cambria" w:hAnsi="Cambria" w:cs="Cambria"/>
          <w:i/>
        </w:rPr>
        <w:t>rdt</w:t>
      </w:r>
      <w:r>
        <w:rPr>
          <w:rFonts w:ascii="Cambria" w:eastAsia="Cambria" w:hAnsi="Cambria" w:cs="Cambria"/>
        </w:rPr>
        <w:t>+</w:t>
      </w:r>
      <w:r>
        <w:rPr>
          <w:rFonts w:ascii="Cambria" w:eastAsia="Cambria" w:hAnsi="Cambria" w:cs="Cambria"/>
          <w:i/>
        </w:rPr>
        <w:t>σdZ</w:t>
      </w:r>
      <w:r>
        <w:rPr>
          <w:rFonts w:ascii="Cambria" w:eastAsia="Cambria" w:hAnsi="Cambria" w:cs="Cambria"/>
        </w:rPr>
        <w:t>(</w:t>
      </w:r>
      <w:r>
        <w:rPr>
          <w:rFonts w:ascii="Cambria" w:eastAsia="Cambria" w:hAnsi="Cambria" w:cs="Cambria"/>
          <w:i/>
        </w:rPr>
        <w:t>t</w:t>
      </w:r>
      <w:r>
        <w:rPr>
          <w:rFonts w:ascii="Cambria" w:eastAsia="Cambria" w:hAnsi="Cambria" w:cs="Cambria"/>
        </w:rPr>
        <w:t xml:space="preserve">) with </w:t>
      </w:r>
      <w:r>
        <w:rPr>
          <w:rFonts w:ascii="Cambria" w:eastAsia="Cambria" w:hAnsi="Cambria" w:cs="Cambria"/>
          <w:i/>
        </w:rPr>
        <w:t>Z</w:t>
      </w:r>
      <w:r>
        <w:rPr>
          <w:rFonts w:ascii="Cambria" w:eastAsia="Cambria" w:hAnsi="Cambria" w:cs="Cambria"/>
        </w:rPr>
        <w:t>(</w:t>
      </w:r>
      <w:r>
        <w:rPr>
          <w:rFonts w:ascii="Cambria" w:eastAsia="Cambria" w:hAnsi="Cambria" w:cs="Cambria"/>
          <w:i/>
        </w:rPr>
        <w:t>t</w:t>
      </w:r>
      <w:r>
        <w:rPr>
          <w:rFonts w:ascii="Cambria" w:eastAsia="Cambria" w:hAnsi="Cambria" w:cs="Cambria"/>
        </w:rPr>
        <w:t xml:space="preserve">) </w:t>
      </w:r>
      <w:r>
        <w:rPr>
          <w:rFonts w:ascii="Cambria" w:eastAsia="Cambria" w:hAnsi="Cambria" w:cs="Cambria"/>
        </w:rPr>
        <w:t>standard brownian motion process.</w:t>
      </w:r>
    </w:p>
    <w:p w:rsidR="00EE13F6" w:rsidRDefault="002E5BC4">
      <w:pPr>
        <w:spacing w:after="0" w:line="264" w:lineRule="auto"/>
        <w:ind w:left="19" w:right="477" w:hanging="10"/>
        <w:jc w:val="both"/>
      </w:pPr>
      <w:r>
        <w:rPr>
          <w:rFonts w:ascii="Cambria" w:eastAsia="Cambria" w:hAnsi="Cambria" w:cs="Cambria"/>
        </w:rPr>
        <w:t xml:space="preserve">By applying ITo’s lemma to </w:t>
      </w:r>
      <w:r>
        <w:rPr>
          <w:rFonts w:ascii="Cambria" w:eastAsia="Cambria" w:hAnsi="Cambria" w:cs="Cambria"/>
          <w:i/>
        </w:rPr>
        <w:t>Y</w:t>
      </w:r>
      <w:r>
        <w:rPr>
          <w:rFonts w:ascii="Cambria" w:eastAsia="Cambria" w:hAnsi="Cambria" w:cs="Cambria"/>
          <w:i/>
          <w:vertAlign w:val="subscript"/>
        </w:rPr>
        <w:t xml:space="preserve">t </w:t>
      </w:r>
      <w:r>
        <w:rPr>
          <w:rFonts w:ascii="Cambria" w:eastAsia="Cambria" w:hAnsi="Cambria" w:cs="Cambria"/>
        </w:rPr>
        <w:t>= ln(</w:t>
      </w:r>
      <w:r>
        <w:rPr>
          <w:rFonts w:ascii="Cambria" w:eastAsia="Cambria" w:hAnsi="Cambria" w:cs="Cambria"/>
          <w:i/>
        </w:rPr>
        <w:t>S</w:t>
      </w:r>
      <w:r>
        <w:rPr>
          <w:rFonts w:ascii="Cambria" w:eastAsia="Cambria" w:hAnsi="Cambria" w:cs="Cambria"/>
          <w:i/>
          <w:vertAlign w:val="subscript"/>
        </w:rPr>
        <w:t>t</w:t>
      </w:r>
      <w:r>
        <w:rPr>
          <w:rFonts w:ascii="Cambria" w:eastAsia="Cambria" w:hAnsi="Cambria" w:cs="Cambria"/>
        </w:rPr>
        <w:t>), it is well known that</w:t>
      </w:r>
    </w:p>
    <w:p w:rsidR="00EE13F6" w:rsidRDefault="002E5BC4">
      <w:pPr>
        <w:spacing w:after="267"/>
        <w:ind w:left="2840"/>
      </w:pPr>
      <w:r>
        <w:rPr>
          <w:noProof/>
        </w:rPr>
        <w:drawing>
          <wp:inline distT="0" distB="0" distL="0" distR="0">
            <wp:extent cx="2237232" cy="344424"/>
            <wp:effectExtent l="0" t="0" r="0" b="0"/>
            <wp:docPr id="221895" name="Picture 221895"/>
            <wp:cNvGraphicFramePr/>
            <a:graphic xmlns:a="http://schemas.openxmlformats.org/drawingml/2006/main">
              <a:graphicData uri="http://schemas.openxmlformats.org/drawingml/2006/picture">
                <pic:pic xmlns:pic="http://schemas.openxmlformats.org/drawingml/2006/picture">
                  <pic:nvPicPr>
                    <pic:cNvPr id="221895" name="Picture 221895"/>
                    <pic:cNvPicPr/>
                  </pic:nvPicPr>
                  <pic:blipFill>
                    <a:blip r:embed="rId111"/>
                    <a:stretch>
                      <a:fillRect/>
                    </a:stretch>
                  </pic:blipFill>
                  <pic:spPr>
                    <a:xfrm>
                      <a:off x="0" y="0"/>
                      <a:ext cx="2237232" cy="344424"/>
                    </a:xfrm>
                    <a:prstGeom prst="rect">
                      <a:avLst/>
                    </a:prstGeom>
                  </pic:spPr>
                </pic:pic>
              </a:graphicData>
            </a:graphic>
          </wp:inline>
        </w:drawing>
      </w:r>
    </w:p>
    <w:p w:rsidR="00EE13F6" w:rsidRDefault="002E5BC4">
      <w:pPr>
        <w:spacing w:after="102" w:line="264" w:lineRule="auto"/>
        <w:ind w:left="19" w:right="477" w:hanging="10"/>
        <w:jc w:val="both"/>
      </w:pPr>
      <w:r>
        <w:rPr>
          <w:rFonts w:ascii="Cambria" w:eastAsia="Cambria" w:hAnsi="Cambria" w:cs="Cambria"/>
        </w:rPr>
        <w:t xml:space="preserve">with </w:t>
      </w:r>
      <w:r>
        <w:rPr>
          <w:rFonts w:ascii="Cambria" w:eastAsia="Cambria" w:hAnsi="Cambria" w:cs="Cambria"/>
          <w:i/>
        </w:rPr>
        <w:t>Z</w:t>
      </w:r>
      <w:r>
        <w:rPr>
          <w:rFonts w:ascii="Cambria" w:eastAsia="Cambria" w:hAnsi="Cambria" w:cs="Cambria"/>
        </w:rPr>
        <w:t>(</w:t>
      </w:r>
      <w:r>
        <w:rPr>
          <w:rFonts w:ascii="Cambria" w:eastAsia="Cambria" w:hAnsi="Cambria" w:cs="Cambria"/>
          <w:i/>
        </w:rPr>
        <w:t>t</w:t>
      </w:r>
      <w:r>
        <w:rPr>
          <w:rFonts w:ascii="Cambria" w:eastAsia="Cambria" w:hAnsi="Cambria" w:cs="Cambria"/>
        </w:rPr>
        <w:t>) is a standardized gaussian distribution.</w:t>
      </w:r>
    </w:p>
    <w:p w:rsidR="00EE13F6" w:rsidRDefault="002E5BC4">
      <w:pPr>
        <w:spacing w:after="32" w:line="264" w:lineRule="auto"/>
        <w:ind w:left="19" w:right="477" w:hanging="10"/>
        <w:jc w:val="both"/>
      </w:pP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 xml:space="preserve">&gt; K </w:t>
      </w:r>
      <w:r>
        <w:rPr>
          <w:rFonts w:ascii="Cambria" w:eastAsia="Cambria" w:hAnsi="Cambria" w:cs="Cambria"/>
        </w:rPr>
        <w:t>is equivalent to ln(</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 xml:space="preserve">&gt; </w:t>
      </w:r>
      <w:r>
        <w:rPr>
          <w:rFonts w:ascii="Cambria" w:eastAsia="Cambria" w:hAnsi="Cambria" w:cs="Cambria"/>
        </w:rPr>
        <w:t>ln(</w:t>
      </w:r>
      <w:r>
        <w:rPr>
          <w:rFonts w:ascii="Cambria" w:eastAsia="Cambria" w:hAnsi="Cambria" w:cs="Cambria"/>
          <w:i/>
        </w:rPr>
        <w:t>K</w:t>
      </w:r>
      <w:r>
        <w:rPr>
          <w:rFonts w:ascii="Cambria" w:eastAsia="Cambria" w:hAnsi="Cambria" w:cs="Cambria"/>
        </w:rPr>
        <w:t>) which yields</w:t>
      </w:r>
      <w:r>
        <w:rPr>
          <w:noProof/>
        </w:rPr>
        <w:drawing>
          <wp:inline distT="0" distB="0" distL="0" distR="0">
            <wp:extent cx="1801368" cy="210312"/>
            <wp:effectExtent l="0" t="0" r="0" b="0"/>
            <wp:docPr id="221896" name="Picture 221896"/>
            <wp:cNvGraphicFramePr/>
            <a:graphic xmlns:a="http://schemas.openxmlformats.org/drawingml/2006/main">
              <a:graphicData uri="http://schemas.openxmlformats.org/drawingml/2006/picture">
                <pic:pic xmlns:pic="http://schemas.openxmlformats.org/drawingml/2006/picture">
                  <pic:nvPicPr>
                    <pic:cNvPr id="221896" name="Picture 221896"/>
                    <pic:cNvPicPr/>
                  </pic:nvPicPr>
                  <pic:blipFill>
                    <a:blip r:embed="rId112"/>
                    <a:stretch>
                      <a:fillRect/>
                    </a:stretch>
                  </pic:blipFill>
                  <pic:spPr>
                    <a:xfrm>
                      <a:off x="0" y="0"/>
                      <a:ext cx="1801368" cy="210312"/>
                    </a:xfrm>
                    <a:prstGeom prst="rect">
                      <a:avLst/>
                    </a:prstGeom>
                  </pic:spPr>
                </pic:pic>
              </a:graphicData>
            </a:graphic>
          </wp:inline>
        </w:drawing>
      </w:r>
    </w:p>
    <w:p w:rsidR="00EE13F6" w:rsidRDefault="002E5BC4">
      <w:pPr>
        <w:spacing w:after="133" w:line="264" w:lineRule="auto"/>
        <w:ind w:left="19" w:right="477" w:hanging="10"/>
        <w:jc w:val="both"/>
      </w:pPr>
      <w:r>
        <w:rPr>
          <w:rFonts w:ascii="Cambria" w:eastAsia="Cambria" w:hAnsi="Cambria" w:cs="Cambria"/>
        </w:rPr>
        <w:t>Thus,</w:t>
      </w:r>
      <w:r>
        <w:rPr>
          <w:noProof/>
        </w:rPr>
        <w:drawing>
          <wp:inline distT="0" distB="0" distL="0" distR="0">
            <wp:extent cx="2865120" cy="417576"/>
            <wp:effectExtent l="0" t="0" r="0" b="0"/>
            <wp:docPr id="221897" name="Picture 221897"/>
            <wp:cNvGraphicFramePr/>
            <a:graphic xmlns:a="http://schemas.openxmlformats.org/drawingml/2006/main">
              <a:graphicData uri="http://schemas.openxmlformats.org/drawingml/2006/picture">
                <pic:pic xmlns:pic="http://schemas.openxmlformats.org/drawingml/2006/picture">
                  <pic:nvPicPr>
                    <pic:cNvPr id="221897" name="Picture 221897"/>
                    <pic:cNvPicPr/>
                  </pic:nvPicPr>
                  <pic:blipFill>
                    <a:blip r:embed="rId113"/>
                    <a:stretch>
                      <a:fillRect/>
                    </a:stretch>
                  </pic:blipFill>
                  <pic:spPr>
                    <a:xfrm>
                      <a:off x="0" y="0"/>
                      <a:ext cx="2865120" cy="417576"/>
                    </a:xfrm>
                    <a:prstGeom prst="rect">
                      <a:avLst/>
                    </a:prstGeom>
                  </pic:spPr>
                </pic:pic>
              </a:graphicData>
            </a:graphic>
          </wp:inline>
        </w:drawing>
      </w:r>
      <w:r>
        <w:rPr>
          <w:rFonts w:ascii="Cambria" w:eastAsia="Cambria" w:hAnsi="Cambria" w:cs="Cambria"/>
        </w:rPr>
        <w:t>) with the usual Black-Scholes notations.</w:t>
      </w:r>
    </w:p>
    <w:p w:rsidR="00EE13F6" w:rsidRDefault="002E5BC4">
      <w:pPr>
        <w:spacing w:after="133" w:line="264" w:lineRule="auto"/>
        <w:ind w:left="19" w:right="477" w:hanging="10"/>
        <w:jc w:val="both"/>
      </w:pPr>
      <w:r>
        <w:rPr>
          <w:rFonts w:ascii="Cambria" w:eastAsia="Cambria" w:hAnsi="Cambria" w:cs="Cambria"/>
        </w:rPr>
        <w:t>The ”Asset or Nothing” call option appears then as an insurance contract whose premium per indemnity, in case of the event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&gt; K</w:t>
      </w:r>
      <w:r>
        <w:rPr>
          <w:rFonts w:ascii="Cambria" w:eastAsia="Cambria" w:hAnsi="Cambria" w:cs="Cambria"/>
        </w:rPr>
        <w:t>) occurence is exactly Φ(</w:t>
      </w:r>
      <w:r>
        <w:rPr>
          <w:rFonts w:ascii="Cambria" w:eastAsia="Cambria" w:hAnsi="Cambria" w:cs="Cambria"/>
          <w:i/>
        </w:rPr>
        <w:t>d</w:t>
      </w:r>
      <w:r>
        <w:rPr>
          <w:rFonts w:ascii="Cambria" w:eastAsia="Cambria" w:hAnsi="Cambria" w:cs="Cambria"/>
        </w:rPr>
        <w:t xml:space="preserve">1). The indemnity is variable and depends upon the value of the underlying asset </w:t>
      </w:r>
      <w:r>
        <w:rPr>
          <w:rFonts w:ascii="Cambria" w:eastAsia="Cambria" w:hAnsi="Cambria" w:cs="Cambria"/>
          <w:i/>
        </w:rPr>
        <w:t xml:space="preserve">S </w:t>
      </w:r>
      <w:r>
        <w:rPr>
          <w:rFonts w:ascii="Cambria" w:eastAsia="Cambria" w:hAnsi="Cambria" w:cs="Cambria"/>
        </w:rPr>
        <w:t>at maturity.</w:t>
      </w:r>
    </w:p>
    <w:p w:rsidR="00EE13F6" w:rsidRDefault="002E5BC4">
      <w:pPr>
        <w:spacing w:after="133" w:line="264" w:lineRule="auto"/>
        <w:ind w:left="19" w:right="477" w:hanging="10"/>
        <w:jc w:val="both"/>
      </w:pPr>
      <w:r>
        <w:rPr>
          <w:rFonts w:ascii="Cambria" w:eastAsia="Cambria" w:hAnsi="Cambria" w:cs="Cambria"/>
        </w:rPr>
        <w:t>Consequently, because of the ”Asset or nothing” component, the buyer of a European call option is buying an insurance contract from the market against the event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&gt; K</w:t>
      </w:r>
      <w:r>
        <w:rPr>
          <w:rFonts w:ascii="Cambria" w:eastAsia="Cambria" w:hAnsi="Cambria" w:cs="Cambria"/>
        </w:rPr>
        <w:t>) whose occurence expectation is exactly Φ(</w:t>
      </w:r>
      <w:r>
        <w:rPr>
          <w:rFonts w:ascii="Cambria" w:eastAsia="Cambria" w:hAnsi="Cambria" w:cs="Cambria"/>
          <w:i/>
        </w:rPr>
        <w:t>d</w:t>
      </w:r>
      <w:r>
        <w:rPr>
          <w:rFonts w:ascii="Cambria" w:eastAsia="Cambria" w:hAnsi="Cambria" w:cs="Cambria"/>
        </w:rPr>
        <w:t>2). The pay-off , conditional to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&gt; K</w:t>
      </w:r>
      <w:r>
        <w:rPr>
          <w:rFonts w:ascii="Cambria" w:eastAsia="Cambria" w:hAnsi="Cambria" w:cs="Cambria"/>
        </w:rPr>
        <w:t>) is</w:t>
      </w:r>
      <w:r>
        <w:rPr>
          <w:rFonts w:ascii="Cambria" w:eastAsia="Cambria" w:hAnsi="Cambria" w:cs="Cambria"/>
        </w:rPr>
        <w:t xml:space="preserve"> the asset value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w:t>
      </w:r>
    </w:p>
    <w:p w:rsidR="00EE13F6" w:rsidRDefault="002E5BC4">
      <w:pPr>
        <w:spacing w:after="133" w:line="264" w:lineRule="auto"/>
        <w:ind w:left="19" w:right="477" w:hanging="10"/>
        <w:jc w:val="both"/>
      </w:pPr>
      <w:r>
        <w:rPr>
          <w:rFonts w:ascii="Cambria" w:eastAsia="Cambria" w:hAnsi="Cambria" w:cs="Cambria"/>
        </w:rPr>
        <w:t>On the other side, because of the Binary option component, the same buyer acts as an insurer against the event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&gt; K</w:t>
      </w:r>
      <w:r>
        <w:rPr>
          <w:rFonts w:ascii="Cambria" w:eastAsia="Cambria" w:hAnsi="Cambria" w:cs="Cambria"/>
        </w:rPr>
        <w:t>) whose occurrence expectation is measured by Φ(</w:t>
      </w:r>
      <w:r>
        <w:rPr>
          <w:rFonts w:ascii="Cambria" w:eastAsia="Cambria" w:hAnsi="Cambria" w:cs="Cambria"/>
          <w:i/>
        </w:rPr>
        <w:t>d</w:t>
      </w:r>
      <w:r>
        <w:rPr>
          <w:rFonts w:ascii="Cambria" w:eastAsia="Cambria" w:hAnsi="Cambria" w:cs="Cambria"/>
        </w:rPr>
        <w:t>2). The indemnity consist of a fixed amount of money equal to the v</w:t>
      </w:r>
      <w:r>
        <w:rPr>
          <w:rFonts w:ascii="Cambria" w:eastAsia="Cambria" w:hAnsi="Cambria" w:cs="Cambria"/>
        </w:rPr>
        <w:t>alue of the option strike price.The ”Binary” call option appears then as an insurance contract whose premium per indemnity, in case of the event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&gt; K</w:t>
      </w:r>
      <w:r>
        <w:rPr>
          <w:rFonts w:ascii="Cambria" w:eastAsia="Cambria" w:hAnsi="Cambria" w:cs="Cambria"/>
        </w:rPr>
        <w:t>) occurrence is exactly Φ(</w:t>
      </w:r>
      <w:r>
        <w:rPr>
          <w:rFonts w:ascii="Cambria" w:eastAsia="Cambria" w:hAnsi="Cambria" w:cs="Cambria"/>
          <w:i/>
        </w:rPr>
        <w:t>d</w:t>
      </w:r>
      <w:r>
        <w:rPr>
          <w:rFonts w:ascii="Cambria" w:eastAsia="Cambria" w:hAnsi="Cambria" w:cs="Cambria"/>
        </w:rPr>
        <w:t>2). The indemnity is fixed and does not depend upon the value of the underlyi</w:t>
      </w:r>
      <w:r>
        <w:rPr>
          <w:rFonts w:ascii="Cambria" w:eastAsia="Cambria" w:hAnsi="Cambria" w:cs="Cambria"/>
        </w:rPr>
        <w:t xml:space="preserve">ng asset </w:t>
      </w:r>
      <w:r>
        <w:rPr>
          <w:rFonts w:ascii="Cambria" w:eastAsia="Cambria" w:hAnsi="Cambria" w:cs="Cambria"/>
          <w:i/>
        </w:rPr>
        <w:t xml:space="preserve">S </w:t>
      </w:r>
      <w:r>
        <w:rPr>
          <w:rFonts w:ascii="Cambria" w:eastAsia="Cambria" w:hAnsi="Cambria" w:cs="Cambria"/>
        </w:rPr>
        <w:t>at maturity.</w:t>
      </w:r>
    </w:p>
    <w:p w:rsidR="00EE13F6" w:rsidRDefault="002E5BC4">
      <w:pPr>
        <w:spacing w:after="133" w:line="264" w:lineRule="auto"/>
        <w:ind w:left="19" w:right="477" w:hanging="10"/>
        <w:jc w:val="both"/>
      </w:pPr>
      <w:r>
        <w:rPr>
          <w:rFonts w:ascii="Cambria" w:eastAsia="Cambria" w:hAnsi="Cambria" w:cs="Cambria"/>
        </w:rPr>
        <w:t>Finally, we can consider that the equity option market, for European options, can be seen as an insurance ”Swap” Exchange. The two exotic options linked to a European Call or Put option are in fact two different insurance contracts,</w:t>
      </w:r>
      <w:r>
        <w:rPr>
          <w:rFonts w:ascii="Cambria" w:eastAsia="Cambria" w:hAnsi="Cambria" w:cs="Cambria"/>
        </w:rPr>
        <w:t xml:space="preserve"> and the buyer of a call (respectively the seller) is acting both as an insurer and an insured agent for the same event, with different levels of indemnification, one being fixed (”The Binary”), the other being variable (”Asset or Nothing”).</w:t>
      </w:r>
    </w:p>
    <w:p w:rsidR="00EE13F6" w:rsidRDefault="002E5BC4">
      <w:pPr>
        <w:pStyle w:val="Heading1"/>
        <w:spacing w:after="301"/>
        <w:ind w:left="479" w:right="142"/>
      </w:pPr>
      <w:r>
        <w:lastRenderedPageBreak/>
        <w:t>6 Optimal Insu</w:t>
      </w:r>
      <w:r>
        <w:t>rance for Call and Put Option Buyers in the absence of FTT</w:t>
      </w:r>
    </w:p>
    <w:p w:rsidR="00EE13F6" w:rsidRDefault="002E5BC4">
      <w:pPr>
        <w:pStyle w:val="Heading2"/>
        <w:tabs>
          <w:tab w:val="center" w:pos="2944"/>
        </w:tabs>
        <w:spacing w:after="295"/>
        <w:ind w:left="-15" w:firstLine="0"/>
      </w:pPr>
      <w:r>
        <w:t>6.1</w:t>
      </w:r>
      <w:r>
        <w:tab/>
        <w:t>Optimal Insurance for Insured Agents</w:t>
      </w:r>
    </w:p>
    <w:p w:rsidR="00EE13F6" w:rsidRDefault="002E5BC4">
      <w:pPr>
        <w:spacing w:after="30" w:line="398" w:lineRule="auto"/>
        <w:ind w:left="-5" w:right="468" w:hanging="10"/>
      </w:pPr>
      <w:r>
        <w:rPr>
          <w:rFonts w:ascii="Cambria" w:eastAsia="Cambria" w:hAnsi="Cambria" w:cs="Cambria"/>
        </w:rPr>
        <w:t xml:space="preserve">(i) For the Binary Option seen as an Insurance contract, </w:t>
      </w:r>
      <w:r>
        <w:rPr>
          <w:rFonts w:ascii="Cambria" w:eastAsia="Cambria" w:hAnsi="Cambria" w:cs="Cambria"/>
          <w:b/>
        </w:rPr>
        <w:t xml:space="preserve">the insured agent </w:t>
      </w:r>
      <w:r>
        <w:rPr>
          <w:rFonts w:ascii="Cambria" w:eastAsia="Cambria" w:hAnsi="Cambria" w:cs="Cambria"/>
        </w:rPr>
        <w:t xml:space="preserve">will consider from its perspective, its utility function which writes: </w:t>
      </w:r>
      <w:r>
        <w:rPr>
          <w:rFonts w:ascii="Cambria" w:eastAsia="Cambria" w:hAnsi="Cambria" w:cs="Cambria"/>
          <w:i/>
        </w:rPr>
        <w:t>U</w:t>
      </w:r>
      <w:r>
        <w:rPr>
          <w:rFonts w:ascii="Cambria" w:eastAsia="Cambria" w:hAnsi="Cambria" w:cs="Cambria"/>
        </w:rPr>
        <w:t>(</w:t>
      </w:r>
      <w:r>
        <w:rPr>
          <w:rFonts w:ascii="Cambria" w:eastAsia="Cambria" w:hAnsi="Cambria" w:cs="Cambria"/>
          <w:i/>
        </w:rPr>
        <w:t>w</w:t>
      </w:r>
      <w:r>
        <w:rPr>
          <w:rFonts w:ascii="Cambria" w:eastAsia="Cambria" w:hAnsi="Cambria" w:cs="Cambria"/>
          <w:vertAlign w:val="subscript"/>
        </w:rPr>
        <w:t>1</w:t>
      </w:r>
      <w:r>
        <w:rPr>
          <w:rFonts w:ascii="Cambria" w:eastAsia="Cambria" w:hAnsi="Cambria" w:cs="Cambria"/>
          <w:i/>
        </w:rPr>
        <w:t>,w</w:t>
      </w:r>
      <w:r>
        <w:rPr>
          <w:rFonts w:ascii="Cambria" w:eastAsia="Cambria" w:hAnsi="Cambria" w:cs="Cambria"/>
          <w:vertAlign w:val="subscript"/>
        </w:rPr>
        <w:t>2</w:t>
      </w:r>
      <w:r>
        <w:rPr>
          <w:rFonts w:ascii="Cambria" w:eastAsia="Cambria" w:hAnsi="Cambria" w:cs="Cambria"/>
        </w:rPr>
        <w:t>) w</w:t>
      </w:r>
      <w:r>
        <w:rPr>
          <w:rFonts w:ascii="Cambria" w:eastAsia="Cambria" w:hAnsi="Cambria" w:cs="Cambria"/>
        </w:rPr>
        <w:t xml:space="preserve">here, at the end of the period, </w:t>
      </w:r>
      <w:r>
        <w:rPr>
          <w:rFonts w:ascii="Cambria" w:eastAsia="Cambria" w:hAnsi="Cambria" w:cs="Cambria"/>
          <w:i/>
        </w:rPr>
        <w:t>w</w:t>
      </w:r>
      <w:r>
        <w:rPr>
          <w:rFonts w:ascii="Cambria" w:eastAsia="Cambria" w:hAnsi="Cambria" w:cs="Cambria"/>
          <w:vertAlign w:val="subscript"/>
        </w:rPr>
        <w:t xml:space="preserve">1 </w:t>
      </w:r>
      <w:r>
        <w:rPr>
          <w:rFonts w:ascii="Cambria" w:eastAsia="Cambria" w:hAnsi="Cambria" w:cs="Cambria"/>
        </w:rPr>
        <w:t xml:space="preserve">designates the agent’s wealth if not insured and </w:t>
      </w:r>
      <w:r>
        <w:rPr>
          <w:rFonts w:ascii="Cambria" w:eastAsia="Cambria" w:hAnsi="Cambria" w:cs="Cambria"/>
          <w:i/>
        </w:rPr>
        <w:t>w</w:t>
      </w:r>
      <w:r>
        <w:rPr>
          <w:rFonts w:ascii="Cambria" w:eastAsia="Cambria" w:hAnsi="Cambria" w:cs="Cambria"/>
          <w:vertAlign w:val="subscript"/>
        </w:rPr>
        <w:t xml:space="preserve">2 </w:t>
      </w:r>
      <w:r>
        <w:rPr>
          <w:rFonts w:ascii="Cambria" w:eastAsia="Cambria" w:hAnsi="Cambria" w:cs="Cambria"/>
        </w:rPr>
        <w:t xml:space="preserve">is the agent’s wealth if insured. </w:t>
      </w:r>
      <w:r>
        <w:rPr>
          <w:rFonts w:ascii="Cambria" w:eastAsia="Cambria" w:hAnsi="Cambria" w:cs="Cambria"/>
          <w:i/>
        </w:rPr>
        <w:t xml:space="preserve">w </w:t>
      </w:r>
      <w:r>
        <w:rPr>
          <w:rFonts w:ascii="Cambria" w:eastAsia="Cambria" w:hAnsi="Cambria" w:cs="Cambria"/>
        </w:rPr>
        <w:t xml:space="preserve">is the wealth at origin. </w:t>
      </w:r>
      <w:r>
        <w:rPr>
          <w:rFonts w:ascii="Cambria" w:eastAsia="Cambria" w:hAnsi="Cambria" w:cs="Cambria"/>
          <w:i/>
        </w:rPr>
        <w:t xml:space="preserve">Z </w:t>
      </w:r>
      <w:r>
        <w:rPr>
          <w:rFonts w:ascii="Cambria" w:eastAsia="Cambria" w:hAnsi="Cambria" w:cs="Cambria"/>
        </w:rPr>
        <w:t xml:space="preserve">is the level of indemnification; </w:t>
      </w:r>
      <w:r>
        <w:rPr>
          <w:rFonts w:ascii="Cambria" w:eastAsia="Cambria" w:hAnsi="Cambria" w:cs="Cambria"/>
          <w:i/>
        </w:rPr>
        <w:t xml:space="preserve">q </w:t>
      </w:r>
      <w:r>
        <w:rPr>
          <w:rFonts w:ascii="Cambria" w:eastAsia="Cambria" w:hAnsi="Cambria" w:cs="Cambria"/>
        </w:rPr>
        <w:t>is the premium per unit of indemnification.</w:t>
      </w:r>
    </w:p>
    <w:p w:rsidR="00EE13F6" w:rsidRDefault="002E5BC4">
      <w:pPr>
        <w:spacing w:after="178" w:line="264" w:lineRule="auto"/>
        <w:ind w:left="19" w:right="477" w:hanging="10"/>
        <w:jc w:val="both"/>
      </w:pPr>
      <w:r>
        <w:rPr>
          <w:rFonts w:ascii="Cambria" w:eastAsia="Cambria" w:hAnsi="Cambria" w:cs="Cambria"/>
          <w:i/>
        </w:rPr>
        <w:t xml:space="preserve">L </w:t>
      </w:r>
      <w:r>
        <w:rPr>
          <w:rFonts w:ascii="Cambria" w:eastAsia="Cambria" w:hAnsi="Cambria" w:cs="Cambria"/>
        </w:rPr>
        <w:t>is the level of loss.</w:t>
      </w:r>
    </w:p>
    <w:p w:rsidR="00EE13F6" w:rsidRDefault="002E5BC4">
      <w:pPr>
        <w:spacing w:after="155" w:line="264" w:lineRule="auto"/>
        <w:ind w:left="19" w:right="477" w:hanging="10"/>
        <w:jc w:val="both"/>
      </w:pPr>
      <w:r>
        <w:rPr>
          <w:rFonts w:ascii="Cambria" w:eastAsia="Cambria" w:hAnsi="Cambria" w:cs="Cambria"/>
          <w:i/>
        </w:rPr>
        <w:t xml:space="preserve">π </w:t>
      </w:r>
      <w:r>
        <w:rPr>
          <w:rFonts w:ascii="Cambria" w:eastAsia="Cambria" w:hAnsi="Cambria" w:cs="Cambria"/>
        </w:rPr>
        <w:t>is the probability of occurrence of the event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&gt; K</w:t>
      </w:r>
      <w:r>
        <w:rPr>
          <w:rFonts w:ascii="Cambria" w:eastAsia="Cambria" w:hAnsi="Cambria" w:cs="Cambria"/>
        </w:rPr>
        <w:t>).</w:t>
      </w:r>
    </w:p>
    <w:p w:rsidR="00EE13F6" w:rsidRDefault="002E5BC4" w:rsidP="002E5BC4">
      <w:pPr>
        <w:numPr>
          <w:ilvl w:val="0"/>
          <w:numId w:val="23"/>
        </w:numPr>
        <w:spacing w:after="197" w:line="264" w:lineRule="auto"/>
        <w:ind w:right="477" w:hanging="424"/>
        <w:jc w:val="both"/>
      </w:pPr>
      <w:r>
        <w:rPr>
          <w:rFonts w:ascii="Cambria" w:eastAsia="Cambria" w:hAnsi="Cambria" w:cs="Cambria"/>
        </w:rPr>
        <w:t>For the Binary contract, the insured agent considers then the maximization program of itsutility function which writes as follows:</w:t>
      </w:r>
    </w:p>
    <w:tbl>
      <w:tblPr>
        <w:tblStyle w:val="TableGrid"/>
        <w:tblW w:w="9360" w:type="dxa"/>
        <w:tblInd w:w="0" w:type="dxa"/>
        <w:tblCellMar>
          <w:top w:w="10" w:type="dxa"/>
          <w:left w:w="0" w:type="dxa"/>
          <w:bottom w:w="21" w:type="dxa"/>
          <w:right w:w="0" w:type="dxa"/>
        </w:tblCellMar>
        <w:tblLook w:val="04A0" w:firstRow="1" w:lastRow="0" w:firstColumn="1" w:lastColumn="0" w:noHBand="0" w:noVBand="1"/>
      </w:tblPr>
      <w:tblGrid>
        <w:gridCol w:w="8948"/>
        <w:gridCol w:w="412"/>
      </w:tblGrid>
      <w:tr w:rsidR="00EE13F6">
        <w:trPr>
          <w:trHeight w:val="870"/>
        </w:trPr>
        <w:tc>
          <w:tcPr>
            <w:tcW w:w="8972" w:type="dxa"/>
            <w:tcBorders>
              <w:top w:val="nil"/>
              <w:left w:val="nil"/>
              <w:bottom w:val="nil"/>
              <w:right w:val="nil"/>
            </w:tcBorders>
          </w:tcPr>
          <w:p w:rsidR="00EE13F6" w:rsidRDefault="002E5BC4">
            <w:pPr>
              <w:spacing w:after="277"/>
              <w:ind w:left="388"/>
              <w:jc w:val="center"/>
            </w:pPr>
            <w:r>
              <w:rPr>
                <w:rFonts w:ascii="Cambria" w:eastAsia="Cambria" w:hAnsi="Cambria" w:cs="Cambria"/>
                <w:i/>
              </w:rPr>
              <w:t>Max</w:t>
            </w:r>
            <w:r>
              <w:rPr>
                <w:rFonts w:ascii="Cambria" w:eastAsia="Cambria" w:hAnsi="Cambria" w:cs="Cambria"/>
              </w:rPr>
              <w:t xml:space="preserve">[(1 − </w:t>
            </w:r>
            <w:r>
              <w:rPr>
                <w:rFonts w:ascii="Cambria" w:eastAsia="Cambria" w:hAnsi="Cambria" w:cs="Cambria"/>
                <w:i/>
              </w:rPr>
              <w:t>π</w:t>
            </w:r>
            <w:r>
              <w:rPr>
                <w:rFonts w:ascii="Cambria" w:eastAsia="Cambria" w:hAnsi="Cambria" w:cs="Cambria"/>
              </w:rPr>
              <w:t>)</w:t>
            </w:r>
            <w:r>
              <w:rPr>
                <w:rFonts w:ascii="Cambria" w:eastAsia="Cambria" w:hAnsi="Cambria" w:cs="Cambria"/>
                <w:i/>
              </w:rPr>
              <w:t>U</w:t>
            </w:r>
            <w:r>
              <w:rPr>
                <w:rFonts w:ascii="Cambria" w:eastAsia="Cambria" w:hAnsi="Cambria" w:cs="Cambria"/>
              </w:rPr>
              <w:t>(</w:t>
            </w:r>
            <w:r>
              <w:rPr>
                <w:rFonts w:ascii="Cambria" w:eastAsia="Cambria" w:hAnsi="Cambria" w:cs="Cambria"/>
                <w:i/>
              </w:rPr>
              <w:t xml:space="preserve">w </w:t>
            </w:r>
            <w:r>
              <w:rPr>
                <w:rFonts w:ascii="Cambria" w:eastAsia="Cambria" w:hAnsi="Cambria" w:cs="Cambria"/>
              </w:rPr>
              <w:t>−</w:t>
            </w:r>
            <w:r>
              <w:rPr>
                <w:rFonts w:ascii="Cambria" w:eastAsia="Cambria" w:hAnsi="Cambria" w:cs="Cambria"/>
              </w:rPr>
              <w:t xml:space="preserve"> </w:t>
            </w:r>
            <w:r>
              <w:rPr>
                <w:rFonts w:ascii="Cambria" w:eastAsia="Cambria" w:hAnsi="Cambria" w:cs="Cambria"/>
                <w:i/>
              </w:rPr>
              <w:t>qZ</w:t>
            </w:r>
            <w:r>
              <w:rPr>
                <w:rFonts w:ascii="Cambria" w:eastAsia="Cambria" w:hAnsi="Cambria" w:cs="Cambria"/>
              </w:rPr>
              <w:t xml:space="preserve">) + </w:t>
            </w:r>
            <w:r>
              <w:rPr>
                <w:rFonts w:ascii="Cambria" w:eastAsia="Cambria" w:hAnsi="Cambria" w:cs="Cambria"/>
                <w:i/>
              </w:rPr>
              <w:t>πU</w:t>
            </w:r>
            <w:r>
              <w:rPr>
                <w:rFonts w:ascii="Cambria" w:eastAsia="Cambria" w:hAnsi="Cambria" w:cs="Cambria"/>
              </w:rPr>
              <w:t>(</w:t>
            </w:r>
            <w:r>
              <w:rPr>
                <w:rFonts w:ascii="Cambria" w:eastAsia="Cambria" w:hAnsi="Cambria" w:cs="Cambria"/>
                <w:i/>
              </w:rPr>
              <w:t xml:space="preserve">w </w:t>
            </w:r>
            <w:r>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qZ </w:t>
            </w:r>
            <w:r>
              <w:rPr>
                <w:rFonts w:ascii="Cambria" w:eastAsia="Cambria" w:hAnsi="Cambria" w:cs="Cambria"/>
              </w:rPr>
              <w:t xml:space="preserve">+ </w:t>
            </w:r>
            <w:r>
              <w:rPr>
                <w:rFonts w:ascii="Cambria" w:eastAsia="Cambria" w:hAnsi="Cambria" w:cs="Cambria"/>
                <w:i/>
              </w:rPr>
              <w:t xml:space="preserve">Z </w:t>
            </w:r>
            <w:r>
              <w:rPr>
                <w:rFonts w:ascii="Cambria" w:eastAsia="Cambria" w:hAnsi="Cambria" w:cs="Cambria"/>
              </w:rPr>
              <w:t>−</w:t>
            </w:r>
            <w:r>
              <w:rPr>
                <w:rFonts w:ascii="Cambria" w:eastAsia="Cambria" w:hAnsi="Cambria" w:cs="Cambria"/>
              </w:rPr>
              <w:t xml:space="preserve"> </w:t>
            </w:r>
            <w:r>
              <w:rPr>
                <w:rFonts w:ascii="Cambria" w:eastAsia="Cambria" w:hAnsi="Cambria" w:cs="Cambria"/>
                <w:i/>
              </w:rPr>
              <w:t>L</w:t>
            </w:r>
            <w:r>
              <w:rPr>
                <w:rFonts w:ascii="Cambria" w:eastAsia="Cambria" w:hAnsi="Cambria" w:cs="Cambria"/>
              </w:rPr>
              <w:t>)]</w:t>
            </w:r>
          </w:p>
          <w:p w:rsidR="00EE13F6" w:rsidRDefault="002E5BC4">
            <w:pPr>
              <w:spacing w:after="0"/>
            </w:pPr>
            <w:r>
              <w:rPr>
                <w:rFonts w:ascii="Cambria" w:eastAsia="Cambria" w:hAnsi="Cambria" w:cs="Cambria"/>
              </w:rPr>
              <w:t>The first order condition writes:</w:t>
            </w:r>
          </w:p>
        </w:tc>
        <w:tc>
          <w:tcPr>
            <w:tcW w:w="388" w:type="dxa"/>
            <w:tcBorders>
              <w:top w:val="nil"/>
              <w:left w:val="nil"/>
              <w:bottom w:val="nil"/>
              <w:right w:val="nil"/>
            </w:tcBorders>
          </w:tcPr>
          <w:p w:rsidR="00EE13F6" w:rsidRDefault="002E5BC4">
            <w:pPr>
              <w:spacing w:after="0"/>
              <w:jc w:val="both"/>
            </w:pPr>
            <w:r>
              <w:rPr>
                <w:rFonts w:ascii="Cambria" w:eastAsia="Cambria" w:hAnsi="Cambria" w:cs="Cambria"/>
              </w:rPr>
              <w:t>(43)</w:t>
            </w:r>
          </w:p>
        </w:tc>
      </w:tr>
      <w:tr w:rsidR="00EE13F6">
        <w:trPr>
          <w:trHeight w:val="392"/>
        </w:trPr>
        <w:tc>
          <w:tcPr>
            <w:tcW w:w="8972" w:type="dxa"/>
            <w:tcBorders>
              <w:top w:val="nil"/>
              <w:left w:val="nil"/>
              <w:bottom w:val="nil"/>
              <w:right w:val="nil"/>
            </w:tcBorders>
            <w:vAlign w:val="bottom"/>
          </w:tcPr>
          <w:p w:rsidR="00EE13F6" w:rsidRDefault="002E5BC4">
            <w:pPr>
              <w:spacing w:after="0"/>
              <w:ind w:left="388"/>
              <w:jc w:val="center"/>
            </w:pPr>
            <w:r>
              <w:rPr>
                <w:rFonts w:ascii="Cambria" w:eastAsia="Cambria" w:hAnsi="Cambria" w:cs="Cambria"/>
                <w:i/>
              </w:rPr>
              <w:t>q</w:t>
            </w:r>
            <w:r>
              <w:rPr>
                <w:rFonts w:ascii="Cambria" w:eastAsia="Cambria" w:hAnsi="Cambria" w:cs="Cambria"/>
              </w:rPr>
              <w:t xml:space="preserve">(1 − </w:t>
            </w:r>
            <w:r>
              <w:rPr>
                <w:rFonts w:ascii="Cambria" w:eastAsia="Cambria" w:hAnsi="Cambria" w:cs="Cambria"/>
                <w:i/>
              </w:rPr>
              <w:t>π</w:t>
            </w:r>
            <w:r>
              <w:rPr>
                <w:rFonts w:ascii="Cambria" w:eastAsia="Cambria" w:hAnsi="Cambria" w:cs="Cambria"/>
              </w:rPr>
              <w:t>)</w:t>
            </w:r>
            <w:r>
              <w:rPr>
                <w:rFonts w:ascii="Cambria" w:eastAsia="Cambria" w:hAnsi="Cambria" w:cs="Cambria"/>
                <w:i/>
              </w:rPr>
              <w:t>U</w:t>
            </w:r>
            <w:r>
              <w:rPr>
                <w:rFonts w:ascii="Cambria" w:eastAsia="Cambria" w:hAnsi="Cambria" w:cs="Cambria"/>
                <w:vertAlign w:val="superscript"/>
              </w:rPr>
              <w:t>0</w:t>
            </w:r>
            <w:r>
              <w:rPr>
                <w:rFonts w:ascii="Cambria" w:eastAsia="Cambria" w:hAnsi="Cambria" w:cs="Cambria"/>
              </w:rPr>
              <w:t>(</w:t>
            </w:r>
            <w:r>
              <w:rPr>
                <w:rFonts w:ascii="Cambria" w:eastAsia="Cambria" w:hAnsi="Cambria" w:cs="Cambria"/>
                <w:i/>
              </w:rPr>
              <w:t>w</w:t>
            </w:r>
            <w:r>
              <w:rPr>
                <w:rFonts w:ascii="Cambria" w:eastAsia="Cambria" w:hAnsi="Cambria" w:cs="Cambria"/>
                <w:vertAlign w:val="subscript"/>
              </w:rPr>
              <w:t>1</w:t>
            </w:r>
            <w:r>
              <w:rPr>
                <w:rFonts w:ascii="Cambria" w:eastAsia="Cambria" w:hAnsi="Cambria" w:cs="Cambria"/>
              </w:rPr>
              <w:t xml:space="preserve">) = </w:t>
            </w:r>
            <w:r>
              <w:rPr>
                <w:rFonts w:ascii="Cambria" w:eastAsia="Cambria" w:hAnsi="Cambria" w:cs="Cambria"/>
                <w:i/>
              </w:rPr>
              <w:t>π</w:t>
            </w:r>
            <w:r>
              <w:rPr>
                <w:rFonts w:ascii="Cambria" w:eastAsia="Cambria" w:hAnsi="Cambria" w:cs="Cambria"/>
              </w:rPr>
              <w:t xml:space="preserve">(1 − </w:t>
            </w:r>
            <w:r>
              <w:rPr>
                <w:rFonts w:ascii="Cambria" w:eastAsia="Cambria" w:hAnsi="Cambria" w:cs="Cambria"/>
                <w:i/>
              </w:rPr>
              <w:t>q</w:t>
            </w:r>
            <w:r>
              <w:rPr>
                <w:rFonts w:ascii="Cambria" w:eastAsia="Cambria" w:hAnsi="Cambria" w:cs="Cambria"/>
              </w:rPr>
              <w:t>)</w:t>
            </w:r>
            <w:r>
              <w:rPr>
                <w:rFonts w:ascii="Cambria" w:eastAsia="Cambria" w:hAnsi="Cambria" w:cs="Cambria"/>
                <w:i/>
              </w:rPr>
              <w:t>U</w:t>
            </w:r>
            <w:r>
              <w:rPr>
                <w:rFonts w:ascii="Cambria" w:eastAsia="Cambria" w:hAnsi="Cambria" w:cs="Cambria"/>
                <w:vertAlign w:val="superscript"/>
              </w:rPr>
              <w:t>0</w:t>
            </w:r>
            <w:r>
              <w:rPr>
                <w:rFonts w:ascii="Cambria" w:eastAsia="Cambria" w:hAnsi="Cambria" w:cs="Cambria"/>
              </w:rPr>
              <w:t>(</w:t>
            </w:r>
            <w:r>
              <w:rPr>
                <w:rFonts w:ascii="Cambria" w:eastAsia="Cambria" w:hAnsi="Cambria" w:cs="Cambria"/>
                <w:i/>
              </w:rPr>
              <w:t>w</w:t>
            </w:r>
            <w:r>
              <w:rPr>
                <w:rFonts w:ascii="Cambria" w:eastAsia="Cambria" w:hAnsi="Cambria" w:cs="Cambria"/>
                <w:vertAlign w:val="subscript"/>
              </w:rPr>
              <w:t>2</w:t>
            </w:r>
            <w:r>
              <w:rPr>
                <w:rFonts w:ascii="Cambria" w:eastAsia="Cambria" w:hAnsi="Cambria" w:cs="Cambria"/>
              </w:rPr>
              <w:t>)</w:t>
            </w:r>
          </w:p>
        </w:tc>
        <w:tc>
          <w:tcPr>
            <w:tcW w:w="388" w:type="dxa"/>
            <w:tcBorders>
              <w:top w:val="nil"/>
              <w:left w:val="nil"/>
              <w:bottom w:val="nil"/>
              <w:right w:val="nil"/>
            </w:tcBorders>
            <w:vAlign w:val="bottom"/>
          </w:tcPr>
          <w:p w:rsidR="00EE13F6" w:rsidRDefault="002E5BC4">
            <w:pPr>
              <w:spacing w:after="0"/>
              <w:jc w:val="both"/>
            </w:pPr>
            <w:r>
              <w:rPr>
                <w:rFonts w:ascii="Cambria" w:eastAsia="Cambria" w:hAnsi="Cambria" w:cs="Cambria"/>
              </w:rPr>
              <w:t>(44)</w:t>
            </w:r>
          </w:p>
        </w:tc>
      </w:tr>
    </w:tbl>
    <w:p w:rsidR="00EE13F6" w:rsidRDefault="002E5BC4">
      <w:pPr>
        <w:spacing w:after="133" w:line="264" w:lineRule="auto"/>
        <w:ind w:left="19" w:right="477" w:hanging="10"/>
        <w:jc w:val="both"/>
      </w:pPr>
      <w:r>
        <w:rPr>
          <w:rFonts w:ascii="Cambria" w:eastAsia="Cambria" w:hAnsi="Cambria" w:cs="Cambria"/>
        </w:rPr>
        <w:t xml:space="preserve">It comes immediately that If </w:t>
      </w:r>
      <w:r>
        <w:rPr>
          <w:rFonts w:ascii="Cambria" w:eastAsia="Cambria" w:hAnsi="Cambria" w:cs="Cambria"/>
          <w:i/>
        </w:rPr>
        <w:t xml:space="preserve">q </w:t>
      </w:r>
      <w:r>
        <w:rPr>
          <w:rFonts w:ascii="Cambria" w:eastAsia="Cambria" w:hAnsi="Cambria" w:cs="Cambria"/>
        </w:rPr>
        <w:t xml:space="preserve">= </w:t>
      </w:r>
      <w:r>
        <w:rPr>
          <w:rFonts w:ascii="Cambria" w:eastAsia="Cambria" w:hAnsi="Cambria" w:cs="Cambria"/>
          <w:i/>
        </w:rPr>
        <w:t xml:space="preserve">π </w:t>
      </w:r>
      <w:r>
        <w:rPr>
          <w:rFonts w:ascii="Cambria" w:eastAsia="Cambria" w:hAnsi="Cambria" w:cs="Cambria"/>
        </w:rPr>
        <w:t xml:space="preserve">then </w:t>
      </w:r>
      <w:r>
        <w:rPr>
          <w:rFonts w:ascii="Cambria" w:eastAsia="Cambria" w:hAnsi="Cambria" w:cs="Cambria"/>
          <w:i/>
        </w:rPr>
        <w:t>Z</w:t>
      </w:r>
      <w:r>
        <w:rPr>
          <w:rFonts w:ascii="Cambria" w:eastAsia="Cambria" w:hAnsi="Cambria" w:cs="Cambria"/>
        </w:rPr>
        <w:t>=</w:t>
      </w:r>
      <w:r>
        <w:rPr>
          <w:rFonts w:ascii="Cambria" w:eastAsia="Cambria" w:hAnsi="Cambria" w:cs="Cambria"/>
          <w:i/>
        </w:rPr>
        <w:t xml:space="preserve">L </w:t>
      </w:r>
      <w:r>
        <w:rPr>
          <w:rFonts w:ascii="Cambria" w:eastAsia="Cambria" w:hAnsi="Cambria" w:cs="Cambria"/>
        </w:rPr>
        <w:t>. So we can see this optimum corresponds to a situation where the agent wealth stays the same regardless of the occurrence of the event.</w:t>
      </w:r>
    </w:p>
    <w:p w:rsidR="00EE13F6" w:rsidRDefault="002E5BC4">
      <w:pPr>
        <w:spacing w:after="133" w:line="264" w:lineRule="auto"/>
        <w:ind w:left="19" w:right="477" w:hanging="10"/>
        <w:jc w:val="both"/>
      </w:pPr>
      <w:r>
        <w:rPr>
          <w:rFonts w:ascii="Cambria" w:eastAsia="Cambria" w:hAnsi="Cambria" w:cs="Cambria"/>
        </w:rPr>
        <w:t xml:space="preserve">Consequently, such a Binary option is an ”optimal Insurance contract”, because the premium paid </w:t>
      </w:r>
      <w:r>
        <w:rPr>
          <w:rFonts w:ascii="Cambria" w:eastAsia="Cambria" w:hAnsi="Cambria" w:cs="Cambria"/>
          <w:i/>
        </w:rPr>
        <w:t>K</w:t>
      </w:r>
      <w:r>
        <w:rPr>
          <w:rFonts w:ascii="Cambria" w:eastAsia="Cambria" w:hAnsi="Cambria" w:cs="Cambria"/>
        </w:rPr>
        <w:t>Φ(</w:t>
      </w:r>
      <w:r>
        <w:rPr>
          <w:rFonts w:ascii="Cambria" w:eastAsia="Cambria" w:hAnsi="Cambria" w:cs="Cambria"/>
          <w:i/>
        </w:rPr>
        <w:t>d</w:t>
      </w:r>
      <w:r>
        <w:rPr>
          <w:rFonts w:ascii="Cambria" w:eastAsia="Cambria" w:hAnsi="Cambria" w:cs="Cambria"/>
          <w:vertAlign w:val="subscript"/>
        </w:rPr>
        <w:t>2</w:t>
      </w:r>
      <w:r>
        <w:rPr>
          <w:rFonts w:ascii="Cambria" w:eastAsia="Cambria" w:hAnsi="Cambria" w:cs="Cambria"/>
        </w:rPr>
        <w:t>) is the product o</w:t>
      </w:r>
      <w:r>
        <w:rPr>
          <w:rFonts w:ascii="Cambria" w:eastAsia="Cambria" w:hAnsi="Cambria" w:cs="Cambria"/>
        </w:rPr>
        <w:t>f the indemnity and the probability of occurrence of the Insured event, such that the premium per indemnity is equal to the probability of occurrence Φ(</w:t>
      </w:r>
      <w:r>
        <w:rPr>
          <w:rFonts w:ascii="Cambria" w:eastAsia="Cambria" w:hAnsi="Cambria" w:cs="Cambria"/>
          <w:i/>
        </w:rPr>
        <w:t>d</w:t>
      </w:r>
      <w:r>
        <w:rPr>
          <w:rFonts w:ascii="Cambria" w:eastAsia="Cambria" w:hAnsi="Cambria" w:cs="Cambria"/>
          <w:vertAlign w:val="subscript"/>
        </w:rPr>
        <w:t>2</w:t>
      </w:r>
      <w:r>
        <w:rPr>
          <w:rFonts w:ascii="Cambria" w:eastAsia="Cambria" w:hAnsi="Cambria" w:cs="Cambria"/>
        </w:rPr>
        <w:t>).</w:t>
      </w:r>
    </w:p>
    <w:p w:rsidR="00EE13F6" w:rsidRDefault="002E5BC4" w:rsidP="002E5BC4">
      <w:pPr>
        <w:numPr>
          <w:ilvl w:val="0"/>
          <w:numId w:val="23"/>
        </w:numPr>
        <w:spacing w:after="166" w:line="264" w:lineRule="auto"/>
        <w:ind w:right="477" w:hanging="424"/>
        <w:jc w:val="both"/>
      </w:pPr>
      <w:r>
        <w:rPr>
          <w:rFonts w:ascii="Cambria" w:eastAsia="Cambria" w:hAnsi="Cambria" w:cs="Cambria"/>
        </w:rPr>
        <w:t>For the Asset or Nothing, we can remark that:</w:t>
      </w:r>
    </w:p>
    <w:p w:rsidR="00EE13F6" w:rsidRDefault="002E5BC4">
      <w:pPr>
        <w:spacing w:after="159" w:line="264" w:lineRule="auto"/>
        <w:ind w:left="19" w:right="477" w:hanging="10"/>
        <w:jc w:val="both"/>
      </w:pPr>
      <w:r>
        <w:rPr>
          <w:rFonts w:ascii="Cambria" w:eastAsia="Cambria" w:hAnsi="Cambria" w:cs="Cambria"/>
        </w:rPr>
        <w:t xml:space="preserve">-The premium </w:t>
      </w:r>
      <w:r>
        <w:rPr>
          <w:rFonts w:ascii="Cambria" w:eastAsia="Cambria" w:hAnsi="Cambria" w:cs="Cambria"/>
          <w:i/>
        </w:rPr>
        <w:t>S</w:t>
      </w:r>
      <w:r>
        <w:rPr>
          <w:rFonts w:ascii="Cambria" w:eastAsia="Cambria" w:hAnsi="Cambria" w:cs="Cambria"/>
          <w:vertAlign w:val="subscript"/>
        </w:rPr>
        <w:t>0</w:t>
      </w:r>
      <w:r>
        <w:rPr>
          <w:rFonts w:ascii="Cambria" w:eastAsia="Cambria" w:hAnsi="Cambria" w:cs="Cambria"/>
          <w:i/>
        </w:rPr>
        <w:t>.</w:t>
      </w:r>
      <w:r>
        <w:rPr>
          <w:rFonts w:ascii="Cambria" w:eastAsia="Cambria" w:hAnsi="Cambria" w:cs="Cambria"/>
        </w:rPr>
        <w:t>Φ(</w:t>
      </w:r>
      <w:r>
        <w:rPr>
          <w:rFonts w:ascii="Cambria" w:eastAsia="Cambria" w:hAnsi="Cambria" w:cs="Cambria"/>
          <w:i/>
        </w:rPr>
        <w:t>d</w:t>
      </w:r>
      <w:r>
        <w:rPr>
          <w:rFonts w:ascii="Cambria" w:eastAsia="Cambria" w:hAnsi="Cambria" w:cs="Cambria"/>
          <w:vertAlign w:val="subscript"/>
        </w:rPr>
        <w:t>1</w:t>
      </w:r>
      <w:r>
        <w:rPr>
          <w:rFonts w:ascii="Cambria" w:eastAsia="Cambria" w:hAnsi="Cambria" w:cs="Cambria"/>
        </w:rPr>
        <w:t>) corresponds to an ”optimal insurance contract”. We just need to check that such premium keeps the net wealth of the agent at a constant level regardless of the occurrence of the event.</w:t>
      </w:r>
    </w:p>
    <w:p w:rsidR="00EE13F6" w:rsidRDefault="002E5BC4">
      <w:pPr>
        <w:spacing w:after="0" w:line="264" w:lineRule="auto"/>
        <w:ind w:left="19" w:right="477" w:hanging="10"/>
        <w:jc w:val="both"/>
      </w:pPr>
      <w:r>
        <w:rPr>
          <w:rFonts w:ascii="Cambria" w:eastAsia="Cambria" w:hAnsi="Cambria" w:cs="Cambria"/>
        </w:rPr>
        <w:t>- We can see also that the Asset or Nothing based contract correspond</w:t>
      </w:r>
      <w:r>
        <w:rPr>
          <w:rFonts w:ascii="Cambria" w:eastAsia="Cambria" w:hAnsi="Cambria" w:cs="Cambria"/>
        </w:rPr>
        <w:t>s to a maximization of the</w:t>
      </w:r>
    </w:p>
    <w:p w:rsidR="00EE13F6" w:rsidRDefault="002E5BC4">
      <w:pPr>
        <w:spacing w:after="133" w:line="264" w:lineRule="auto"/>
        <w:ind w:left="19" w:right="477" w:hanging="10"/>
        <w:jc w:val="both"/>
      </w:pPr>
      <w:r>
        <w:rPr>
          <w:rFonts w:ascii="Cambria" w:eastAsia="Cambria" w:hAnsi="Cambria" w:cs="Cambria"/>
        </w:rPr>
        <w:t>Agent’s utility.</w:t>
      </w:r>
    </w:p>
    <w:p w:rsidR="00EE13F6" w:rsidRDefault="002E5BC4">
      <w:pPr>
        <w:spacing w:after="137"/>
        <w:ind w:left="-5" w:hanging="10"/>
      </w:pPr>
      <w:r>
        <w:rPr>
          <w:rFonts w:ascii="Cambria" w:eastAsia="Cambria" w:hAnsi="Cambria" w:cs="Cambria"/>
          <w:i/>
        </w:rPr>
        <w:t>Proof</w:t>
      </w:r>
    </w:p>
    <w:p w:rsidR="00EE13F6" w:rsidRDefault="002E5BC4">
      <w:pPr>
        <w:spacing w:after="133" w:line="264" w:lineRule="auto"/>
        <w:ind w:left="19" w:right="477" w:hanging="10"/>
        <w:jc w:val="both"/>
      </w:pPr>
      <w:r>
        <w:rPr>
          <w:rFonts w:ascii="Cambria" w:eastAsia="Cambria" w:hAnsi="Cambria" w:cs="Cambria"/>
        </w:rPr>
        <w:t xml:space="preserve">With the same assumptions, the insured agent will maximize its utility function and choose an ”Insurance level” </w:t>
      </w:r>
      <w:r>
        <w:rPr>
          <w:rFonts w:ascii="Cambria" w:eastAsia="Cambria" w:hAnsi="Cambria" w:cs="Cambria"/>
          <w:i/>
        </w:rPr>
        <w:t xml:space="preserve">αS </w:t>
      </w:r>
      <w:r>
        <w:rPr>
          <w:rFonts w:ascii="Cambria" w:eastAsia="Cambria" w:hAnsi="Cambria" w:cs="Cambria"/>
        </w:rPr>
        <w:t xml:space="preserve">with </w:t>
      </w:r>
      <w:r>
        <w:rPr>
          <w:rFonts w:ascii="Cambria" w:eastAsia="Cambria" w:hAnsi="Cambria" w:cs="Cambria"/>
          <w:i/>
        </w:rPr>
        <w:t xml:space="preserve">α </w:t>
      </w:r>
      <w:r>
        <w:rPr>
          <w:rFonts w:ascii="Cambria" w:eastAsia="Cambria" w:hAnsi="Cambria" w:cs="Cambria"/>
        </w:rPr>
        <w:t xml:space="preserve">positive and up to 1. The probability distribution is continuous, and we have to consider the modified measure </w:t>
      </w: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w:t>
      </w:r>
    </w:p>
    <w:tbl>
      <w:tblPr>
        <w:tblStyle w:val="TableGrid"/>
        <w:tblW w:w="9360" w:type="dxa"/>
        <w:tblInd w:w="0" w:type="dxa"/>
        <w:tblCellMar>
          <w:top w:w="49" w:type="dxa"/>
          <w:left w:w="0" w:type="dxa"/>
          <w:bottom w:w="41" w:type="dxa"/>
          <w:right w:w="0" w:type="dxa"/>
        </w:tblCellMar>
        <w:tblLook w:val="04A0" w:firstRow="1" w:lastRow="0" w:firstColumn="1" w:lastColumn="0" w:noHBand="0" w:noVBand="1"/>
      </w:tblPr>
      <w:tblGrid>
        <w:gridCol w:w="8948"/>
        <w:gridCol w:w="412"/>
      </w:tblGrid>
      <w:tr w:rsidR="00EE13F6">
        <w:trPr>
          <w:trHeight w:val="745"/>
        </w:trPr>
        <w:tc>
          <w:tcPr>
            <w:tcW w:w="8972" w:type="dxa"/>
            <w:tcBorders>
              <w:top w:val="nil"/>
              <w:left w:val="nil"/>
              <w:bottom w:val="nil"/>
              <w:right w:val="nil"/>
            </w:tcBorders>
          </w:tcPr>
          <w:p w:rsidR="00EE13F6" w:rsidRDefault="002E5BC4">
            <w:pPr>
              <w:spacing w:after="153"/>
              <w:ind w:left="2174"/>
            </w:pPr>
            <w:r>
              <w:rPr>
                <w:rFonts w:ascii="Cambria" w:eastAsia="Cambria" w:hAnsi="Cambria" w:cs="Cambria"/>
                <w:i/>
              </w:rPr>
              <w:t>MaxE</w:t>
            </w:r>
            <w:r>
              <w:rPr>
                <w:rFonts w:ascii="Cambria" w:eastAsia="Cambria" w:hAnsi="Cambria" w:cs="Cambria"/>
                <w:i/>
                <w:vertAlign w:val="superscript"/>
              </w:rPr>
              <w:t>Q</w:t>
            </w:r>
            <w:r>
              <w:rPr>
                <w:rFonts w:ascii="Cambria" w:eastAsia="Cambria" w:hAnsi="Cambria" w:cs="Cambria"/>
              </w:rPr>
              <w:t>[</w:t>
            </w:r>
            <w:r>
              <w:rPr>
                <w:rFonts w:ascii="Cambria" w:eastAsia="Cambria" w:hAnsi="Cambria" w:cs="Cambria"/>
                <w:i/>
              </w:rPr>
              <w:t>U</w:t>
            </w:r>
            <w:r>
              <w:rPr>
                <w:rFonts w:ascii="Cambria" w:eastAsia="Cambria" w:hAnsi="Cambria" w:cs="Cambria"/>
              </w:rPr>
              <w:t>(</w:t>
            </w:r>
            <w:r>
              <w:rPr>
                <w:rFonts w:ascii="Cambria" w:eastAsia="Cambria" w:hAnsi="Cambria" w:cs="Cambria"/>
                <w:i/>
              </w:rPr>
              <w:t xml:space="preserve">w </w:t>
            </w:r>
            <w:r>
              <w:rPr>
                <w:rFonts w:ascii="Cambria" w:eastAsia="Cambria" w:hAnsi="Cambria" w:cs="Cambria"/>
              </w:rPr>
              <w:t>−</w:t>
            </w:r>
            <w:r>
              <w:rPr>
                <w:rFonts w:ascii="Cambria" w:eastAsia="Cambria" w:hAnsi="Cambria" w:cs="Cambria"/>
              </w:rPr>
              <w:t xml:space="preserve"> </w:t>
            </w:r>
            <w:r>
              <w:rPr>
                <w:rFonts w:ascii="Cambria" w:eastAsia="Cambria" w:hAnsi="Cambria" w:cs="Cambria"/>
                <w:i/>
              </w:rPr>
              <w:t>α</w:t>
            </w:r>
            <w:r>
              <w:rPr>
                <w:rFonts w:ascii="Cambria" w:eastAsia="Cambria" w:hAnsi="Cambria" w:cs="Cambria"/>
              </w:rPr>
              <w:t>Φ(</w:t>
            </w:r>
            <w:r>
              <w:rPr>
                <w:rFonts w:ascii="Cambria" w:eastAsia="Cambria" w:hAnsi="Cambria" w:cs="Cambria"/>
                <w:i/>
              </w:rPr>
              <w:t>d</w:t>
            </w:r>
            <w:r>
              <w:rPr>
                <w:rFonts w:ascii="Cambria" w:eastAsia="Cambria" w:hAnsi="Cambria" w:cs="Cambria"/>
                <w:vertAlign w:val="subscript"/>
              </w:rPr>
              <w:t>1</w:t>
            </w:r>
            <w:r>
              <w:rPr>
                <w:rFonts w:ascii="Cambria" w:eastAsia="Cambria" w:hAnsi="Cambria" w:cs="Cambria"/>
              </w:rPr>
              <w:t>)</w:t>
            </w:r>
            <w:r>
              <w:rPr>
                <w:rFonts w:ascii="Cambria" w:eastAsia="Cambria" w:hAnsi="Cambria" w:cs="Cambria"/>
                <w:i/>
              </w:rPr>
              <w:t>S</w:t>
            </w:r>
            <w:r>
              <w:rPr>
                <w:rFonts w:ascii="Cambria" w:eastAsia="Cambria" w:hAnsi="Cambria" w:cs="Cambria"/>
                <w:vertAlign w:val="subscript"/>
              </w:rPr>
              <w:t>0</w:t>
            </w:r>
            <w:r>
              <w:rPr>
                <w:rFonts w:ascii="Cambria" w:eastAsia="Cambria" w:hAnsi="Cambria" w:cs="Cambria"/>
              </w:rPr>
              <w:t>) + (</w:t>
            </w:r>
            <w:r>
              <w:rPr>
                <w:rFonts w:ascii="Cambria" w:eastAsia="Cambria" w:hAnsi="Cambria" w:cs="Cambria"/>
                <w:i/>
              </w:rPr>
              <w:t>αS</w:t>
            </w:r>
            <w:r>
              <w:rPr>
                <w:rFonts w:ascii="Cambria" w:eastAsia="Cambria" w:hAnsi="Cambria" w:cs="Cambria"/>
                <w:i/>
                <w:vertAlign w:val="subscript"/>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){1</w:t>
            </w:r>
            <w:r>
              <w:rPr>
                <w:rFonts w:ascii="Cambria" w:eastAsia="Cambria" w:hAnsi="Cambria" w:cs="Cambria"/>
                <w:i/>
                <w:vertAlign w:val="subscript"/>
              </w:rPr>
              <w:t>S</w:t>
            </w:r>
            <w:r>
              <w:rPr>
                <w:rFonts w:ascii="Cambria" w:eastAsia="Cambria" w:hAnsi="Cambria" w:cs="Cambria"/>
                <w:i/>
                <w:sz w:val="18"/>
                <w:vertAlign w:val="subscript"/>
              </w:rPr>
              <w:t xml:space="preserve">T </w:t>
            </w:r>
            <w:r>
              <w:rPr>
                <w:rFonts w:ascii="Cambria" w:eastAsia="Cambria" w:hAnsi="Cambria" w:cs="Cambria"/>
                <w:i/>
              </w:rPr>
              <w:t>&gt; K</w:t>
            </w:r>
            <w:r>
              <w:rPr>
                <w:rFonts w:ascii="Cambria" w:eastAsia="Cambria" w:hAnsi="Cambria" w:cs="Cambria"/>
              </w:rPr>
              <w:t>}]</w:t>
            </w:r>
          </w:p>
          <w:p w:rsidR="00EE13F6" w:rsidRDefault="002E5BC4">
            <w:pPr>
              <w:spacing w:after="0"/>
            </w:pPr>
            <w:r>
              <w:rPr>
                <w:rFonts w:ascii="Cambria" w:eastAsia="Cambria" w:hAnsi="Cambria" w:cs="Cambria"/>
              </w:rPr>
              <w:t>implies a first order condition:</w:t>
            </w:r>
          </w:p>
        </w:tc>
        <w:tc>
          <w:tcPr>
            <w:tcW w:w="388" w:type="dxa"/>
            <w:tcBorders>
              <w:top w:val="nil"/>
              <w:left w:val="nil"/>
              <w:bottom w:val="nil"/>
              <w:right w:val="nil"/>
            </w:tcBorders>
          </w:tcPr>
          <w:p w:rsidR="00EE13F6" w:rsidRDefault="002E5BC4">
            <w:pPr>
              <w:spacing w:after="0"/>
              <w:jc w:val="both"/>
            </w:pPr>
            <w:r>
              <w:rPr>
                <w:rFonts w:ascii="Cambria" w:eastAsia="Cambria" w:hAnsi="Cambria" w:cs="Cambria"/>
              </w:rPr>
              <w:t>(45)</w:t>
            </w:r>
          </w:p>
        </w:tc>
      </w:tr>
      <w:tr w:rsidR="00EE13F6">
        <w:trPr>
          <w:trHeight w:val="404"/>
        </w:trPr>
        <w:tc>
          <w:tcPr>
            <w:tcW w:w="8972" w:type="dxa"/>
            <w:tcBorders>
              <w:top w:val="nil"/>
              <w:left w:val="nil"/>
              <w:bottom w:val="nil"/>
              <w:right w:val="nil"/>
            </w:tcBorders>
            <w:vAlign w:val="bottom"/>
          </w:tcPr>
          <w:p w:rsidR="00EE13F6" w:rsidRDefault="002E5BC4">
            <w:pPr>
              <w:spacing w:after="0"/>
              <w:ind w:left="1517"/>
            </w:pP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w:t>
            </w:r>
            <w:r>
              <w:rPr>
                <w:rFonts w:ascii="Cambria" w:eastAsia="Cambria" w:hAnsi="Cambria" w:cs="Cambria"/>
                <w:i/>
              </w:rPr>
              <w:t>U</w:t>
            </w:r>
            <w:r>
              <w:rPr>
                <w:rFonts w:ascii="Cambria" w:eastAsia="Cambria" w:hAnsi="Cambria" w:cs="Cambria"/>
                <w:vertAlign w:val="superscript"/>
              </w:rPr>
              <w:t>0</w:t>
            </w:r>
            <w:r>
              <w:rPr>
                <w:rFonts w:ascii="Cambria" w:eastAsia="Cambria" w:hAnsi="Cambria" w:cs="Cambria"/>
              </w:rPr>
              <w:t>(</w:t>
            </w:r>
            <w:r>
              <w:rPr>
                <w:rFonts w:ascii="Cambria" w:eastAsia="Cambria" w:hAnsi="Cambria" w:cs="Cambria"/>
                <w:i/>
              </w:rPr>
              <w:t xml:space="preserve">w </w:t>
            </w:r>
            <w:r>
              <w:rPr>
                <w:rFonts w:ascii="Cambria" w:eastAsia="Cambria" w:hAnsi="Cambria" w:cs="Cambria"/>
              </w:rPr>
              <w:t>−</w:t>
            </w:r>
            <w:r>
              <w:rPr>
                <w:rFonts w:ascii="Cambria" w:eastAsia="Cambria" w:hAnsi="Cambria" w:cs="Cambria"/>
              </w:rPr>
              <w:t xml:space="preserve"> </w:t>
            </w:r>
            <w:r>
              <w:rPr>
                <w:rFonts w:ascii="Cambria" w:eastAsia="Cambria" w:hAnsi="Cambria" w:cs="Cambria"/>
                <w:i/>
              </w:rPr>
              <w:t>α</w:t>
            </w:r>
            <w:r>
              <w:rPr>
                <w:rFonts w:ascii="Cambria" w:eastAsia="Cambria" w:hAnsi="Cambria" w:cs="Cambria"/>
              </w:rPr>
              <w:t>Φ(</w:t>
            </w:r>
            <w:r>
              <w:rPr>
                <w:rFonts w:ascii="Cambria" w:eastAsia="Cambria" w:hAnsi="Cambria" w:cs="Cambria"/>
                <w:i/>
              </w:rPr>
              <w:t>d</w:t>
            </w:r>
            <w:r>
              <w:rPr>
                <w:rFonts w:ascii="Cambria" w:eastAsia="Cambria" w:hAnsi="Cambria" w:cs="Cambria"/>
                <w:vertAlign w:val="subscript"/>
              </w:rPr>
              <w:t>1</w:t>
            </w:r>
            <w:r>
              <w:rPr>
                <w:rFonts w:ascii="Cambria" w:eastAsia="Cambria" w:hAnsi="Cambria" w:cs="Cambria"/>
              </w:rPr>
              <w:t>)</w:t>
            </w:r>
            <w:r>
              <w:rPr>
                <w:rFonts w:ascii="Cambria" w:eastAsia="Cambria" w:hAnsi="Cambria" w:cs="Cambria"/>
                <w:i/>
              </w:rPr>
              <w:t>S</w:t>
            </w:r>
            <w:r>
              <w:rPr>
                <w:rFonts w:ascii="Cambria" w:eastAsia="Cambria" w:hAnsi="Cambria" w:cs="Cambria"/>
                <w:vertAlign w:val="subscript"/>
              </w:rPr>
              <w:t xml:space="preserve">0 </w:t>
            </w:r>
            <w:r>
              <w:rPr>
                <w:rFonts w:ascii="Cambria" w:eastAsia="Cambria" w:hAnsi="Cambria" w:cs="Cambria"/>
              </w:rPr>
              <w:t xml:space="preserve">+ </w:t>
            </w:r>
            <w:r>
              <w:rPr>
                <w:rFonts w:ascii="Cambria" w:eastAsia="Cambria" w:hAnsi="Cambria" w:cs="Cambria"/>
                <w:i/>
              </w:rPr>
              <w:t>αS</w:t>
            </w:r>
            <w:r>
              <w:rPr>
                <w:rFonts w:ascii="Cambria" w:eastAsia="Cambria" w:hAnsi="Cambria" w:cs="Cambria"/>
                <w:i/>
                <w:vertAlign w:val="subscript"/>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][−Φ(</w:t>
            </w:r>
            <w:r>
              <w:rPr>
                <w:rFonts w:ascii="Cambria" w:eastAsia="Cambria" w:hAnsi="Cambria" w:cs="Cambria"/>
                <w:i/>
              </w:rPr>
              <w:t>d</w:t>
            </w:r>
            <w:r>
              <w:rPr>
                <w:rFonts w:ascii="Cambria" w:eastAsia="Cambria" w:hAnsi="Cambria" w:cs="Cambria"/>
                <w:vertAlign w:val="subscript"/>
              </w:rPr>
              <w:t>1</w:t>
            </w:r>
            <w:r>
              <w:rPr>
                <w:rFonts w:ascii="Cambria" w:eastAsia="Cambria" w:hAnsi="Cambria" w:cs="Cambria"/>
              </w:rPr>
              <w:t>)</w:t>
            </w:r>
            <w:r>
              <w:rPr>
                <w:rFonts w:ascii="Cambria" w:eastAsia="Cambria" w:hAnsi="Cambria" w:cs="Cambria"/>
                <w:i/>
              </w:rPr>
              <w:t>S</w:t>
            </w:r>
            <w:r>
              <w:rPr>
                <w:rFonts w:ascii="Cambria" w:eastAsia="Cambria" w:hAnsi="Cambria" w:cs="Cambria"/>
                <w:vertAlign w:val="subscript"/>
              </w:rPr>
              <w:t xml:space="preserve">0 </w:t>
            </w:r>
            <w:r>
              <w:rPr>
                <w:rFonts w:ascii="Cambria" w:eastAsia="Cambria" w:hAnsi="Cambria" w:cs="Cambria"/>
              </w:rPr>
              <w:t xml:space="preserve">+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{1</w:t>
            </w:r>
            <w:r>
              <w:rPr>
                <w:rFonts w:ascii="Cambria" w:eastAsia="Cambria" w:hAnsi="Cambria" w:cs="Cambria"/>
                <w:i/>
                <w:vertAlign w:val="subscript"/>
              </w:rPr>
              <w:t>S</w:t>
            </w:r>
            <w:r>
              <w:rPr>
                <w:rFonts w:ascii="Cambria" w:eastAsia="Cambria" w:hAnsi="Cambria" w:cs="Cambria"/>
                <w:i/>
                <w:sz w:val="18"/>
                <w:vertAlign w:val="subscript"/>
              </w:rPr>
              <w:t xml:space="preserve">T </w:t>
            </w:r>
            <w:r>
              <w:rPr>
                <w:rFonts w:ascii="Cambria" w:eastAsia="Cambria" w:hAnsi="Cambria" w:cs="Cambria"/>
                <w:i/>
              </w:rPr>
              <w:t>&gt; K</w:t>
            </w:r>
            <w:r>
              <w:rPr>
                <w:rFonts w:ascii="Cambria" w:eastAsia="Cambria" w:hAnsi="Cambria" w:cs="Cambria"/>
              </w:rPr>
              <w:t>}</w:t>
            </w:r>
            <w:r>
              <w:rPr>
                <w:rFonts w:ascii="Cambria" w:eastAsia="Cambria" w:hAnsi="Cambria" w:cs="Cambria"/>
              </w:rPr>
              <w:t>] = 0</w:t>
            </w:r>
          </w:p>
        </w:tc>
        <w:tc>
          <w:tcPr>
            <w:tcW w:w="388" w:type="dxa"/>
            <w:tcBorders>
              <w:top w:val="nil"/>
              <w:left w:val="nil"/>
              <w:bottom w:val="nil"/>
              <w:right w:val="nil"/>
            </w:tcBorders>
            <w:vAlign w:val="bottom"/>
          </w:tcPr>
          <w:p w:rsidR="00EE13F6" w:rsidRDefault="002E5BC4">
            <w:pPr>
              <w:spacing w:after="0"/>
              <w:jc w:val="both"/>
            </w:pPr>
            <w:r>
              <w:rPr>
                <w:rFonts w:ascii="Cambria" w:eastAsia="Cambria" w:hAnsi="Cambria" w:cs="Cambria"/>
              </w:rPr>
              <w:t>(46)</w:t>
            </w:r>
          </w:p>
        </w:tc>
      </w:tr>
    </w:tbl>
    <w:p w:rsidR="00EE13F6" w:rsidRDefault="002E5BC4">
      <w:pPr>
        <w:spacing w:after="158" w:line="264" w:lineRule="auto"/>
        <w:ind w:left="19" w:right="477" w:hanging="10"/>
        <w:jc w:val="both"/>
      </w:pPr>
      <w:r>
        <w:rPr>
          <w:rFonts w:ascii="Cambria" w:eastAsia="Cambria" w:hAnsi="Cambria" w:cs="Cambria"/>
        </w:rPr>
        <w:t xml:space="preserve">Assuming </w:t>
      </w:r>
      <w:r>
        <w:rPr>
          <w:rFonts w:ascii="Cambria" w:eastAsia="Cambria" w:hAnsi="Cambria" w:cs="Cambria"/>
          <w:i/>
        </w:rPr>
        <w:t xml:space="preserve">α </w:t>
      </w:r>
      <w:r>
        <w:rPr>
          <w:rFonts w:ascii="Cambria" w:eastAsia="Cambria" w:hAnsi="Cambria" w:cs="Cambria"/>
        </w:rPr>
        <w:t xml:space="preserve">= 1 implies that </w:t>
      </w: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w:t>
      </w:r>
      <w:r>
        <w:rPr>
          <w:rFonts w:ascii="Cambria" w:eastAsia="Cambria" w:hAnsi="Cambria" w:cs="Cambria"/>
          <w:i/>
        </w:rPr>
        <w:t>U</w:t>
      </w:r>
      <w:r>
        <w:rPr>
          <w:rFonts w:ascii="Cambria" w:eastAsia="Cambria" w:hAnsi="Cambria" w:cs="Cambria"/>
          <w:vertAlign w:val="superscript"/>
        </w:rPr>
        <w:t>0</w:t>
      </w:r>
      <w:r>
        <w:rPr>
          <w:rFonts w:ascii="Cambria" w:eastAsia="Cambria" w:hAnsi="Cambria" w:cs="Cambria"/>
        </w:rPr>
        <w:t>(</w:t>
      </w:r>
      <w:r>
        <w:rPr>
          <w:rFonts w:ascii="Cambria" w:eastAsia="Cambria" w:hAnsi="Cambria" w:cs="Cambria"/>
          <w:i/>
        </w:rPr>
        <w:t xml:space="preserve">w </w:t>
      </w:r>
      <w:r>
        <w:rPr>
          <w:rFonts w:ascii="Cambria" w:eastAsia="Cambria" w:hAnsi="Cambria" w:cs="Cambria"/>
        </w:rPr>
        <w:t>−</w:t>
      </w:r>
      <w:r>
        <w:rPr>
          <w:rFonts w:ascii="Cambria" w:eastAsia="Cambria" w:hAnsi="Cambria" w:cs="Cambria"/>
        </w:rPr>
        <w:t xml:space="preserve"> Φ(</w:t>
      </w:r>
      <w:r>
        <w:rPr>
          <w:rFonts w:ascii="Cambria" w:eastAsia="Cambria" w:hAnsi="Cambria" w:cs="Cambria"/>
          <w:i/>
        </w:rPr>
        <w:t>d</w:t>
      </w:r>
      <w:r>
        <w:rPr>
          <w:rFonts w:ascii="Cambria" w:eastAsia="Cambria" w:hAnsi="Cambria" w:cs="Cambria"/>
          <w:vertAlign w:val="subscript"/>
        </w:rPr>
        <w:t>1</w:t>
      </w:r>
      <w:r>
        <w:rPr>
          <w:rFonts w:ascii="Cambria" w:eastAsia="Cambria" w:hAnsi="Cambria" w:cs="Cambria"/>
        </w:rPr>
        <w:t>)</w:t>
      </w:r>
      <w:r>
        <w:rPr>
          <w:rFonts w:ascii="Cambria" w:eastAsia="Cambria" w:hAnsi="Cambria" w:cs="Cambria"/>
          <w:i/>
        </w:rPr>
        <w:t>S</w:t>
      </w:r>
      <w:r>
        <w:rPr>
          <w:rFonts w:ascii="Cambria" w:eastAsia="Cambria" w:hAnsi="Cambria" w:cs="Cambria"/>
          <w:vertAlign w:val="subscript"/>
        </w:rPr>
        <w:t>0</w:t>
      </w:r>
      <w:r>
        <w:rPr>
          <w:rFonts w:ascii="Cambria" w:eastAsia="Cambria" w:hAnsi="Cambria" w:cs="Cambria"/>
        </w:rPr>
        <w:t>)] is the expectation of a constant variable.</w:t>
      </w:r>
    </w:p>
    <w:p w:rsidR="00EE13F6" w:rsidRDefault="002E5BC4">
      <w:pPr>
        <w:spacing w:after="262" w:line="264" w:lineRule="auto"/>
        <w:ind w:left="19" w:right="477" w:hanging="10"/>
        <w:jc w:val="both"/>
      </w:pPr>
      <w:r>
        <w:rPr>
          <w:rFonts w:ascii="Cambria" w:eastAsia="Cambria" w:hAnsi="Cambria" w:cs="Cambria"/>
        </w:rPr>
        <w:lastRenderedPageBreak/>
        <w:t>The first order condition becomes then:</w:t>
      </w:r>
    </w:p>
    <w:p w:rsidR="00EE13F6" w:rsidRDefault="002E5BC4">
      <w:pPr>
        <w:tabs>
          <w:tab w:val="center" w:pos="4680"/>
          <w:tab w:val="center" w:pos="9166"/>
        </w:tabs>
        <w:spacing w:after="382" w:line="265" w:lineRule="auto"/>
      </w:pPr>
      <w:r>
        <w:tab/>
      </w:r>
      <w:r>
        <w:rPr>
          <w:rFonts w:ascii="Cambria" w:eastAsia="Cambria" w:hAnsi="Cambria" w:cs="Cambria"/>
          <w:i/>
        </w:rPr>
        <w:t>U</w:t>
      </w:r>
      <w:r>
        <w:rPr>
          <w:rFonts w:ascii="Cambria" w:eastAsia="Cambria" w:hAnsi="Cambria" w:cs="Cambria"/>
          <w:vertAlign w:val="superscript"/>
        </w:rPr>
        <w:t>0</w:t>
      </w:r>
      <w:r>
        <w:rPr>
          <w:rFonts w:ascii="Cambria" w:eastAsia="Cambria" w:hAnsi="Cambria" w:cs="Cambria"/>
        </w:rPr>
        <w:t>(</w:t>
      </w:r>
      <w:r>
        <w:rPr>
          <w:rFonts w:ascii="Cambria" w:eastAsia="Cambria" w:hAnsi="Cambria" w:cs="Cambria"/>
          <w:i/>
        </w:rPr>
        <w:t xml:space="preserve">w </w:t>
      </w:r>
      <w:r>
        <w:rPr>
          <w:rFonts w:ascii="Cambria" w:eastAsia="Cambria" w:hAnsi="Cambria" w:cs="Cambria"/>
        </w:rPr>
        <w:t>−</w:t>
      </w:r>
      <w:r>
        <w:rPr>
          <w:rFonts w:ascii="Cambria" w:eastAsia="Cambria" w:hAnsi="Cambria" w:cs="Cambria"/>
        </w:rPr>
        <w:t xml:space="preserve"> Φ(</w:t>
      </w:r>
      <w:r>
        <w:rPr>
          <w:rFonts w:ascii="Cambria" w:eastAsia="Cambria" w:hAnsi="Cambria" w:cs="Cambria"/>
          <w:i/>
        </w:rPr>
        <w:t>d</w:t>
      </w:r>
      <w:r>
        <w:rPr>
          <w:rFonts w:ascii="Cambria" w:eastAsia="Cambria" w:hAnsi="Cambria" w:cs="Cambria"/>
          <w:vertAlign w:val="subscript"/>
        </w:rPr>
        <w:t>1</w:t>
      </w:r>
      <w:r>
        <w:rPr>
          <w:rFonts w:ascii="Cambria" w:eastAsia="Cambria" w:hAnsi="Cambria" w:cs="Cambria"/>
        </w:rPr>
        <w:t>)</w:t>
      </w:r>
      <w:r>
        <w:rPr>
          <w:rFonts w:ascii="Cambria" w:eastAsia="Cambria" w:hAnsi="Cambria" w:cs="Cambria"/>
          <w:i/>
        </w:rPr>
        <w:t>S</w:t>
      </w:r>
      <w:r>
        <w:rPr>
          <w:rFonts w:ascii="Cambria" w:eastAsia="Cambria" w:hAnsi="Cambria" w:cs="Cambria"/>
          <w:vertAlign w:val="subscript"/>
        </w:rPr>
        <w:t>0</w:t>
      </w:r>
      <w:r>
        <w:rPr>
          <w:rFonts w:ascii="Cambria" w:eastAsia="Cambria" w:hAnsi="Cambria" w:cs="Cambria"/>
        </w:rPr>
        <w:t>)]</w:t>
      </w: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[−Φ(</w:t>
      </w:r>
      <w:r>
        <w:rPr>
          <w:rFonts w:ascii="Cambria" w:eastAsia="Cambria" w:hAnsi="Cambria" w:cs="Cambria"/>
          <w:i/>
        </w:rPr>
        <w:t>d</w:t>
      </w:r>
      <w:r>
        <w:rPr>
          <w:rFonts w:ascii="Cambria" w:eastAsia="Cambria" w:hAnsi="Cambria" w:cs="Cambria"/>
          <w:vertAlign w:val="subscript"/>
        </w:rPr>
        <w:t>1</w:t>
      </w:r>
      <w:r>
        <w:rPr>
          <w:rFonts w:ascii="Cambria" w:eastAsia="Cambria" w:hAnsi="Cambria" w:cs="Cambria"/>
        </w:rPr>
        <w:t>)</w:t>
      </w:r>
      <w:r>
        <w:rPr>
          <w:rFonts w:ascii="Cambria" w:eastAsia="Cambria" w:hAnsi="Cambria" w:cs="Cambria"/>
          <w:i/>
        </w:rPr>
        <w:t>S</w:t>
      </w:r>
      <w:r>
        <w:rPr>
          <w:rFonts w:ascii="Cambria" w:eastAsia="Cambria" w:hAnsi="Cambria" w:cs="Cambria"/>
          <w:vertAlign w:val="subscript"/>
        </w:rPr>
        <w:t xml:space="preserve">0 </w:t>
      </w:r>
      <w:r>
        <w:rPr>
          <w:rFonts w:ascii="Cambria" w:eastAsia="Cambria" w:hAnsi="Cambria" w:cs="Cambria"/>
        </w:rPr>
        <w:t xml:space="preserve">+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1</w:t>
      </w:r>
      <w:r>
        <w:rPr>
          <w:rFonts w:ascii="Cambria" w:eastAsia="Cambria" w:hAnsi="Cambria" w:cs="Cambria"/>
          <w:i/>
          <w:vertAlign w:val="subscript"/>
        </w:rPr>
        <w:t>S</w:t>
      </w:r>
      <w:r>
        <w:rPr>
          <w:rFonts w:ascii="Cambria" w:eastAsia="Cambria" w:hAnsi="Cambria" w:cs="Cambria"/>
          <w:i/>
          <w:sz w:val="18"/>
          <w:vertAlign w:val="subscript"/>
        </w:rPr>
        <w:t xml:space="preserve">T </w:t>
      </w:r>
      <w:r>
        <w:rPr>
          <w:rFonts w:ascii="Cambria" w:eastAsia="Cambria" w:hAnsi="Cambria" w:cs="Cambria"/>
          <w:i/>
        </w:rPr>
        <w:t>&gt; K</w:t>
      </w:r>
      <w:r>
        <w:rPr>
          <w:rFonts w:ascii="Cambria" w:eastAsia="Cambria" w:hAnsi="Cambria" w:cs="Cambria"/>
        </w:rPr>
        <w:t>]</w:t>
      </w:r>
      <w:r>
        <w:rPr>
          <w:rFonts w:ascii="Cambria" w:eastAsia="Cambria" w:hAnsi="Cambria" w:cs="Cambria"/>
        </w:rPr>
        <w:tab/>
        <w:t>(47)</w:t>
      </w:r>
    </w:p>
    <w:p w:rsidR="00EE13F6" w:rsidRDefault="002E5BC4">
      <w:pPr>
        <w:spacing w:after="69" w:line="264" w:lineRule="auto"/>
        <w:ind w:left="19" w:right="477" w:hanging="10"/>
        <w:jc w:val="both"/>
      </w:pPr>
      <w:r>
        <w:rPr>
          <w:rFonts w:ascii="Cambria" w:eastAsia="Cambria" w:hAnsi="Cambria" w:cs="Cambria"/>
        </w:rPr>
        <w:t>According to the definition of Φ(</w:t>
      </w:r>
      <w:r>
        <w:rPr>
          <w:rFonts w:ascii="Cambria" w:eastAsia="Cambria" w:hAnsi="Cambria" w:cs="Cambria"/>
          <w:i/>
        </w:rPr>
        <w:t>d</w:t>
      </w:r>
      <w:r>
        <w:rPr>
          <w:rFonts w:ascii="Cambria" w:eastAsia="Cambria" w:hAnsi="Cambria" w:cs="Cambria"/>
          <w:vertAlign w:val="subscript"/>
        </w:rPr>
        <w:t>1</w:t>
      </w:r>
      <w:r>
        <w:rPr>
          <w:rFonts w:ascii="Cambria" w:eastAsia="Cambria" w:hAnsi="Cambria" w:cs="Cambria"/>
        </w:rPr>
        <w:t>), the right side of the expression above, writes:</w:t>
      </w:r>
    </w:p>
    <w:p w:rsidR="00EE13F6" w:rsidRDefault="002E5BC4">
      <w:pPr>
        <w:spacing w:after="335"/>
        <w:ind w:left="2480"/>
      </w:pPr>
      <w:r>
        <w:rPr>
          <w:noProof/>
        </w:rPr>
        <w:drawing>
          <wp:inline distT="0" distB="0" distL="0" distR="0">
            <wp:extent cx="2737104" cy="350520"/>
            <wp:effectExtent l="0" t="0" r="0" b="0"/>
            <wp:docPr id="221898" name="Picture 221898"/>
            <wp:cNvGraphicFramePr/>
            <a:graphic xmlns:a="http://schemas.openxmlformats.org/drawingml/2006/main">
              <a:graphicData uri="http://schemas.openxmlformats.org/drawingml/2006/picture">
                <pic:pic xmlns:pic="http://schemas.openxmlformats.org/drawingml/2006/picture">
                  <pic:nvPicPr>
                    <pic:cNvPr id="221898" name="Picture 221898"/>
                    <pic:cNvPicPr/>
                  </pic:nvPicPr>
                  <pic:blipFill>
                    <a:blip r:embed="rId114"/>
                    <a:stretch>
                      <a:fillRect/>
                    </a:stretch>
                  </pic:blipFill>
                  <pic:spPr>
                    <a:xfrm>
                      <a:off x="0" y="0"/>
                      <a:ext cx="2737104" cy="350520"/>
                    </a:xfrm>
                    <a:prstGeom prst="rect">
                      <a:avLst/>
                    </a:prstGeom>
                  </pic:spPr>
                </pic:pic>
              </a:graphicData>
            </a:graphic>
          </wp:inline>
        </w:drawing>
      </w:r>
    </w:p>
    <w:p w:rsidR="00EE13F6" w:rsidRDefault="002E5BC4">
      <w:pPr>
        <w:spacing w:after="501" w:line="264" w:lineRule="auto"/>
        <w:ind w:left="19" w:right="477" w:hanging="10"/>
        <w:jc w:val="both"/>
      </w:pPr>
      <w:r>
        <w:rPr>
          <w:rFonts w:ascii="Cambria" w:eastAsia="Cambria" w:hAnsi="Cambria" w:cs="Cambria"/>
        </w:rPr>
        <w:t xml:space="preserve">Because </w:t>
      </w: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 xml:space="preserve">) = </w:t>
      </w:r>
      <w:r>
        <w:rPr>
          <w:rFonts w:ascii="Cambria" w:eastAsia="Cambria" w:hAnsi="Cambria" w:cs="Cambria"/>
          <w:i/>
        </w:rPr>
        <w:t>S</w:t>
      </w:r>
      <w:r>
        <w:rPr>
          <w:rFonts w:ascii="Cambria" w:eastAsia="Cambria" w:hAnsi="Cambria" w:cs="Cambria"/>
          <w:vertAlign w:val="subscript"/>
        </w:rPr>
        <w:t xml:space="preserve">0 </w:t>
      </w:r>
      <w:r>
        <w:rPr>
          <w:rFonts w:ascii="Cambria" w:eastAsia="Cambria" w:hAnsi="Cambria" w:cs="Cambria"/>
        </w:rPr>
        <w:t xml:space="preserve">(because </w:t>
      </w:r>
      <w:r>
        <w:rPr>
          <w:rFonts w:ascii="Cambria" w:eastAsia="Cambria" w:hAnsi="Cambria" w:cs="Cambria"/>
          <w:i/>
        </w:rPr>
        <w:t xml:space="preserve">r </w:t>
      </w:r>
      <w:r>
        <w:rPr>
          <w:rFonts w:ascii="Cambria" w:eastAsia="Cambria" w:hAnsi="Cambria" w:cs="Cambria"/>
        </w:rPr>
        <w:t xml:space="preserve">= 0), we find that the first order condition stands when </w:t>
      </w:r>
      <w:r>
        <w:rPr>
          <w:rFonts w:ascii="Cambria" w:eastAsia="Cambria" w:hAnsi="Cambria" w:cs="Cambria"/>
          <w:i/>
        </w:rPr>
        <w:t>α</w:t>
      </w:r>
      <w:r>
        <w:rPr>
          <w:rFonts w:ascii="Cambria" w:eastAsia="Cambria" w:hAnsi="Cambria" w:cs="Cambria"/>
        </w:rPr>
        <w:t>=1.</w:t>
      </w:r>
    </w:p>
    <w:p w:rsidR="00EE13F6" w:rsidRDefault="002E5BC4">
      <w:pPr>
        <w:pStyle w:val="Heading2"/>
        <w:tabs>
          <w:tab w:val="center" w:pos="2436"/>
        </w:tabs>
        <w:ind w:left="-15" w:firstLine="0"/>
      </w:pPr>
      <w:r>
        <w:t>6.2</w:t>
      </w:r>
      <w:r>
        <w:tab/>
        <w:t>Optimal Insurance for Insurers</w:t>
      </w:r>
    </w:p>
    <w:p w:rsidR="00EE13F6" w:rsidRDefault="002E5BC4">
      <w:pPr>
        <w:spacing w:after="462" w:line="264" w:lineRule="auto"/>
        <w:ind w:left="19" w:right="477" w:hanging="10"/>
        <w:jc w:val="both"/>
      </w:pPr>
      <w:r>
        <w:rPr>
          <w:rFonts w:ascii="Cambria" w:eastAsia="Cambria" w:hAnsi="Cambria" w:cs="Cambria"/>
        </w:rPr>
        <w:t>We consider now the perspective of the ’insurer” for both Binary and Asset or Nothing equity option.</w:t>
      </w:r>
    </w:p>
    <w:p w:rsidR="00EE13F6" w:rsidRDefault="002E5BC4">
      <w:pPr>
        <w:tabs>
          <w:tab w:val="center" w:pos="1402"/>
        </w:tabs>
        <w:spacing w:after="287" w:line="261" w:lineRule="auto"/>
        <w:ind w:left="-15"/>
      </w:pPr>
      <w:r>
        <w:rPr>
          <w:rFonts w:ascii="Cambria" w:eastAsia="Cambria" w:hAnsi="Cambria" w:cs="Cambria"/>
          <w:b/>
        </w:rPr>
        <w:t>6.2.1</w:t>
      </w:r>
      <w:r>
        <w:rPr>
          <w:rFonts w:ascii="Cambria" w:eastAsia="Cambria" w:hAnsi="Cambria" w:cs="Cambria"/>
          <w:b/>
        </w:rPr>
        <w:tab/>
        <w:t>Binary Call</w:t>
      </w:r>
    </w:p>
    <w:p w:rsidR="00EE13F6" w:rsidRDefault="002E5BC4">
      <w:pPr>
        <w:spacing w:after="215" w:line="264" w:lineRule="auto"/>
        <w:ind w:left="19" w:right="477" w:hanging="10"/>
        <w:jc w:val="both"/>
      </w:pPr>
      <w:r>
        <w:rPr>
          <w:rFonts w:ascii="Cambria" w:eastAsia="Cambria" w:hAnsi="Cambria" w:cs="Cambria"/>
        </w:rPr>
        <w:t>The ”insurer” considers the following program:</w:t>
      </w:r>
    </w:p>
    <w:p w:rsidR="00EE13F6" w:rsidRDefault="002E5BC4">
      <w:pPr>
        <w:tabs>
          <w:tab w:val="center" w:pos="4680"/>
          <w:tab w:val="center" w:pos="9166"/>
        </w:tabs>
        <w:spacing w:after="187" w:line="265" w:lineRule="auto"/>
      </w:pPr>
      <w:r>
        <w:tab/>
      </w:r>
      <w:r>
        <w:rPr>
          <w:rFonts w:ascii="Cambria" w:eastAsia="Cambria" w:hAnsi="Cambria" w:cs="Cambria"/>
          <w:i/>
        </w:rPr>
        <w:t>Max</w:t>
      </w:r>
      <w:r>
        <w:rPr>
          <w:rFonts w:ascii="Cambria" w:eastAsia="Cambria" w:hAnsi="Cambria" w:cs="Cambria"/>
        </w:rPr>
        <w:t xml:space="preserve">[(1 − </w:t>
      </w:r>
      <w:r>
        <w:rPr>
          <w:rFonts w:ascii="Cambria" w:eastAsia="Cambria" w:hAnsi="Cambria" w:cs="Cambria"/>
          <w:i/>
        </w:rPr>
        <w:t>π</w:t>
      </w:r>
      <w:r>
        <w:rPr>
          <w:rFonts w:ascii="Cambria" w:eastAsia="Cambria" w:hAnsi="Cambria" w:cs="Cambria"/>
        </w:rPr>
        <w:t>)</w:t>
      </w:r>
      <w:r>
        <w:rPr>
          <w:rFonts w:ascii="Cambria" w:eastAsia="Cambria" w:hAnsi="Cambria" w:cs="Cambria"/>
          <w:i/>
        </w:rPr>
        <w:t>U</w:t>
      </w:r>
      <w:r>
        <w:rPr>
          <w:rFonts w:ascii="Cambria" w:eastAsia="Cambria" w:hAnsi="Cambria" w:cs="Cambria"/>
        </w:rPr>
        <w:t>(</w:t>
      </w:r>
      <w:r>
        <w:rPr>
          <w:rFonts w:ascii="Cambria" w:eastAsia="Cambria" w:hAnsi="Cambria" w:cs="Cambria"/>
          <w:i/>
        </w:rPr>
        <w:t xml:space="preserve">w </w:t>
      </w:r>
      <w:r>
        <w:rPr>
          <w:rFonts w:ascii="Cambria" w:eastAsia="Cambria" w:hAnsi="Cambria" w:cs="Cambria"/>
        </w:rPr>
        <w:t xml:space="preserve">+ </w:t>
      </w:r>
      <w:r>
        <w:rPr>
          <w:rFonts w:ascii="Cambria" w:eastAsia="Cambria" w:hAnsi="Cambria" w:cs="Cambria"/>
          <w:i/>
        </w:rPr>
        <w:t xml:space="preserve">qZ </w:t>
      </w:r>
      <w:r>
        <w:rPr>
          <w:rFonts w:ascii="Cambria" w:eastAsia="Cambria" w:hAnsi="Cambria" w:cs="Cambria"/>
        </w:rPr>
        <w:t xml:space="preserve">+ </w:t>
      </w:r>
      <w:r>
        <w:rPr>
          <w:rFonts w:ascii="Cambria" w:eastAsia="Cambria" w:hAnsi="Cambria" w:cs="Cambria"/>
          <w:i/>
        </w:rPr>
        <w:t>πU</w:t>
      </w:r>
      <w:r>
        <w:rPr>
          <w:rFonts w:ascii="Cambria" w:eastAsia="Cambria" w:hAnsi="Cambria" w:cs="Cambria"/>
        </w:rPr>
        <w:t>(</w:t>
      </w:r>
      <w:r>
        <w:rPr>
          <w:rFonts w:ascii="Cambria" w:eastAsia="Cambria" w:hAnsi="Cambria" w:cs="Cambria"/>
          <w:i/>
        </w:rPr>
        <w:t xml:space="preserve">w </w:t>
      </w:r>
      <w:r>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qZ </w:t>
      </w:r>
      <w:r>
        <w:rPr>
          <w:rFonts w:ascii="Cambria" w:eastAsia="Cambria" w:hAnsi="Cambria" w:cs="Cambria"/>
        </w:rPr>
        <w:t>−</w:t>
      </w:r>
      <w:r>
        <w:rPr>
          <w:rFonts w:ascii="Cambria" w:eastAsia="Cambria" w:hAnsi="Cambria" w:cs="Cambria"/>
        </w:rPr>
        <w:t xml:space="preserve"> </w:t>
      </w:r>
      <w:r>
        <w:rPr>
          <w:rFonts w:ascii="Cambria" w:eastAsia="Cambria" w:hAnsi="Cambria" w:cs="Cambria"/>
          <w:i/>
        </w:rPr>
        <w:t>L</w:t>
      </w:r>
      <w:r>
        <w:rPr>
          <w:rFonts w:ascii="Cambria" w:eastAsia="Cambria" w:hAnsi="Cambria" w:cs="Cambria"/>
        </w:rPr>
        <w:t>)]</w:t>
      </w:r>
      <w:r>
        <w:rPr>
          <w:rFonts w:ascii="Cambria" w:eastAsia="Cambria" w:hAnsi="Cambria" w:cs="Cambria"/>
        </w:rPr>
        <w:tab/>
        <w:t>(48)</w:t>
      </w:r>
    </w:p>
    <w:p w:rsidR="00EE13F6" w:rsidRDefault="002E5BC4">
      <w:pPr>
        <w:spacing w:after="458" w:line="264" w:lineRule="auto"/>
        <w:ind w:left="19" w:right="477" w:hanging="10"/>
        <w:jc w:val="both"/>
      </w:pPr>
      <w:r>
        <w:rPr>
          <w:rFonts w:ascii="Cambria" w:eastAsia="Cambria" w:hAnsi="Cambria" w:cs="Cambria"/>
        </w:rPr>
        <w:t>The first order (derivation toward Z) condition writes:</w:t>
      </w:r>
    </w:p>
    <w:p w:rsidR="00EE13F6" w:rsidRDefault="002E5BC4">
      <w:pPr>
        <w:spacing w:after="309" w:line="262" w:lineRule="auto"/>
        <w:ind w:left="10" w:right="483" w:hanging="10"/>
        <w:jc w:val="center"/>
      </w:pPr>
      <w:r>
        <w:rPr>
          <w:rFonts w:ascii="Cambria" w:eastAsia="Cambria" w:hAnsi="Cambria" w:cs="Cambria"/>
          <w:i/>
        </w:rPr>
        <w:t>q</w:t>
      </w:r>
      <w:r>
        <w:rPr>
          <w:rFonts w:ascii="Cambria" w:eastAsia="Cambria" w:hAnsi="Cambria" w:cs="Cambria"/>
        </w:rPr>
        <w:t xml:space="preserve">(1 − </w:t>
      </w:r>
      <w:r>
        <w:rPr>
          <w:rFonts w:ascii="Cambria" w:eastAsia="Cambria" w:hAnsi="Cambria" w:cs="Cambria"/>
          <w:i/>
        </w:rPr>
        <w:t>π</w:t>
      </w:r>
      <w:r>
        <w:rPr>
          <w:rFonts w:ascii="Cambria" w:eastAsia="Cambria" w:hAnsi="Cambria" w:cs="Cambria"/>
        </w:rPr>
        <w:t>)</w:t>
      </w:r>
      <w:r>
        <w:rPr>
          <w:rFonts w:ascii="Cambria" w:eastAsia="Cambria" w:hAnsi="Cambria" w:cs="Cambria"/>
          <w:i/>
        </w:rPr>
        <w:t>U</w:t>
      </w:r>
      <w:r>
        <w:rPr>
          <w:rFonts w:ascii="Cambria" w:eastAsia="Cambria" w:hAnsi="Cambria" w:cs="Cambria"/>
          <w:vertAlign w:val="superscript"/>
        </w:rPr>
        <w:t>0</w:t>
      </w:r>
      <w:r>
        <w:rPr>
          <w:rFonts w:ascii="Cambria" w:eastAsia="Cambria" w:hAnsi="Cambria" w:cs="Cambria"/>
        </w:rPr>
        <w:t>(</w:t>
      </w:r>
      <w:r>
        <w:rPr>
          <w:rFonts w:ascii="Cambria" w:eastAsia="Cambria" w:hAnsi="Cambria" w:cs="Cambria"/>
          <w:i/>
        </w:rPr>
        <w:t>w</w:t>
      </w:r>
      <w:r>
        <w:rPr>
          <w:rFonts w:ascii="Cambria" w:eastAsia="Cambria" w:hAnsi="Cambria" w:cs="Cambria"/>
          <w:vertAlign w:val="subscript"/>
        </w:rPr>
        <w:t>1</w:t>
      </w:r>
      <w:r>
        <w:rPr>
          <w:rFonts w:ascii="Cambria" w:eastAsia="Cambria" w:hAnsi="Cambria" w:cs="Cambria"/>
        </w:rPr>
        <w:t xml:space="preserve">) = </w:t>
      </w:r>
      <w:r>
        <w:rPr>
          <w:rFonts w:ascii="Cambria" w:eastAsia="Cambria" w:hAnsi="Cambria" w:cs="Cambria"/>
          <w:i/>
        </w:rPr>
        <w:t>π</w:t>
      </w:r>
      <w:r>
        <w:rPr>
          <w:rFonts w:ascii="Cambria" w:eastAsia="Cambria" w:hAnsi="Cambria" w:cs="Cambria"/>
        </w:rPr>
        <w:t xml:space="preserve">(1 − </w:t>
      </w:r>
      <w:r>
        <w:rPr>
          <w:rFonts w:ascii="Cambria" w:eastAsia="Cambria" w:hAnsi="Cambria" w:cs="Cambria"/>
          <w:i/>
        </w:rPr>
        <w:t>q</w:t>
      </w:r>
      <w:r>
        <w:rPr>
          <w:rFonts w:ascii="Cambria" w:eastAsia="Cambria" w:hAnsi="Cambria" w:cs="Cambria"/>
        </w:rPr>
        <w:t>)</w:t>
      </w:r>
      <w:r>
        <w:rPr>
          <w:rFonts w:ascii="Cambria" w:eastAsia="Cambria" w:hAnsi="Cambria" w:cs="Cambria"/>
          <w:i/>
        </w:rPr>
        <w:t>U</w:t>
      </w:r>
      <w:r>
        <w:rPr>
          <w:rFonts w:ascii="Cambria" w:eastAsia="Cambria" w:hAnsi="Cambria" w:cs="Cambria"/>
          <w:vertAlign w:val="superscript"/>
        </w:rPr>
        <w:t>0</w:t>
      </w:r>
      <w:r>
        <w:rPr>
          <w:rFonts w:ascii="Cambria" w:eastAsia="Cambria" w:hAnsi="Cambria" w:cs="Cambria"/>
        </w:rPr>
        <w:t>(</w:t>
      </w:r>
      <w:r>
        <w:rPr>
          <w:rFonts w:ascii="Cambria" w:eastAsia="Cambria" w:hAnsi="Cambria" w:cs="Cambria"/>
          <w:i/>
        </w:rPr>
        <w:t>w</w:t>
      </w:r>
      <w:r>
        <w:rPr>
          <w:rFonts w:ascii="Cambria" w:eastAsia="Cambria" w:hAnsi="Cambria" w:cs="Cambria"/>
          <w:vertAlign w:val="subscript"/>
        </w:rPr>
        <w:t>2</w:t>
      </w:r>
      <w:r>
        <w:rPr>
          <w:rFonts w:ascii="Cambria" w:eastAsia="Cambria" w:hAnsi="Cambria" w:cs="Cambria"/>
        </w:rPr>
        <w:t>)</w:t>
      </w:r>
    </w:p>
    <w:p w:rsidR="00EE13F6" w:rsidRDefault="002E5BC4">
      <w:pPr>
        <w:spacing w:after="459" w:line="264" w:lineRule="auto"/>
        <w:ind w:left="19" w:right="477" w:hanging="10"/>
        <w:jc w:val="both"/>
      </w:pPr>
      <w:r>
        <w:rPr>
          <w:rFonts w:ascii="Cambria" w:eastAsia="Cambria" w:hAnsi="Cambria" w:cs="Cambria"/>
        </w:rPr>
        <w:t xml:space="preserve">If </w:t>
      </w:r>
      <w:r>
        <w:rPr>
          <w:rFonts w:ascii="Cambria" w:eastAsia="Cambria" w:hAnsi="Cambria" w:cs="Cambria"/>
          <w:i/>
        </w:rPr>
        <w:t xml:space="preserve">q </w:t>
      </w:r>
      <w:r>
        <w:rPr>
          <w:rFonts w:ascii="Cambria" w:eastAsia="Cambria" w:hAnsi="Cambria" w:cs="Cambria"/>
        </w:rPr>
        <w:t xml:space="preserve">= </w:t>
      </w:r>
      <w:r>
        <w:rPr>
          <w:rFonts w:ascii="Cambria" w:eastAsia="Cambria" w:hAnsi="Cambria" w:cs="Cambria"/>
          <w:i/>
        </w:rPr>
        <w:t xml:space="preserve">π </w:t>
      </w:r>
      <w:r>
        <w:rPr>
          <w:rFonts w:ascii="Cambria" w:eastAsia="Cambria" w:hAnsi="Cambria" w:cs="Cambria"/>
        </w:rPr>
        <w:t xml:space="preserve">then </w:t>
      </w:r>
      <w:r>
        <w:rPr>
          <w:rFonts w:ascii="Cambria" w:eastAsia="Cambria" w:hAnsi="Cambria" w:cs="Cambria"/>
          <w:i/>
        </w:rPr>
        <w:t>Z</w:t>
      </w:r>
      <w:r>
        <w:rPr>
          <w:rFonts w:ascii="Cambria" w:eastAsia="Cambria" w:hAnsi="Cambria" w:cs="Cambria"/>
        </w:rPr>
        <w:t>=</w:t>
      </w:r>
      <w:r>
        <w:rPr>
          <w:rFonts w:ascii="Cambria" w:eastAsia="Cambria" w:hAnsi="Cambria" w:cs="Cambria"/>
          <w:i/>
        </w:rPr>
        <w:t>L</w:t>
      </w:r>
      <w:r>
        <w:rPr>
          <w:rFonts w:ascii="Cambria" w:eastAsia="Cambria" w:hAnsi="Cambria" w:cs="Cambria"/>
        </w:rPr>
        <w:t xml:space="preserve">. So we can see, in that case the insurer will be willing to provide coverage for the full extent of the loss as long as </w:t>
      </w:r>
      <w:r>
        <w:rPr>
          <w:rFonts w:ascii="Cambria" w:eastAsia="Cambria" w:hAnsi="Cambria" w:cs="Cambria"/>
          <w:i/>
        </w:rPr>
        <w:t xml:space="preserve">q </w:t>
      </w:r>
      <w:r>
        <w:rPr>
          <w:rFonts w:ascii="Cambria" w:eastAsia="Cambria" w:hAnsi="Cambria" w:cs="Cambria"/>
        </w:rPr>
        <w:t xml:space="preserve">= </w:t>
      </w:r>
      <w:r>
        <w:rPr>
          <w:rFonts w:ascii="Cambria" w:eastAsia="Cambria" w:hAnsi="Cambria" w:cs="Cambria"/>
          <w:i/>
        </w:rPr>
        <w:t>π</w:t>
      </w:r>
      <w:r>
        <w:rPr>
          <w:rFonts w:ascii="Cambria" w:eastAsia="Cambria" w:hAnsi="Cambria" w:cs="Cambria"/>
        </w:rPr>
        <w:t>. In fact, this optimum c</w:t>
      </w:r>
      <w:r>
        <w:rPr>
          <w:rFonts w:ascii="Cambria" w:eastAsia="Cambria" w:hAnsi="Cambria" w:cs="Cambria"/>
        </w:rPr>
        <w:t>orresponds to a situation where the insurer wealth stays the same regardless of the occurrence of the event.</w:t>
      </w:r>
    </w:p>
    <w:p w:rsidR="00EE13F6" w:rsidRDefault="002E5BC4">
      <w:pPr>
        <w:tabs>
          <w:tab w:val="center" w:pos="1795"/>
        </w:tabs>
        <w:spacing w:after="287" w:line="261" w:lineRule="auto"/>
        <w:ind w:left="-15"/>
      </w:pPr>
      <w:r>
        <w:rPr>
          <w:rFonts w:ascii="Cambria" w:eastAsia="Cambria" w:hAnsi="Cambria" w:cs="Cambria"/>
          <w:b/>
        </w:rPr>
        <w:t>6.2.2</w:t>
      </w:r>
      <w:r>
        <w:rPr>
          <w:rFonts w:ascii="Cambria" w:eastAsia="Cambria" w:hAnsi="Cambria" w:cs="Cambria"/>
          <w:b/>
        </w:rPr>
        <w:tab/>
        <w:t>Asset or Nothing</w:t>
      </w:r>
    </w:p>
    <w:p w:rsidR="00EE13F6" w:rsidRDefault="002E5BC4">
      <w:pPr>
        <w:spacing w:line="264" w:lineRule="auto"/>
        <w:ind w:left="19" w:right="477" w:hanging="10"/>
        <w:jc w:val="both"/>
      </w:pPr>
      <w:r>
        <w:rPr>
          <w:rFonts w:ascii="Cambria" w:eastAsia="Cambria" w:hAnsi="Cambria" w:cs="Cambria"/>
        </w:rPr>
        <w:t>For the ”Asset or Nothing”, the insurer (so, cashing in the premium, so selling the Asset or Nothing option) considers if we</w:t>
      </w:r>
      <w:r>
        <w:rPr>
          <w:rFonts w:ascii="Cambria" w:eastAsia="Cambria" w:hAnsi="Cambria" w:cs="Cambria"/>
        </w:rPr>
        <w:t>ther or not it will provide full insurance to the insured agent.</w:t>
      </w:r>
    </w:p>
    <w:p w:rsidR="00EE13F6" w:rsidRDefault="002E5BC4">
      <w:pPr>
        <w:spacing w:after="133" w:line="264" w:lineRule="auto"/>
        <w:ind w:left="19" w:right="477" w:hanging="10"/>
        <w:jc w:val="both"/>
      </w:pPr>
      <w:r>
        <w:rPr>
          <w:rFonts w:ascii="Cambria" w:eastAsia="Cambria" w:hAnsi="Cambria" w:cs="Cambria"/>
        </w:rPr>
        <w:t xml:space="preserve">The insurer agent will maximize its utility function and choose an ”Insurance level” </w:t>
      </w:r>
      <w:r>
        <w:rPr>
          <w:rFonts w:ascii="Cambria" w:eastAsia="Cambria" w:hAnsi="Cambria" w:cs="Cambria"/>
          <w:i/>
        </w:rPr>
        <w:t xml:space="preserve">αS </w:t>
      </w:r>
      <w:r>
        <w:rPr>
          <w:rFonts w:ascii="Cambria" w:eastAsia="Cambria" w:hAnsi="Cambria" w:cs="Cambria"/>
        </w:rPr>
        <w:t xml:space="preserve">with </w:t>
      </w:r>
      <w:r>
        <w:rPr>
          <w:rFonts w:ascii="Cambria" w:eastAsia="Cambria" w:hAnsi="Cambria" w:cs="Cambria"/>
          <w:i/>
        </w:rPr>
        <w:t xml:space="preserve">α </w:t>
      </w:r>
      <w:r>
        <w:rPr>
          <w:rFonts w:ascii="Cambria" w:eastAsia="Cambria" w:hAnsi="Cambria" w:cs="Cambria"/>
        </w:rPr>
        <w:t xml:space="preserve">positive and up to 1. The probability distribution is continuous, and we have to consider the modified measure </w:t>
      </w: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w:t>
      </w:r>
    </w:p>
    <w:p w:rsidR="00EE13F6" w:rsidRDefault="002E5BC4">
      <w:pPr>
        <w:tabs>
          <w:tab w:val="center" w:pos="4680"/>
          <w:tab w:val="center" w:pos="9166"/>
        </w:tabs>
        <w:spacing w:after="310"/>
      </w:pPr>
      <w:r>
        <w:tab/>
      </w:r>
      <w:r>
        <w:rPr>
          <w:rFonts w:ascii="Cambria" w:eastAsia="Cambria" w:hAnsi="Cambria" w:cs="Cambria"/>
          <w:i/>
        </w:rPr>
        <w:t>MaxE</w:t>
      </w:r>
      <w:r>
        <w:rPr>
          <w:rFonts w:ascii="Cambria" w:eastAsia="Cambria" w:hAnsi="Cambria" w:cs="Cambria"/>
          <w:i/>
          <w:vertAlign w:val="superscript"/>
        </w:rPr>
        <w:t xml:space="preserve">Q </w:t>
      </w:r>
      <w:r>
        <w:rPr>
          <w:rFonts w:ascii="Cambria" w:eastAsia="Cambria" w:hAnsi="Cambria" w:cs="Cambria"/>
        </w:rPr>
        <w:t>[</w:t>
      </w:r>
      <w:r>
        <w:rPr>
          <w:rFonts w:ascii="Cambria" w:eastAsia="Cambria" w:hAnsi="Cambria" w:cs="Cambria"/>
          <w:i/>
        </w:rPr>
        <w:t>U</w:t>
      </w:r>
      <w:r>
        <w:rPr>
          <w:rFonts w:ascii="Cambria" w:eastAsia="Cambria" w:hAnsi="Cambria" w:cs="Cambria"/>
        </w:rPr>
        <w:t>(</w:t>
      </w:r>
      <w:r>
        <w:rPr>
          <w:rFonts w:ascii="Cambria" w:eastAsia="Cambria" w:hAnsi="Cambria" w:cs="Cambria"/>
          <w:i/>
        </w:rPr>
        <w:t xml:space="preserve">w </w:t>
      </w:r>
      <w:r>
        <w:rPr>
          <w:rFonts w:ascii="Cambria" w:eastAsia="Cambria" w:hAnsi="Cambria" w:cs="Cambria"/>
        </w:rPr>
        <w:t xml:space="preserve">+ </w:t>
      </w:r>
      <w:r>
        <w:rPr>
          <w:rFonts w:ascii="Cambria" w:eastAsia="Cambria" w:hAnsi="Cambria" w:cs="Cambria"/>
          <w:i/>
        </w:rPr>
        <w:t>α</w:t>
      </w:r>
      <w:r>
        <w:rPr>
          <w:rFonts w:ascii="Cambria" w:eastAsia="Cambria" w:hAnsi="Cambria" w:cs="Cambria"/>
        </w:rPr>
        <w:t>Φ(</w:t>
      </w:r>
      <w:r>
        <w:rPr>
          <w:rFonts w:ascii="Cambria" w:eastAsia="Cambria" w:hAnsi="Cambria" w:cs="Cambria"/>
          <w:i/>
        </w:rPr>
        <w:t>d</w:t>
      </w:r>
      <w:r>
        <w:rPr>
          <w:rFonts w:ascii="Cambria" w:eastAsia="Cambria" w:hAnsi="Cambria" w:cs="Cambria"/>
          <w:vertAlign w:val="subscript"/>
        </w:rPr>
        <w:t>1</w:t>
      </w:r>
      <w:r>
        <w:rPr>
          <w:rFonts w:ascii="Cambria" w:eastAsia="Cambria" w:hAnsi="Cambria" w:cs="Cambria"/>
        </w:rPr>
        <w:t>)</w:t>
      </w:r>
      <w:r>
        <w:rPr>
          <w:rFonts w:ascii="Cambria" w:eastAsia="Cambria" w:hAnsi="Cambria" w:cs="Cambria"/>
          <w:i/>
        </w:rPr>
        <w:t>S</w:t>
      </w:r>
      <w:r>
        <w:rPr>
          <w:rFonts w:ascii="Cambria" w:eastAsia="Cambria" w:hAnsi="Cambria" w:cs="Cambria"/>
          <w:vertAlign w:val="subscript"/>
        </w:rPr>
        <w:t xml:space="preserve">0 </w:t>
      </w:r>
      <w:r>
        <w:rPr>
          <w:rFonts w:ascii="Cambria" w:eastAsia="Cambria" w:hAnsi="Cambria" w:cs="Cambria"/>
        </w:rPr>
        <w:t>−</w:t>
      </w:r>
      <w:r>
        <w:rPr>
          <w:rFonts w:ascii="Cambria" w:eastAsia="Cambria" w:hAnsi="Cambria" w:cs="Cambria"/>
        </w:rPr>
        <w:t xml:space="preserve"> </w:t>
      </w:r>
      <w:r>
        <w:rPr>
          <w:rFonts w:ascii="Cambria" w:eastAsia="Cambria" w:hAnsi="Cambria" w:cs="Cambria"/>
          <w:i/>
        </w:rPr>
        <w:t>αS</w:t>
      </w:r>
      <w:r>
        <w:rPr>
          <w:rFonts w:ascii="Cambria" w:eastAsia="Cambria" w:hAnsi="Cambria" w:cs="Cambria"/>
          <w:i/>
          <w:vertAlign w:val="subscript"/>
        </w:rPr>
        <w:t xml:space="preserve">T </w:t>
      </w:r>
      <w:r>
        <w:rPr>
          <w:rFonts w:ascii="Cambria" w:eastAsia="Cambria" w:hAnsi="Cambria" w:cs="Cambria"/>
        </w:rPr>
        <w:t>{1</w:t>
      </w:r>
      <w:r>
        <w:rPr>
          <w:rFonts w:ascii="Cambria" w:eastAsia="Cambria" w:hAnsi="Cambria" w:cs="Cambria"/>
          <w:i/>
          <w:vertAlign w:val="subscript"/>
        </w:rPr>
        <w:t>S</w:t>
      </w:r>
      <w:r>
        <w:rPr>
          <w:rFonts w:ascii="Cambria" w:eastAsia="Cambria" w:hAnsi="Cambria" w:cs="Cambria"/>
          <w:i/>
          <w:sz w:val="18"/>
          <w:vertAlign w:val="subscript"/>
        </w:rPr>
        <w:t xml:space="preserve">T </w:t>
      </w:r>
      <w:r>
        <w:rPr>
          <w:rFonts w:ascii="Cambria" w:eastAsia="Cambria" w:hAnsi="Cambria" w:cs="Cambria"/>
          <w:i/>
        </w:rPr>
        <w:t>&gt; K</w:t>
      </w:r>
      <w:r>
        <w:rPr>
          <w:rFonts w:ascii="Cambria" w:eastAsia="Cambria" w:hAnsi="Cambria" w:cs="Cambria"/>
        </w:rPr>
        <w:t>}]</w:t>
      </w:r>
      <w:r>
        <w:rPr>
          <w:rFonts w:ascii="Cambria" w:eastAsia="Cambria" w:hAnsi="Cambria" w:cs="Cambria"/>
        </w:rPr>
        <w:tab/>
        <w:t>(49)</w:t>
      </w:r>
    </w:p>
    <w:p w:rsidR="00EE13F6" w:rsidRDefault="002E5BC4">
      <w:pPr>
        <w:spacing w:after="591" w:line="264" w:lineRule="auto"/>
        <w:ind w:left="19" w:right="477" w:hanging="10"/>
        <w:jc w:val="both"/>
      </w:pPr>
      <w:r>
        <w:rPr>
          <w:rFonts w:ascii="Cambria" w:eastAsia="Cambria" w:hAnsi="Cambria" w:cs="Cambria"/>
        </w:rPr>
        <w:t xml:space="preserve">The solution for the first order solution is similar to the one discussed for equations (40) and (41) above. We find that </w:t>
      </w:r>
      <w:r>
        <w:rPr>
          <w:rFonts w:ascii="Cambria" w:eastAsia="Cambria" w:hAnsi="Cambria" w:cs="Cambria"/>
          <w:i/>
        </w:rPr>
        <w:t xml:space="preserve">α </w:t>
      </w:r>
      <w:r>
        <w:rPr>
          <w:rFonts w:ascii="Cambria" w:eastAsia="Cambria" w:hAnsi="Cambria" w:cs="Cambria"/>
        </w:rPr>
        <w:t>= 1.</w:t>
      </w:r>
    </w:p>
    <w:p w:rsidR="00EE13F6" w:rsidRDefault="002E5BC4">
      <w:pPr>
        <w:pStyle w:val="Heading1"/>
        <w:spacing w:after="301"/>
        <w:ind w:left="479" w:right="142"/>
      </w:pPr>
      <w:r>
        <w:lastRenderedPageBreak/>
        <w:t>7 Consequences of the FTT on the Demand for Options Issued by Hedgers</w:t>
      </w:r>
    </w:p>
    <w:p w:rsidR="00EE13F6" w:rsidRDefault="002E5BC4">
      <w:pPr>
        <w:pStyle w:val="Heading2"/>
        <w:tabs>
          <w:tab w:val="center" w:pos="2898"/>
        </w:tabs>
        <w:spacing w:after="295"/>
        <w:ind w:left="-15" w:firstLine="0"/>
      </w:pPr>
      <w:r>
        <w:t>7.1</w:t>
      </w:r>
      <w:r>
        <w:tab/>
        <w:t>FTT Costs Embedded in the Volatility</w:t>
      </w:r>
    </w:p>
    <w:p w:rsidR="00EE13F6" w:rsidRDefault="002E5BC4" w:rsidP="002E5BC4">
      <w:pPr>
        <w:numPr>
          <w:ilvl w:val="0"/>
          <w:numId w:val="24"/>
        </w:numPr>
        <w:spacing w:after="166" w:line="264" w:lineRule="auto"/>
        <w:ind w:right="477" w:hanging="10"/>
        <w:jc w:val="both"/>
      </w:pPr>
      <w:r>
        <w:rPr>
          <w:rFonts w:ascii="Cambria" w:eastAsia="Cambria" w:hAnsi="Cambria" w:cs="Cambria"/>
        </w:rPr>
        <w:t>We see immediate</w:t>
      </w:r>
      <w:r>
        <w:rPr>
          <w:rFonts w:ascii="Cambria" w:eastAsia="Cambria" w:hAnsi="Cambria" w:cs="Cambria"/>
        </w:rPr>
        <w:t>ly that the option’s market-maker is going to pass through its costs by increasing the volatility on the sell side.</w:t>
      </w:r>
    </w:p>
    <w:p w:rsidR="00EE13F6" w:rsidRDefault="002E5BC4" w:rsidP="002E5BC4">
      <w:pPr>
        <w:numPr>
          <w:ilvl w:val="0"/>
          <w:numId w:val="24"/>
        </w:numPr>
        <w:spacing w:after="133" w:line="264" w:lineRule="auto"/>
        <w:ind w:right="477" w:hanging="10"/>
        <w:jc w:val="both"/>
      </w:pPr>
      <w:r>
        <w:rPr>
          <w:rFonts w:ascii="Cambria" w:eastAsia="Cambria" w:hAnsi="Cambria" w:cs="Cambria"/>
        </w:rPr>
        <w:t xml:space="preserve">The hedgers will add the tax amount of </w:t>
      </w:r>
      <w:r>
        <w:rPr>
          <w:rFonts w:ascii="Cambria" w:eastAsia="Cambria" w:hAnsi="Cambria" w:cs="Cambria"/>
          <w:i/>
        </w:rPr>
        <w:t>t</w:t>
      </w:r>
      <w:r>
        <w:rPr>
          <w:rFonts w:ascii="Cambria" w:eastAsia="Cambria" w:hAnsi="Cambria" w:cs="Cambria"/>
          <w:vertAlign w:val="superscript"/>
        </w:rPr>
        <w:t>0</w:t>
      </w:r>
      <w:r>
        <w:rPr>
          <w:rFonts w:ascii="Cambria" w:eastAsia="Cambria" w:hAnsi="Cambria" w:cs="Cambria"/>
          <w:i/>
        </w:rPr>
        <w:t xml:space="preserve">K </w:t>
      </w:r>
      <w:r>
        <w:rPr>
          <w:rFonts w:ascii="Cambria" w:eastAsia="Cambria" w:hAnsi="Cambria" w:cs="Cambria"/>
        </w:rPr>
        <w:t xml:space="preserve">with </w:t>
      </w:r>
      <w:r>
        <w:rPr>
          <w:rFonts w:ascii="Cambria" w:eastAsia="Cambria" w:hAnsi="Cambria" w:cs="Cambria"/>
          <w:i/>
        </w:rPr>
        <w:t>t</w:t>
      </w:r>
      <w:r>
        <w:rPr>
          <w:rFonts w:ascii="Cambria" w:eastAsia="Cambria" w:hAnsi="Cambria" w:cs="Cambria"/>
          <w:vertAlign w:val="superscript"/>
        </w:rPr>
        <w:t>0</w:t>
      </w:r>
      <w:r>
        <w:rPr>
          <w:rFonts w:ascii="Cambria" w:eastAsia="Cambria" w:hAnsi="Cambria" w:cs="Cambria"/>
        </w:rPr>
        <w:t>=0.01 percent of the notional value of the contract and which is certain to their costs.</w:t>
      </w:r>
    </w:p>
    <w:p w:rsidR="00EE13F6" w:rsidRDefault="002E5BC4" w:rsidP="002E5BC4">
      <w:pPr>
        <w:numPr>
          <w:ilvl w:val="0"/>
          <w:numId w:val="24"/>
        </w:numPr>
        <w:spacing w:line="264" w:lineRule="auto"/>
        <w:ind w:right="477" w:hanging="10"/>
        <w:jc w:val="both"/>
      </w:pPr>
      <w:r>
        <w:rPr>
          <w:rFonts w:ascii="Cambria" w:eastAsia="Cambria" w:hAnsi="Cambria" w:cs="Cambria"/>
        </w:rPr>
        <w:t>I</w:t>
      </w:r>
      <w:r>
        <w:rPr>
          <w:rFonts w:ascii="Cambria" w:eastAsia="Cambria" w:hAnsi="Cambria" w:cs="Cambria"/>
        </w:rPr>
        <w:t>n terms of pay-off, the hedgers will record a decrease in their pay-off as the settlement willbe subject to taxation if we assume a physical settlement of the option with shares which is the common rule in cash equity option markets.</w:t>
      </w:r>
    </w:p>
    <w:p w:rsidR="00EE13F6" w:rsidRDefault="002E5BC4">
      <w:pPr>
        <w:spacing w:after="0" w:line="714" w:lineRule="auto"/>
        <w:ind w:left="19" w:right="477" w:hanging="10"/>
        <w:jc w:val="both"/>
      </w:pPr>
      <w:r>
        <w:rPr>
          <w:rFonts w:ascii="Cambria" w:eastAsia="Cambria" w:hAnsi="Cambria" w:cs="Cambria"/>
        </w:rPr>
        <w:t xml:space="preserve">In case the option is </w:t>
      </w:r>
      <w:r>
        <w:rPr>
          <w:rFonts w:ascii="Cambria" w:eastAsia="Cambria" w:hAnsi="Cambria" w:cs="Cambria"/>
        </w:rPr>
        <w:t xml:space="preserve">exercised, for a call with strike </w:t>
      </w:r>
      <w:r>
        <w:rPr>
          <w:rFonts w:ascii="Cambria" w:eastAsia="Cambria" w:hAnsi="Cambria" w:cs="Cambria"/>
          <w:i/>
        </w:rPr>
        <w:t>K</w:t>
      </w:r>
      <w:r>
        <w:rPr>
          <w:rFonts w:ascii="Cambria" w:eastAsia="Cambria" w:hAnsi="Cambria" w:cs="Cambria"/>
        </w:rPr>
        <w:t xml:space="preserve">, they will buy at </w:t>
      </w:r>
      <w:r>
        <w:rPr>
          <w:rFonts w:ascii="Cambria" w:eastAsia="Cambria" w:hAnsi="Cambria" w:cs="Cambria"/>
          <w:i/>
        </w:rPr>
        <w:t>K</w:t>
      </w:r>
      <w:r>
        <w:rPr>
          <w:rFonts w:ascii="Cambria" w:eastAsia="Cambria" w:hAnsi="Cambria" w:cs="Cambria"/>
        </w:rPr>
        <w:t xml:space="preserve">(1 + </w:t>
      </w:r>
      <w:r>
        <w:rPr>
          <w:rFonts w:ascii="Cambria" w:eastAsia="Cambria" w:hAnsi="Cambria" w:cs="Cambria"/>
          <w:i/>
        </w:rPr>
        <w:t>τ</w:t>
      </w:r>
      <w:r>
        <w:rPr>
          <w:rFonts w:ascii="Cambria" w:eastAsia="Cambria" w:hAnsi="Cambria" w:cs="Cambria"/>
        </w:rPr>
        <w:t xml:space="preserve">) and sell at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 xml:space="preserve">(1 − </w:t>
      </w:r>
      <w:r>
        <w:rPr>
          <w:rFonts w:ascii="Cambria" w:eastAsia="Cambria" w:hAnsi="Cambria" w:cs="Cambria"/>
          <w:i/>
        </w:rPr>
        <w:t>τ</w:t>
      </w:r>
      <w:r>
        <w:rPr>
          <w:rFonts w:ascii="Cambria" w:eastAsia="Cambria" w:hAnsi="Cambria" w:cs="Cambria"/>
        </w:rPr>
        <w:t xml:space="preserve">) incurring a total cost of </w:t>
      </w:r>
      <w:r>
        <w:rPr>
          <w:rFonts w:ascii="Cambria" w:eastAsia="Cambria" w:hAnsi="Cambria" w:cs="Cambria"/>
          <w:i/>
        </w:rPr>
        <w:t xml:space="preserve">A </w:t>
      </w:r>
      <w:r>
        <w:rPr>
          <w:rFonts w:ascii="Cambria" w:eastAsia="Cambria" w:hAnsi="Cambria" w:cs="Cambria"/>
        </w:rPr>
        <w:t xml:space="preserve">= </w:t>
      </w:r>
      <w:r>
        <w:rPr>
          <w:rFonts w:ascii="Cambria" w:eastAsia="Cambria" w:hAnsi="Cambria" w:cs="Cambria"/>
          <w:i/>
        </w:rPr>
        <w:t>τ</w:t>
      </w:r>
      <w:r>
        <w:rPr>
          <w:rFonts w:ascii="Cambria" w:eastAsia="Cambria" w:hAnsi="Cambria" w:cs="Cambria"/>
        </w:rPr>
        <w:t>(</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K</w:t>
      </w:r>
      <w:r>
        <w:rPr>
          <w:rFonts w:ascii="Cambria" w:eastAsia="Cambria" w:hAnsi="Cambria" w:cs="Cambria"/>
        </w:rPr>
        <w:t xml:space="preserve">). The expectation of those costs are (with r=0). </w:t>
      </w: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w:t>
      </w:r>
      <w:r>
        <w:rPr>
          <w:rFonts w:ascii="Cambria" w:eastAsia="Cambria" w:hAnsi="Cambria" w:cs="Cambria"/>
          <w:i/>
        </w:rPr>
        <w:t>τK</w:t>
      </w:r>
      <w:r>
        <w:rPr>
          <w:rFonts w:ascii="Cambria" w:eastAsia="Cambria" w:hAnsi="Cambria" w:cs="Cambria"/>
        </w:rPr>
        <w:t>;</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&gt; K</w:t>
      </w:r>
      <w:r>
        <w:rPr>
          <w:rFonts w:ascii="Cambria" w:eastAsia="Cambria" w:hAnsi="Cambria" w:cs="Cambria"/>
        </w:rPr>
        <w:t xml:space="preserve">) = </w:t>
      </w:r>
      <w:r>
        <w:rPr>
          <w:rFonts w:ascii="Cambria" w:eastAsia="Cambria" w:hAnsi="Cambria" w:cs="Cambria"/>
          <w:i/>
        </w:rPr>
        <w:t>τ</w:t>
      </w:r>
      <w:r>
        <w:rPr>
          <w:rFonts w:ascii="Cambria" w:eastAsia="Cambria" w:hAnsi="Cambria" w:cs="Cambria"/>
        </w:rPr>
        <w:t>Φ(</w:t>
      </w:r>
      <w:r>
        <w:rPr>
          <w:rFonts w:ascii="Cambria" w:eastAsia="Cambria" w:hAnsi="Cambria" w:cs="Cambria"/>
          <w:i/>
        </w:rPr>
        <w:t>d</w:t>
      </w:r>
      <w:r>
        <w:rPr>
          <w:rFonts w:ascii="Cambria" w:eastAsia="Cambria" w:hAnsi="Cambria" w:cs="Cambria"/>
        </w:rPr>
        <w:t>2)</w:t>
      </w:r>
      <w:r>
        <w:rPr>
          <w:rFonts w:ascii="Cambria" w:eastAsia="Cambria" w:hAnsi="Cambria" w:cs="Cambria"/>
          <w:i/>
        </w:rPr>
        <w:t>K</w:t>
      </w:r>
    </w:p>
    <w:p w:rsidR="00EE13F6" w:rsidRDefault="002E5BC4">
      <w:pPr>
        <w:spacing w:after="411"/>
        <w:ind w:left="2560"/>
      </w:pPr>
      <w:r>
        <w:rPr>
          <w:noProof/>
        </w:rPr>
        <w:drawing>
          <wp:inline distT="0" distB="0" distL="0" distR="0">
            <wp:extent cx="2642616" cy="1042416"/>
            <wp:effectExtent l="0" t="0" r="0" b="0"/>
            <wp:docPr id="221899" name="Picture 221899"/>
            <wp:cNvGraphicFramePr/>
            <a:graphic xmlns:a="http://schemas.openxmlformats.org/drawingml/2006/main">
              <a:graphicData uri="http://schemas.openxmlformats.org/drawingml/2006/picture">
                <pic:pic xmlns:pic="http://schemas.openxmlformats.org/drawingml/2006/picture">
                  <pic:nvPicPr>
                    <pic:cNvPr id="221899" name="Picture 221899"/>
                    <pic:cNvPicPr/>
                  </pic:nvPicPr>
                  <pic:blipFill>
                    <a:blip r:embed="rId115"/>
                    <a:stretch>
                      <a:fillRect/>
                    </a:stretch>
                  </pic:blipFill>
                  <pic:spPr>
                    <a:xfrm>
                      <a:off x="0" y="0"/>
                      <a:ext cx="2642616" cy="1042416"/>
                    </a:xfrm>
                    <a:prstGeom prst="rect">
                      <a:avLst/>
                    </a:prstGeom>
                  </pic:spPr>
                </pic:pic>
              </a:graphicData>
            </a:graphic>
          </wp:inline>
        </w:drawing>
      </w:r>
    </w:p>
    <w:p w:rsidR="00EE13F6" w:rsidRDefault="002E5BC4">
      <w:pPr>
        <w:spacing w:after="459" w:line="264" w:lineRule="auto"/>
        <w:ind w:left="19" w:right="477" w:hanging="10"/>
        <w:jc w:val="both"/>
      </w:pPr>
      <w:r>
        <w:rPr>
          <w:rFonts w:ascii="Cambria" w:eastAsia="Cambria" w:hAnsi="Cambria" w:cs="Cambria"/>
        </w:rPr>
        <w:t xml:space="preserve">Consequently option buyers, face an increase of their premium, which is known at the time </w:t>
      </w:r>
      <w:r>
        <w:rPr>
          <w:rFonts w:ascii="Cambria" w:eastAsia="Cambria" w:hAnsi="Cambria" w:cs="Cambria"/>
          <w:i/>
        </w:rPr>
        <w:t xml:space="preserve">t </w:t>
      </w:r>
      <w:r>
        <w:rPr>
          <w:rFonts w:ascii="Cambria" w:eastAsia="Cambria" w:hAnsi="Cambria" w:cs="Cambria"/>
        </w:rPr>
        <w:t>= 0 where they buy the option. This amounts to:</w:t>
      </w:r>
    </w:p>
    <w:p w:rsidR="00EE13F6" w:rsidRDefault="002E5BC4">
      <w:pPr>
        <w:spacing w:after="286" w:line="262" w:lineRule="auto"/>
        <w:ind w:left="10" w:right="493" w:hanging="10"/>
        <w:jc w:val="center"/>
      </w:pPr>
      <w:r>
        <w:rPr>
          <w:rFonts w:ascii="Cambria" w:eastAsia="Cambria" w:hAnsi="Cambria" w:cs="Cambria"/>
          <w:i/>
        </w:rPr>
        <w:t>t</w:t>
      </w:r>
      <w:r>
        <w:rPr>
          <w:rFonts w:ascii="Cambria" w:eastAsia="Cambria" w:hAnsi="Cambria" w:cs="Cambria"/>
          <w:vertAlign w:val="superscript"/>
        </w:rPr>
        <w:t>0</w:t>
      </w:r>
      <w:r>
        <w:rPr>
          <w:rFonts w:ascii="Cambria" w:eastAsia="Cambria" w:hAnsi="Cambria" w:cs="Cambria"/>
          <w:i/>
        </w:rPr>
        <w:t xml:space="preserve">K </w:t>
      </w:r>
      <w:r>
        <w:rPr>
          <w:rFonts w:ascii="Cambria" w:eastAsia="Cambria" w:hAnsi="Cambria" w:cs="Cambria"/>
        </w:rPr>
        <w:t xml:space="preserve">+ </w:t>
      </w:r>
      <w:r>
        <w:rPr>
          <w:rFonts w:ascii="Cambria" w:eastAsia="Cambria" w:hAnsi="Cambria" w:cs="Cambria"/>
          <w:i/>
        </w:rPr>
        <w:t>τ</w:t>
      </w:r>
      <w:r>
        <w:rPr>
          <w:rFonts w:ascii="Cambria" w:eastAsia="Cambria" w:hAnsi="Cambria" w:cs="Cambria"/>
        </w:rPr>
        <w:t>Φ(</w:t>
      </w:r>
      <w:r>
        <w:rPr>
          <w:rFonts w:ascii="Cambria" w:eastAsia="Cambria" w:hAnsi="Cambria" w:cs="Cambria"/>
          <w:i/>
        </w:rPr>
        <w:t>d</w:t>
      </w:r>
      <w:r>
        <w:rPr>
          <w:rFonts w:ascii="Cambria" w:eastAsia="Cambria" w:hAnsi="Cambria" w:cs="Cambria"/>
        </w:rPr>
        <w:t>2)</w:t>
      </w:r>
      <w:r>
        <w:rPr>
          <w:rFonts w:ascii="Cambria" w:eastAsia="Cambria" w:hAnsi="Cambria" w:cs="Cambria"/>
          <w:i/>
        </w:rPr>
        <w:t xml:space="preserve">K </w:t>
      </w:r>
      <w:r>
        <w:rPr>
          <w:rFonts w:ascii="Cambria" w:eastAsia="Cambria" w:hAnsi="Cambria" w:cs="Cambria"/>
        </w:rPr>
        <w:t xml:space="preserve">+ </w:t>
      </w:r>
      <w:r>
        <w:rPr>
          <w:rFonts w:ascii="Cambria" w:eastAsia="Cambria" w:hAnsi="Cambria" w:cs="Cambria"/>
          <w:i/>
        </w:rPr>
        <w:t>τ</w:t>
      </w:r>
      <w:r>
        <w:rPr>
          <w:rFonts w:ascii="Cambria" w:eastAsia="Cambria" w:hAnsi="Cambria" w:cs="Cambria"/>
        </w:rPr>
        <w:t>Φ(</w:t>
      </w:r>
      <w:r>
        <w:rPr>
          <w:rFonts w:ascii="Cambria" w:eastAsia="Cambria" w:hAnsi="Cambria" w:cs="Cambria"/>
          <w:i/>
        </w:rPr>
        <w:t>d</w:t>
      </w:r>
      <w:r>
        <w:rPr>
          <w:rFonts w:ascii="Cambria" w:eastAsia="Cambria" w:hAnsi="Cambria" w:cs="Cambria"/>
        </w:rPr>
        <w:t>1)</w:t>
      </w:r>
      <w:r>
        <w:rPr>
          <w:rFonts w:ascii="Cambria" w:eastAsia="Cambria" w:hAnsi="Cambria" w:cs="Cambria"/>
          <w:i/>
        </w:rPr>
        <w:t>S</w:t>
      </w:r>
      <w:r>
        <w:rPr>
          <w:rFonts w:ascii="Cambria" w:eastAsia="Cambria" w:hAnsi="Cambria" w:cs="Cambria"/>
          <w:vertAlign w:val="subscript"/>
        </w:rPr>
        <w:t>0</w:t>
      </w:r>
    </w:p>
    <w:p w:rsidR="00EE13F6" w:rsidRDefault="002E5BC4">
      <w:pPr>
        <w:spacing w:after="61" w:line="264" w:lineRule="auto"/>
        <w:ind w:left="19" w:right="477" w:hanging="10"/>
        <w:jc w:val="both"/>
      </w:pPr>
      <w:r>
        <w:rPr>
          <w:rFonts w:ascii="Cambria" w:eastAsia="Cambria" w:hAnsi="Cambria" w:cs="Cambria"/>
        </w:rPr>
        <w:t>This increase is equivalent to an increase in the volatility level (corresponding to an inc</w:t>
      </w:r>
      <w:r>
        <w:rPr>
          <w:rFonts w:ascii="Cambria" w:eastAsia="Cambria" w:hAnsi="Cambria" w:cs="Cambria"/>
        </w:rPr>
        <w:t>rease on the ”sell side” for market-makers ) which becomes:</w:t>
      </w:r>
    </w:p>
    <w:p w:rsidR="00EE13F6" w:rsidRDefault="002E5BC4">
      <w:pPr>
        <w:spacing w:after="0"/>
        <w:ind w:left="2800"/>
      </w:pPr>
      <w:r>
        <w:rPr>
          <w:noProof/>
        </w:rPr>
        <w:drawing>
          <wp:inline distT="0" distB="0" distL="0" distR="0">
            <wp:extent cx="2325624" cy="329185"/>
            <wp:effectExtent l="0" t="0" r="0" b="0"/>
            <wp:docPr id="221900" name="Picture 221900"/>
            <wp:cNvGraphicFramePr/>
            <a:graphic xmlns:a="http://schemas.openxmlformats.org/drawingml/2006/main">
              <a:graphicData uri="http://schemas.openxmlformats.org/drawingml/2006/picture">
                <pic:pic xmlns:pic="http://schemas.openxmlformats.org/drawingml/2006/picture">
                  <pic:nvPicPr>
                    <pic:cNvPr id="221900" name="Picture 221900"/>
                    <pic:cNvPicPr/>
                  </pic:nvPicPr>
                  <pic:blipFill>
                    <a:blip r:embed="rId116"/>
                    <a:stretch>
                      <a:fillRect/>
                    </a:stretch>
                  </pic:blipFill>
                  <pic:spPr>
                    <a:xfrm>
                      <a:off x="0" y="0"/>
                      <a:ext cx="2325624" cy="329185"/>
                    </a:xfrm>
                    <a:prstGeom prst="rect">
                      <a:avLst/>
                    </a:prstGeom>
                  </pic:spPr>
                </pic:pic>
              </a:graphicData>
            </a:graphic>
          </wp:inline>
        </w:drawing>
      </w:r>
    </w:p>
    <w:p w:rsidR="00EE13F6" w:rsidRDefault="002E5BC4">
      <w:pPr>
        <w:pStyle w:val="Heading2"/>
        <w:tabs>
          <w:tab w:val="center" w:pos="3531"/>
        </w:tabs>
        <w:ind w:left="-15" w:firstLine="0"/>
      </w:pPr>
      <w:r>
        <w:t>7.2</w:t>
      </w:r>
      <w:r>
        <w:tab/>
        <w:t>Consequences on the Expected Realized Variance</w:t>
      </w:r>
    </w:p>
    <w:p w:rsidR="00EE13F6" w:rsidRDefault="002E5BC4">
      <w:pPr>
        <w:spacing w:after="50" w:line="264" w:lineRule="auto"/>
        <w:ind w:left="19" w:right="477" w:hanging="10"/>
        <w:jc w:val="both"/>
      </w:pPr>
      <w:r>
        <w:rPr>
          <w:rFonts w:ascii="Cambria" w:eastAsia="Cambria" w:hAnsi="Cambria" w:cs="Cambria"/>
        </w:rPr>
        <w:t>The expected realized variance on the period [0,T] is defined as:</w:t>
      </w:r>
    </w:p>
    <w:p w:rsidR="00EE13F6" w:rsidRDefault="002E5BC4">
      <w:pPr>
        <w:spacing w:after="272"/>
        <w:ind w:left="3200"/>
      </w:pPr>
      <w:r>
        <w:rPr>
          <w:noProof/>
        </w:rPr>
        <w:drawing>
          <wp:inline distT="0" distB="0" distL="0" distR="0">
            <wp:extent cx="1798320" cy="350520"/>
            <wp:effectExtent l="0" t="0" r="0" b="0"/>
            <wp:docPr id="221901" name="Picture 221901"/>
            <wp:cNvGraphicFramePr/>
            <a:graphic xmlns:a="http://schemas.openxmlformats.org/drawingml/2006/main">
              <a:graphicData uri="http://schemas.openxmlformats.org/drawingml/2006/picture">
                <pic:pic xmlns:pic="http://schemas.openxmlformats.org/drawingml/2006/picture">
                  <pic:nvPicPr>
                    <pic:cNvPr id="221901" name="Picture 221901"/>
                    <pic:cNvPicPr/>
                  </pic:nvPicPr>
                  <pic:blipFill>
                    <a:blip r:embed="rId117"/>
                    <a:stretch>
                      <a:fillRect/>
                    </a:stretch>
                  </pic:blipFill>
                  <pic:spPr>
                    <a:xfrm>
                      <a:off x="0" y="0"/>
                      <a:ext cx="1798320" cy="350520"/>
                    </a:xfrm>
                    <a:prstGeom prst="rect">
                      <a:avLst/>
                    </a:prstGeom>
                  </pic:spPr>
                </pic:pic>
              </a:graphicData>
            </a:graphic>
          </wp:inline>
        </w:drawing>
      </w:r>
    </w:p>
    <w:p w:rsidR="00EE13F6" w:rsidRDefault="002E5BC4">
      <w:pPr>
        <w:spacing w:after="447" w:line="264" w:lineRule="auto"/>
        <w:ind w:left="19" w:right="477" w:hanging="10"/>
        <w:jc w:val="both"/>
      </w:pPr>
      <w:r>
        <w:rPr>
          <w:rFonts w:ascii="Cambria" w:eastAsia="Cambria" w:hAnsi="Cambria" w:cs="Cambria"/>
        </w:rPr>
        <w:lastRenderedPageBreak/>
        <w:t xml:space="preserve">If we consider that following the introduction of the FTT, hedgers face an </w:t>
      </w:r>
      <w:r>
        <w:rPr>
          <w:rFonts w:ascii="Cambria" w:eastAsia="Cambria" w:hAnsi="Cambria" w:cs="Cambria"/>
        </w:rPr>
        <w:t>increase of the volatility such that the new volatility is:</w:t>
      </w:r>
    </w:p>
    <w:p w:rsidR="00EE13F6" w:rsidRDefault="002E5BC4">
      <w:pPr>
        <w:spacing w:after="286" w:line="262" w:lineRule="auto"/>
        <w:ind w:left="10" w:right="491" w:hanging="10"/>
        <w:jc w:val="center"/>
      </w:pP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 xml:space="preserve">= (1 + </w:t>
      </w:r>
      <w:r>
        <w:rPr>
          <w:rFonts w:ascii="Cambria" w:eastAsia="Cambria" w:hAnsi="Cambria" w:cs="Cambria"/>
          <w:i/>
        </w:rPr>
        <w:t>y</w:t>
      </w:r>
      <w:r>
        <w:rPr>
          <w:rFonts w:ascii="Cambria" w:eastAsia="Cambria" w:hAnsi="Cambria" w:cs="Cambria"/>
        </w:rPr>
        <w:t>)</w:t>
      </w:r>
      <w:r>
        <w:rPr>
          <w:rFonts w:ascii="Cambria" w:eastAsia="Cambria" w:hAnsi="Cambria" w:cs="Cambria"/>
          <w:i/>
        </w:rPr>
        <w:t>σ</w:t>
      </w:r>
    </w:p>
    <w:p w:rsidR="00EE13F6" w:rsidRDefault="002E5BC4">
      <w:pPr>
        <w:spacing w:after="459" w:line="264" w:lineRule="auto"/>
        <w:ind w:left="19" w:right="477" w:hanging="10"/>
        <w:jc w:val="both"/>
      </w:pPr>
      <w:r>
        <w:rPr>
          <w:rFonts w:ascii="Cambria" w:eastAsia="Cambria" w:hAnsi="Cambria" w:cs="Cambria"/>
        </w:rPr>
        <w:t>Then this increase translates immediately in an increase of the expected realized variance:</w:t>
      </w:r>
    </w:p>
    <w:p w:rsidR="00EE13F6" w:rsidRDefault="002E5BC4">
      <w:pPr>
        <w:spacing w:after="503" w:line="262" w:lineRule="auto"/>
        <w:ind w:left="10" w:right="483" w:hanging="10"/>
        <w:jc w:val="center"/>
      </w:pPr>
      <w:r>
        <w:rPr>
          <w:rFonts w:ascii="Cambria" w:eastAsia="Cambria" w:hAnsi="Cambria" w:cs="Cambria"/>
          <w:i/>
        </w:rPr>
        <w:t>K</w:t>
      </w:r>
      <w:r>
        <w:rPr>
          <w:rFonts w:ascii="Cambria" w:eastAsia="Cambria" w:hAnsi="Cambria" w:cs="Cambria"/>
          <w:i/>
          <w:vertAlign w:val="subscript"/>
        </w:rPr>
        <w:t>V ar</w:t>
      </w:r>
      <w:r>
        <w:rPr>
          <w:rFonts w:ascii="Cambria" w:eastAsia="Cambria" w:hAnsi="Cambria" w:cs="Cambria"/>
          <w:i/>
          <w:sz w:val="18"/>
          <w:vertAlign w:val="subscript"/>
        </w:rPr>
        <w:t>A</w:t>
      </w:r>
      <w:r>
        <w:rPr>
          <w:rFonts w:ascii="Cambria" w:eastAsia="Cambria" w:hAnsi="Cambria" w:cs="Cambria"/>
        </w:rPr>
        <w:t>(0</w:t>
      </w:r>
      <w:r>
        <w:rPr>
          <w:rFonts w:ascii="Cambria" w:eastAsia="Cambria" w:hAnsi="Cambria" w:cs="Cambria"/>
          <w:i/>
        </w:rPr>
        <w:t>,T</w:t>
      </w:r>
      <w:r>
        <w:rPr>
          <w:rFonts w:ascii="Cambria" w:eastAsia="Cambria" w:hAnsi="Cambria" w:cs="Cambria"/>
        </w:rPr>
        <w:t xml:space="preserve">) = (1 + </w:t>
      </w:r>
      <w:r>
        <w:rPr>
          <w:rFonts w:ascii="Cambria" w:eastAsia="Cambria" w:hAnsi="Cambria" w:cs="Cambria"/>
          <w:i/>
        </w:rPr>
        <w:t>y</w:t>
      </w:r>
      <w:r>
        <w:rPr>
          <w:rFonts w:ascii="Cambria" w:eastAsia="Cambria" w:hAnsi="Cambria" w:cs="Cambria"/>
        </w:rPr>
        <w:t>)</w:t>
      </w:r>
      <w:r>
        <w:rPr>
          <w:rFonts w:ascii="Cambria" w:eastAsia="Cambria" w:hAnsi="Cambria" w:cs="Cambria"/>
          <w:i/>
        </w:rPr>
        <w:t>K</w:t>
      </w:r>
      <w:r>
        <w:rPr>
          <w:rFonts w:ascii="Cambria" w:eastAsia="Cambria" w:hAnsi="Cambria" w:cs="Cambria"/>
          <w:i/>
          <w:vertAlign w:val="subscript"/>
        </w:rPr>
        <w:t>V ar</w:t>
      </w:r>
      <w:r>
        <w:rPr>
          <w:rFonts w:ascii="Cambria" w:eastAsia="Cambria" w:hAnsi="Cambria" w:cs="Cambria"/>
        </w:rPr>
        <w:t>(0</w:t>
      </w:r>
      <w:r>
        <w:rPr>
          <w:rFonts w:ascii="Cambria" w:eastAsia="Cambria" w:hAnsi="Cambria" w:cs="Cambria"/>
          <w:i/>
        </w:rPr>
        <w:t>,T</w:t>
      </w:r>
      <w:r>
        <w:rPr>
          <w:rFonts w:ascii="Cambria" w:eastAsia="Cambria" w:hAnsi="Cambria" w:cs="Cambria"/>
        </w:rPr>
        <w:t>)</w:t>
      </w:r>
    </w:p>
    <w:p w:rsidR="00EE13F6" w:rsidRDefault="002E5BC4">
      <w:pPr>
        <w:pStyle w:val="Heading2"/>
        <w:tabs>
          <w:tab w:val="center" w:pos="3436"/>
        </w:tabs>
        <w:ind w:left="-15" w:firstLine="0"/>
      </w:pPr>
      <w:r>
        <w:t>7.3</w:t>
      </w:r>
      <w:r>
        <w:tab/>
        <w:t>Consequences on the Final Demand for Options</w:t>
      </w:r>
    </w:p>
    <w:p w:rsidR="00EE13F6" w:rsidRDefault="002E5BC4">
      <w:pPr>
        <w:spacing w:after="133" w:line="264" w:lineRule="auto"/>
        <w:ind w:left="19" w:right="477" w:hanging="10"/>
        <w:jc w:val="both"/>
      </w:pPr>
      <w:r>
        <w:rPr>
          <w:rFonts w:ascii="Cambria" w:eastAsia="Cambria" w:hAnsi="Cambria" w:cs="Cambria"/>
        </w:rPr>
        <w:t xml:space="preserve">Hedgers (and other agents) looking for insurance are gauging their expected chances of realization of the event they are insured against (either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 xml:space="preserve">&gt; K </w:t>
      </w:r>
      <w:r>
        <w:rPr>
          <w:rFonts w:ascii="Cambria" w:eastAsia="Cambria" w:hAnsi="Cambria" w:cs="Cambria"/>
        </w:rPr>
        <w:t xml:space="preserve">or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i/>
        </w:rPr>
        <w:t>&lt; K</w:t>
      </w:r>
      <w:r>
        <w:rPr>
          <w:rFonts w:ascii="Cambria" w:eastAsia="Cambria" w:hAnsi="Cambria" w:cs="Cambria"/>
        </w:rPr>
        <w:t>, depending of the option they buy) by reading the market expectations. Because of the increase in market-makers hedging costs the market expectations are up, as we saw above.</w:t>
      </w:r>
    </w:p>
    <w:p w:rsidR="00EE13F6" w:rsidRDefault="002E5BC4">
      <w:pPr>
        <w:spacing w:after="133" w:line="264" w:lineRule="auto"/>
        <w:ind w:left="19" w:right="477" w:hanging="10"/>
        <w:jc w:val="both"/>
      </w:pPr>
      <w:r>
        <w:rPr>
          <w:rFonts w:ascii="Cambria" w:eastAsia="Cambria" w:hAnsi="Cambria" w:cs="Cambria"/>
        </w:rPr>
        <w:t>Based on the results of section 2 above, we have seen that, as long as the optio</w:t>
      </w:r>
      <w:r>
        <w:rPr>
          <w:rFonts w:ascii="Cambria" w:eastAsia="Cambria" w:hAnsi="Cambria" w:cs="Cambria"/>
        </w:rPr>
        <w:t>ns are priced according to the Black and Scholes formula, both insurers and insured agents will consider that they are at the maximum of their utility function. Consequently, in such markets the demand for options is not going to be affected even if the pa</w:t>
      </w:r>
      <w:r>
        <w:rPr>
          <w:rFonts w:ascii="Cambria" w:eastAsia="Cambria" w:hAnsi="Cambria" w:cs="Cambria"/>
        </w:rPr>
        <w:t>y-off and the volatility are increasing. Hedgers will consider, based on the increase in the expected realized variance that, the increase in the tax translates into an increase of the ”hazard rate”.</w:t>
      </w:r>
    </w:p>
    <w:p w:rsidR="00EE13F6" w:rsidRDefault="002E5BC4">
      <w:pPr>
        <w:spacing w:after="133" w:line="264" w:lineRule="auto"/>
        <w:ind w:left="19" w:right="477" w:hanging="10"/>
        <w:jc w:val="both"/>
      </w:pPr>
      <w:r>
        <w:rPr>
          <w:rFonts w:ascii="Cambria" w:eastAsia="Cambria" w:hAnsi="Cambria" w:cs="Cambria"/>
        </w:rPr>
        <w:t>This results can appear as surprising. However, they are</w:t>
      </w:r>
      <w:r>
        <w:rPr>
          <w:rFonts w:ascii="Cambria" w:eastAsia="Cambria" w:hAnsi="Cambria" w:cs="Cambria"/>
        </w:rPr>
        <w:t xml:space="preserve"> better understood if we think about that such option market would behave as a monopoly.</w:t>
      </w:r>
    </w:p>
    <w:p w:rsidR="00EE13F6" w:rsidRDefault="002E5BC4">
      <w:pPr>
        <w:pStyle w:val="Heading1"/>
        <w:tabs>
          <w:tab w:val="center" w:pos="4397"/>
        </w:tabs>
        <w:ind w:left="-15" w:firstLine="0"/>
      </w:pPr>
      <w:r>
        <w:t>8</w:t>
      </w:r>
      <w:r>
        <w:tab/>
        <w:t>Appendix B: Delta One Products Definition and Types</w:t>
      </w:r>
    </w:p>
    <w:p w:rsidR="00EE13F6" w:rsidRDefault="002E5BC4">
      <w:pPr>
        <w:spacing w:after="479" w:line="261" w:lineRule="auto"/>
        <w:ind w:left="-5" w:right="468" w:hanging="10"/>
      </w:pPr>
      <w:r>
        <w:rPr>
          <w:rFonts w:ascii="Cambria" w:eastAsia="Cambria" w:hAnsi="Cambria" w:cs="Cambria"/>
        </w:rPr>
        <w:t xml:space="preserve">Delta One Products are derivatives instruments which are mimicking the cash flows and the total return of either </w:t>
      </w:r>
      <w:r>
        <w:rPr>
          <w:rFonts w:ascii="Cambria" w:eastAsia="Cambria" w:hAnsi="Cambria" w:cs="Cambria"/>
        </w:rPr>
        <w:t>a long or a short position on a cash stock. Cash flows include dividends, corporate actions (such as stock splits), as well as financing costs. Total Return is defined as the variation of the stock price plus dividends. Those products are named after the o</w:t>
      </w:r>
      <w:r>
        <w:rPr>
          <w:rFonts w:ascii="Cambria" w:eastAsia="Cambria" w:hAnsi="Cambria" w:cs="Cambria"/>
        </w:rPr>
        <w:t>ption theory. Their ”delta”, defined as the variation of their marked-to-market value divided by the variation of the underlying equity, is exactly one. There are three different main kinds of delta one products.</w:t>
      </w:r>
    </w:p>
    <w:p w:rsidR="00EE13F6" w:rsidRDefault="002E5BC4">
      <w:pPr>
        <w:tabs>
          <w:tab w:val="center" w:pos="1094"/>
        </w:tabs>
        <w:spacing w:after="307" w:line="253" w:lineRule="auto"/>
        <w:ind w:left="-15"/>
      </w:pPr>
      <w:r>
        <w:rPr>
          <w:rFonts w:ascii="Cambria" w:eastAsia="Cambria" w:hAnsi="Cambria" w:cs="Cambria"/>
          <w:b/>
          <w:sz w:val="24"/>
        </w:rPr>
        <w:t>8.1</w:t>
      </w:r>
      <w:r>
        <w:rPr>
          <w:rFonts w:ascii="Cambria" w:eastAsia="Cambria" w:hAnsi="Cambria" w:cs="Cambria"/>
          <w:b/>
          <w:sz w:val="24"/>
        </w:rPr>
        <w:tab/>
        <w:t>Futures.</w:t>
      </w:r>
    </w:p>
    <w:p w:rsidR="00EE13F6" w:rsidRDefault="002E5BC4">
      <w:pPr>
        <w:spacing w:after="246" w:line="264" w:lineRule="auto"/>
        <w:ind w:left="19" w:right="477" w:hanging="10"/>
        <w:jc w:val="both"/>
      </w:pPr>
      <w:r>
        <w:rPr>
          <w:rFonts w:ascii="Cambria" w:eastAsia="Cambria" w:hAnsi="Cambria" w:cs="Cambria"/>
        </w:rPr>
        <w:t xml:space="preserve">Futures or forward are delta one products. Assuming a stock price whose spot (mid) is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 xml:space="preserve">and forward value is </w:t>
      </w:r>
      <w:r>
        <w:rPr>
          <w:rFonts w:ascii="Cambria" w:eastAsia="Cambria" w:hAnsi="Cambria" w:cs="Cambria"/>
          <w:i/>
        </w:rPr>
        <w:t>F</w:t>
      </w:r>
      <w:r>
        <w:rPr>
          <w:rFonts w:ascii="Cambria" w:eastAsia="Cambria" w:hAnsi="Cambria" w:cs="Cambria"/>
        </w:rPr>
        <w:t>(</w:t>
      </w:r>
      <w:r>
        <w:rPr>
          <w:rFonts w:ascii="Cambria" w:eastAsia="Cambria" w:hAnsi="Cambria" w:cs="Cambria"/>
          <w:i/>
        </w:rPr>
        <w:t>t,T</w:t>
      </w:r>
      <w:r>
        <w:rPr>
          <w:rFonts w:ascii="Cambria" w:eastAsia="Cambria" w:hAnsi="Cambria" w:cs="Cambria"/>
        </w:rPr>
        <w:t>), then:</w:t>
      </w:r>
    </w:p>
    <w:p w:rsidR="00EE13F6" w:rsidRDefault="002E5BC4">
      <w:pPr>
        <w:tabs>
          <w:tab w:val="center" w:pos="4680"/>
          <w:tab w:val="center" w:pos="9166"/>
        </w:tabs>
        <w:spacing w:after="270" w:line="265" w:lineRule="auto"/>
      </w:pPr>
      <w:r>
        <w:tab/>
      </w:r>
      <w:r>
        <w:rPr>
          <w:rFonts w:ascii="Cambria" w:eastAsia="Cambria" w:hAnsi="Cambria" w:cs="Cambria"/>
          <w:i/>
        </w:rPr>
        <w:t>F</w:t>
      </w:r>
      <w:r>
        <w:rPr>
          <w:rFonts w:ascii="Cambria" w:eastAsia="Cambria" w:hAnsi="Cambria" w:cs="Cambria"/>
        </w:rPr>
        <w:t>(</w:t>
      </w:r>
      <w:r>
        <w:rPr>
          <w:rFonts w:ascii="Cambria" w:eastAsia="Cambria" w:hAnsi="Cambria" w:cs="Cambria"/>
          <w:i/>
        </w:rPr>
        <w:t>t,T</w:t>
      </w:r>
      <w:r>
        <w:rPr>
          <w:rFonts w:ascii="Cambria" w:eastAsia="Cambria" w:hAnsi="Cambria" w:cs="Cambria"/>
        </w:rPr>
        <w:t xml:space="preserve">) =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[exp(</w:t>
      </w:r>
      <w:r>
        <w:rPr>
          <w:rFonts w:ascii="Cambria" w:eastAsia="Cambria" w:hAnsi="Cambria" w:cs="Cambria"/>
          <w:i/>
        </w:rPr>
        <w:t>c</w:t>
      </w:r>
      <w:r>
        <w:rPr>
          <w:rFonts w:ascii="Cambria" w:eastAsia="Cambria" w:hAnsi="Cambria" w:cs="Cambria"/>
          <w:i/>
          <w:vertAlign w:val="subscript"/>
        </w:rPr>
        <w:t xml:space="preserve">f </w:t>
      </w:r>
      <w:r>
        <w:rPr>
          <w:rFonts w:ascii="Cambria" w:eastAsia="Cambria" w:hAnsi="Cambria" w:cs="Cambria"/>
        </w:rPr>
        <w:t>−</w:t>
      </w:r>
      <w:r>
        <w:rPr>
          <w:rFonts w:ascii="Cambria" w:eastAsia="Cambria" w:hAnsi="Cambria" w:cs="Cambria"/>
        </w:rPr>
        <w:t xml:space="preserve"> </w:t>
      </w:r>
      <w:r>
        <w:rPr>
          <w:rFonts w:ascii="Cambria" w:eastAsia="Cambria" w:hAnsi="Cambria" w:cs="Cambria"/>
          <w:i/>
        </w:rPr>
        <w:t>d</w:t>
      </w:r>
      <w:r>
        <w:rPr>
          <w:rFonts w:ascii="Cambria" w:eastAsia="Cambria" w:hAnsi="Cambria" w:cs="Cambria"/>
        </w:rPr>
        <w:t>)(</w:t>
      </w:r>
      <w:r>
        <w:rPr>
          <w:rFonts w:ascii="Cambria" w:eastAsia="Cambria" w:hAnsi="Cambria" w:cs="Cambria"/>
          <w:i/>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t</w:t>
      </w:r>
      <w:r>
        <w:rPr>
          <w:rFonts w:ascii="Cambria" w:eastAsia="Cambria" w:hAnsi="Cambria" w:cs="Cambria"/>
        </w:rPr>
        <w:t>)]</w:t>
      </w:r>
      <w:r>
        <w:rPr>
          <w:rFonts w:ascii="Cambria" w:eastAsia="Cambria" w:hAnsi="Cambria" w:cs="Cambria"/>
        </w:rPr>
        <w:tab/>
        <w:t>(50)</w:t>
      </w:r>
    </w:p>
    <w:p w:rsidR="00EE13F6" w:rsidRDefault="002E5BC4">
      <w:pPr>
        <w:spacing w:after="154" w:line="264" w:lineRule="auto"/>
        <w:ind w:left="19" w:right="477" w:hanging="10"/>
        <w:jc w:val="both"/>
      </w:pPr>
      <w:r>
        <w:rPr>
          <w:rFonts w:ascii="Cambria" w:eastAsia="Cambria" w:hAnsi="Cambria" w:cs="Cambria"/>
        </w:rPr>
        <w:t xml:space="preserve">- with </w:t>
      </w:r>
      <w:r>
        <w:rPr>
          <w:rFonts w:ascii="Cambria" w:eastAsia="Cambria" w:hAnsi="Cambria" w:cs="Cambria"/>
          <w:i/>
        </w:rPr>
        <w:t>c</w:t>
      </w:r>
      <w:r>
        <w:rPr>
          <w:rFonts w:ascii="Cambria" w:eastAsia="Cambria" w:hAnsi="Cambria" w:cs="Cambria"/>
          <w:i/>
          <w:vertAlign w:val="subscript"/>
        </w:rPr>
        <w:t xml:space="preserve">f </w:t>
      </w:r>
      <w:r>
        <w:rPr>
          <w:rFonts w:ascii="Cambria" w:eastAsia="Cambria" w:hAnsi="Cambria" w:cs="Cambria"/>
        </w:rPr>
        <w:t>is the average cost of:</w:t>
      </w:r>
    </w:p>
    <w:p w:rsidR="00EE13F6" w:rsidRDefault="002E5BC4" w:rsidP="002E5BC4">
      <w:pPr>
        <w:numPr>
          <w:ilvl w:val="0"/>
          <w:numId w:val="25"/>
        </w:numPr>
        <w:spacing w:after="133" w:line="264" w:lineRule="auto"/>
        <w:ind w:right="477" w:hanging="10"/>
        <w:jc w:val="both"/>
      </w:pPr>
      <w:r>
        <w:rPr>
          <w:rFonts w:ascii="Cambria" w:eastAsia="Cambria" w:hAnsi="Cambria" w:cs="Cambria"/>
        </w:rPr>
        <w:lastRenderedPageBreak/>
        <w:t>funding of the arbitrage cash and carry which consist of bu</w:t>
      </w:r>
      <w:r>
        <w:rPr>
          <w:rFonts w:ascii="Cambria" w:eastAsia="Cambria" w:hAnsi="Cambria" w:cs="Cambria"/>
        </w:rPr>
        <w:t>ying the stock, funding it and sellingthe future.</w:t>
      </w:r>
    </w:p>
    <w:p w:rsidR="00EE13F6" w:rsidRDefault="002E5BC4" w:rsidP="002E5BC4">
      <w:pPr>
        <w:numPr>
          <w:ilvl w:val="0"/>
          <w:numId w:val="25"/>
        </w:numPr>
        <w:spacing w:after="133" w:line="264" w:lineRule="auto"/>
        <w:ind w:right="477" w:hanging="10"/>
        <w:jc w:val="both"/>
      </w:pPr>
      <w:r>
        <w:rPr>
          <w:rFonts w:ascii="Cambria" w:eastAsia="Cambria" w:hAnsi="Cambria" w:cs="Cambria"/>
        </w:rPr>
        <w:t>borrowing the stock selling it, lending the cash proceeds, and buy the future (Reverse Cash andCarry).</w:t>
      </w:r>
    </w:p>
    <w:p w:rsidR="00EE13F6" w:rsidRDefault="002E5BC4">
      <w:pPr>
        <w:spacing w:after="476" w:line="264" w:lineRule="auto"/>
        <w:ind w:left="19" w:right="477" w:hanging="10"/>
        <w:jc w:val="both"/>
      </w:pPr>
      <w:r>
        <w:rPr>
          <w:rFonts w:ascii="Cambria" w:eastAsia="Cambria" w:hAnsi="Cambria" w:cs="Cambria"/>
        </w:rPr>
        <w:t>d is the continuous dividend yield of the stock. Futures and forwards can have different bid-ask spread</w:t>
      </w:r>
      <w:r>
        <w:rPr>
          <w:rFonts w:ascii="Cambria" w:eastAsia="Cambria" w:hAnsi="Cambria" w:cs="Cambria"/>
        </w:rPr>
        <w:t xml:space="preserve"> depending upon the credit worthiness of the two counterparts, which command the funding spreads of those instruments.</w:t>
      </w:r>
    </w:p>
    <w:p w:rsidR="00EE13F6" w:rsidRDefault="002E5BC4">
      <w:pPr>
        <w:pStyle w:val="Heading2"/>
        <w:tabs>
          <w:tab w:val="center" w:pos="3040"/>
        </w:tabs>
        <w:ind w:left="-15" w:firstLine="0"/>
      </w:pPr>
      <w:r>
        <w:t>8.2</w:t>
      </w:r>
      <w:r>
        <w:tab/>
        <w:t>Equity Swaps or Contract for Differences</w:t>
      </w:r>
    </w:p>
    <w:p w:rsidR="00EE13F6" w:rsidRDefault="002E5BC4">
      <w:pPr>
        <w:spacing w:after="133" w:line="264" w:lineRule="auto"/>
        <w:ind w:left="19" w:right="477" w:hanging="10"/>
        <w:jc w:val="both"/>
      </w:pPr>
      <w:r>
        <w:rPr>
          <w:rFonts w:ascii="Cambria" w:eastAsia="Cambria" w:hAnsi="Cambria" w:cs="Cambria"/>
        </w:rPr>
        <w:t>Equity Swaps (EQS) or contract for differences (CFDs) are derivatives contracts where the to</w:t>
      </w:r>
      <w:r>
        <w:rPr>
          <w:rFonts w:ascii="Cambria" w:eastAsia="Cambria" w:hAnsi="Cambria" w:cs="Cambria"/>
        </w:rPr>
        <w:t xml:space="preserve">tal return of the stock (including dividends) is exchanged against its funding cost. In an equity swap the counterpart which is ”long” will receive the positive performance, pay the negative performance as well as the funding of the position. Conversely a </w:t>
      </w:r>
      <w:r>
        <w:rPr>
          <w:rFonts w:ascii="Cambria" w:eastAsia="Cambria" w:hAnsi="Cambria" w:cs="Cambria"/>
        </w:rPr>
        <w:t>”short” counterpart will pay the positive performance and the dividend to the other counterpart, it will receive the negative performance as well as the funding costs.</w:t>
      </w:r>
    </w:p>
    <w:p w:rsidR="00EE13F6" w:rsidRDefault="002E5BC4">
      <w:pPr>
        <w:spacing w:after="133" w:line="264" w:lineRule="auto"/>
        <w:ind w:left="19" w:right="477" w:hanging="10"/>
        <w:jc w:val="both"/>
      </w:pPr>
      <w:r>
        <w:rPr>
          <w:rFonts w:ascii="Cambria" w:eastAsia="Cambria" w:hAnsi="Cambria" w:cs="Cambria"/>
        </w:rPr>
        <w:t xml:space="preserve">CFDs have been launched, a while ago, following the introduction of the British version </w:t>
      </w:r>
      <w:r>
        <w:rPr>
          <w:rFonts w:ascii="Cambria" w:eastAsia="Cambria" w:hAnsi="Cambria" w:cs="Cambria"/>
        </w:rPr>
        <w:t>of the FTT (called the Stamp Duty Tax). At the difference of the current EEC project, Stock brokers and market-makers are exempt from such tax, and this appeared as a way of avoiding the payment for the tax for the clients using usually cash. The FTT intro</w:t>
      </w:r>
      <w:r>
        <w:rPr>
          <w:rFonts w:ascii="Cambria" w:eastAsia="Cambria" w:hAnsi="Cambria" w:cs="Cambria"/>
        </w:rPr>
        <w:t>duced by French authorities in 2012 at a rate of 0.2 percent and then increased to 0.3 percent does not apply to CFDs.</w:t>
      </w:r>
    </w:p>
    <w:p w:rsidR="00EE13F6" w:rsidRDefault="002E5BC4">
      <w:pPr>
        <w:spacing w:after="133" w:line="264" w:lineRule="auto"/>
        <w:ind w:left="19" w:right="477" w:hanging="10"/>
        <w:jc w:val="both"/>
      </w:pPr>
      <w:r>
        <w:rPr>
          <w:rFonts w:ascii="Cambria" w:eastAsia="Cambria" w:hAnsi="Cambria" w:cs="Cambria"/>
        </w:rPr>
        <w:t>One can see that futures, forward, EQS and CFDs have a similar exposure toward the variations of the underlying cash equity. Market pract</w:t>
      </w:r>
      <w:r>
        <w:rPr>
          <w:rFonts w:ascii="Cambria" w:eastAsia="Cambria" w:hAnsi="Cambria" w:cs="Cambria"/>
        </w:rPr>
        <w:t>ice is to provide Direct Market Access (D.M.A) quotes for CFDs such that their bid-ask spread is identical to the cash equity bid-ask. Unlike the futures whose funding costs are embedded in the future price, CFDs see their funding treated and charged separ</w:t>
      </w:r>
      <w:r>
        <w:rPr>
          <w:rFonts w:ascii="Cambria" w:eastAsia="Cambria" w:hAnsi="Cambria" w:cs="Cambria"/>
        </w:rPr>
        <w:t>ately. Theoretically, CFDs ruled by the DMA quotation rule allow to take intra-day positions.</w:t>
      </w:r>
    </w:p>
    <w:p w:rsidR="00EE13F6" w:rsidRDefault="002E5BC4">
      <w:pPr>
        <w:pStyle w:val="Heading2"/>
        <w:tabs>
          <w:tab w:val="center" w:pos="1590"/>
        </w:tabs>
        <w:ind w:left="-15" w:firstLine="0"/>
      </w:pPr>
      <w:r>
        <w:t>8.3</w:t>
      </w:r>
      <w:r>
        <w:tab/>
        <w:t>Synthetic Stocks</w:t>
      </w:r>
    </w:p>
    <w:p w:rsidR="00EE13F6" w:rsidRDefault="002E5BC4">
      <w:pPr>
        <w:spacing w:after="133" w:line="264" w:lineRule="auto"/>
        <w:ind w:left="19" w:right="477" w:hanging="10"/>
        <w:jc w:val="both"/>
      </w:pPr>
      <w:r>
        <w:rPr>
          <w:rFonts w:ascii="Cambria" w:eastAsia="Cambria" w:hAnsi="Cambria" w:cs="Cambria"/>
        </w:rPr>
        <w:t>Long synthetic stock is defined as a combination of a long call and a short put positions with the same strike and maturity.</w:t>
      </w:r>
    </w:p>
    <w:p w:rsidR="00EE13F6" w:rsidRDefault="002E5BC4">
      <w:pPr>
        <w:spacing w:after="233" w:line="264" w:lineRule="auto"/>
        <w:ind w:left="19" w:right="477" w:hanging="10"/>
        <w:jc w:val="both"/>
      </w:pPr>
      <w:r>
        <w:rPr>
          <w:rFonts w:ascii="Cambria" w:eastAsia="Cambria" w:hAnsi="Cambria" w:cs="Cambria"/>
        </w:rPr>
        <w:t>According to the Call-put parity relationship defined in the Black and Scholes framework:</w:t>
      </w:r>
    </w:p>
    <w:p w:rsidR="00EE13F6" w:rsidRDefault="002E5BC4">
      <w:pPr>
        <w:spacing w:after="21"/>
        <w:ind w:left="-5" w:hanging="10"/>
      </w:pPr>
      <w:r>
        <w:rPr>
          <w:rFonts w:ascii="Cambria" w:eastAsia="Cambria" w:hAnsi="Cambria" w:cs="Cambria"/>
          <w:i/>
        </w:rPr>
        <w:t>C</w:t>
      </w:r>
      <w:r>
        <w:rPr>
          <w:rFonts w:ascii="Cambria" w:eastAsia="Cambria" w:hAnsi="Cambria" w:cs="Cambria"/>
        </w:rPr>
        <w:t>(</w:t>
      </w:r>
      <w:r>
        <w:rPr>
          <w:rFonts w:ascii="Cambria" w:eastAsia="Cambria" w:hAnsi="Cambria" w:cs="Cambria"/>
          <w:i/>
        </w:rPr>
        <w:t>S,K,t,T</w:t>
      </w:r>
      <w:r>
        <w:rPr>
          <w:rFonts w:ascii="Cambria" w:eastAsia="Cambria" w:hAnsi="Cambria" w:cs="Cambria"/>
        </w:rPr>
        <w:t xml:space="preserve">) − </w:t>
      </w:r>
      <w:r>
        <w:rPr>
          <w:rFonts w:ascii="Cambria" w:eastAsia="Cambria" w:hAnsi="Cambria" w:cs="Cambria"/>
          <w:i/>
        </w:rPr>
        <w:t>P</w:t>
      </w:r>
      <w:r>
        <w:rPr>
          <w:rFonts w:ascii="Cambria" w:eastAsia="Cambria" w:hAnsi="Cambria" w:cs="Cambria"/>
        </w:rPr>
        <w:t>(</w:t>
      </w:r>
      <w:r>
        <w:rPr>
          <w:rFonts w:ascii="Cambria" w:eastAsia="Cambria" w:hAnsi="Cambria" w:cs="Cambria"/>
          <w:i/>
        </w:rPr>
        <w:t>S,K,t,T</w:t>
      </w:r>
      <w:r>
        <w:rPr>
          <w:rFonts w:ascii="Cambria" w:eastAsia="Cambria" w:hAnsi="Cambria" w:cs="Cambria"/>
        </w:rPr>
        <w:t>) = exp[−(</w:t>
      </w:r>
      <w:r>
        <w:rPr>
          <w:rFonts w:ascii="Cambria" w:eastAsia="Cambria" w:hAnsi="Cambria" w:cs="Cambria"/>
          <w:i/>
        </w:rPr>
        <w:t xml:space="preserve">r </w:t>
      </w:r>
      <w:r>
        <w:rPr>
          <w:rFonts w:ascii="Cambria" w:eastAsia="Cambria" w:hAnsi="Cambria" w:cs="Cambria"/>
        </w:rPr>
        <w:t>−</w:t>
      </w:r>
      <w:r>
        <w:rPr>
          <w:rFonts w:ascii="Cambria" w:eastAsia="Cambria" w:hAnsi="Cambria" w:cs="Cambria"/>
        </w:rPr>
        <w:t xml:space="preserve"> </w:t>
      </w:r>
      <w:r>
        <w:rPr>
          <w:rFonts w:ascii="Cambria" w:eastAsia="Cambria" w:hAnsi="Cambria" w:cs="Cambria"/>
          <w:i/>
        </w:rPr>
        <w:t>d</w:t>
      </w:r>
      <w:r>
        <w:rPr>
          <w:rFonts w:ascii="Cambria" w:eastAsia="Cambria" w:hAnsi="Cambria" w:cs="Cambria"/>
        </w:rPr>
        <w:t>)(</w:t>
      </w:r>
      <w:r>
        <w:rPr>
          <w:rFonts w:ascii="Cambria" w:eastAsia="Cambria" w:hAnsi="Cambria" w:cs="Cambria"/>
          <w:i/>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t</w:t>
      </w:r>
      <w:r>
        <w:rPr>
          <w:rFonts w:ascii="Cambria" w:eastAsia="Cambria" w:hAnsi="Cambria" w:cs="Cambria"/>
        </w:rPr>
        <w:t>)][</w:t>
      </w:r>
      <w:r>
        <w:rPr>
          <w:rFonts w:ascii="Cambria" w:eastAsia="Cambria" w:hAnsi="Cambria" w:cs="Cambria"/>
          <w:i/>
        </w:rPr>
        <w:t>F</w:t>
      </w:r>
      <w:r>
        <w:rPr>
          <w:rFonts w:ascii="Cambria" w:eastAsia="Cambria" w:hAnsi="Cambria" w:cs="Cambria"/>
        </w:rPr>
        <w:t>(</w:t>
      </w:r>
      <w:r>
        <w:rPr>
          <w:rFonts w:ascii="Cambria" w:eastAsia="Cambria" w:hAnsi="Cambria" w:cs="Cambria"/>
          <w:i/>
        </w:rPr>
        <w:t>t,T</w:t>
      </w:r>
      <w:r>
        <w:rPr>
          <w:rFonts w:ascii="Cambria" w:eastAsia="Cambria" w:hAnsi="Cambria" w:cs="Cambria"/>
        </w:rPr>
        <w:t xml:space="preserve">) − </w:t>
      </w:r>
      <w:r>
        <w:rPr>
          <w:rFonts w:ascii="Cambria" w:eastAsia="Cambria" w:hAnsi="Cambria" w:cs="Cambria"/>
          <w:i/>
        </w:rPr>
        <w:t>K</w:t>
      </w:r>
      <w:r>
        <w:rPr>
          <w:rFonts w:ascii="Cambria" w:eastAsia="Cambria" w:hAnsi="Cambria" w:cs="Cambria"/>
        </w:rPr>
        <w:t xml:space="preserve">] =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w:t>
      </w:r>
      <w:r>
        <w:rPr>
          <w:rFonts w:ascii="Cambria" w:eastAsia="Cambria" w:hAnsi="Cambria" w:cs="Cambria"/>
        </w:rPr>
        <w:t xml:space="preserve"> exp[−(</w:t>
      </w:r>
      <w:r>
        <w:rPr>
          <w:rFonts w:ascii="Cambria" w:eastAsia="Cambria" w:hAnsi="Cambria" w:cs="Cambria"/>
          <w:i/>
        </w:rPr>
        <w:t xml:space="preserve">r </w:t>
      </w:r>
      <w:r>
        <w:rPr>
          <w:rFonts w:ascii="Cambria" w:eastAsia="Cambria" w:hAnsi="Cambria" w:cs="Cambria"/>
        </w:rPr>
        <w:t>−</w:t>
      </w:r>
      <w:r>
        <w:rPr>
          <w:rFonts w:ascii="Cambria" w:eastAsia="Cambria" w:hAnsi="Cambria" w:cs="Cambria"/>
        </w:rPr>
        <w:t xml:space="preserve"> </w:t>
      </w:r>
      <w:r>
        <w:rPr>
          <w:rFonts w:ascii="Cambria" w:eastAsia="Cambria" w:hAnsi="Cambria" w:cs="Cambria"/>
          <w:i/>
        </w:rPr>
        <w:t>d</w:t>
      </w:r>
      <w:r>
        <w:rPr>
          <w:rFonts w:ascii="Cambria" w:eastAsia="Cambria" w:hAnsi="Cambria" w:cs="Cambria"/>
        </w:rPr>
        <w:t>)(</w:t>
      </w:r>
      <w:r>
        <w:rPr>
          <w:rFonts w:ascii="Cambria" w:eastAsia="Cambria" w:hAnsi="Cambria" w:cs="Cambria"/>
          <w:i/>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t</w:t>
      </w:r>
      <w:r>
        <w:rPr>
          <w:rFonts w:ascii="Cambria" w:eastAsia="Cambria" w:hAnsi="Cambria" w:cs="Cambria"/>
        </w:rPr>
        <w:t>)]</w:t>
      </w:r>
      <w:r>
        <w:rPr>
          <w:rFonts w:ascii="Cambria" w:eastAsia="Cambria" w:hAnsi="Cambria" w:cs="Cambria"/>
          <w:i/>
        </w:rPr>
        <w:t>K</w:t>
      </w:r>
    </w:p>
    <w:p w:rsidR="00EE13F6" w:rsidRDefault="002E5BC4">
      <w:pPr>
        <w:spacing w:line="264" w:lineRule="auto"/>
        <w:ind w:left="9" w:right="477" w:firstLine="8972"/>
        <w:jc w:val="both"/>
      </w:pPr>
      <w:r>
        <w:rPr>
          <w:rFonts w:ascii="Cambria" w:eastAsia="Cambria" w:hAnsi="Cambria" w:cs="Cambria"/>
        </w:rPr>
        <w:t xml:space="preserve">(51) </w:t>
      </w:r>
      <w:r>
        <w:rPr>
          <w:rFonts w:ascii="Cambria" w:eastAsia="Cambria" w:hAnsi="Cambria" w:cs="Cambria"/>
        </w:rPr>
        <w:t>The delta one property is then immediate.As a consequence, we can see that any difference of two of the three instruments S, C(S,K,t,T),P(S,K,t,T) gives either a long or a short position on the third instrument.</w:t>
      </w:r>
    </w:p>
    <w:p w:rsidR="00EE13F6" w:rsidRDefault="002E5BC4">
      <w:pPr>
        <w:spacing w:after="475" w:line="264" w:lineRule="auto"/>
        <w:ind w:left="19" w:right="477" w:hanging="10"/>
        <w:jc w:val="both"/>
      </w:pPr>
      <w:r>
        <w:rPr>
          <w:rFonts w:ascii="Cambria" w:eastAsia="Cambria" w:hAnsi="Cambria" w:cs="Cambria"/>
        </w:rPr>
        <w:t>Also, one can see that a synthetic stock iss</w:t>
      </w:r>
      <w:r>
        <w:rPr>
          <w:rFonts w:ascii="Cambria" w:eastAsia="Cambria" w:hAnsi="Cambria" w:cs="Cambria"/>
        </w:rPr>
        <w:t>ued using at the Money Forward options, (</w:t>
      </w:r>
      <w:r>
        <w:rPr>
          <w:rFonts w:ascii="Cambria" w:eastAsia="Cambria" w:hAnsi="Cambria" w:cs="Cambria"/>
          <w:i/>
        </w:rPr>
        <w:t>F</w:t>
      </w:r>
      <w:r>
        <w:rPr>
          <w:rFonts w:ascii="Cambria" w:eastAsia="Cambria" w:hAnsi="Cambria" w:cs="Cambria"/>
        </w:rPr>
        <w:t>(</w:t>
      </w:r>
      <w:r>
        <w:rPr>
          <w:rFonts w:ascii="Cambria" w:eastAsia="Cambria" w:hAnsi="Cambria" w:cs="Cambria"/>
          <w:i/>
        </w:rPr>
        <w:t>t,T</w:t>
      </w:r>
      <w:r>
        <w:rPr>
          <w:rFonts w:ascii="Cambria" w:eastAsia="Cambria" w:hAnsi="Cambria" w:cs="Cambria"/>
        </w:rPr>
        <w:t xml:space="preserve">) = </w:t>
      </w:r>
      <w:r>
        <w:rPr>
          <w:rFonts w:ascii="Cambria" w:eastAsia="Cambria" w:hAnsi="Cambria" w:cs="Cambria"/>
          <w:i/>
        </w:rPr>
        <w:t>K</w:t>
      </w:r>
      <w:r>
        <w:rPr>
          <w:rFonts w:ascii="Cambria" w:eastAsia="Cambria" w:hAnsi="Cambria" w:cs="Cambria"/>
        </w:rPr>
        <w:t>) will require no funding at trade inception. Furthermore, one can see directly using the equation above that the synthetic stock mimics exactly the total return performance of Single Stock Future.</w:t>
      </w:r>
    </w:p>
    <w:p w:rsidR="00EE13F6" w:rsidRDefault="002E5BC4">
      <w:pPr>
        <w:pStyle w:val="Heading2"/>
        <w:ind w:left="598" w:right="302" w:hanging="613"/>
      </w:pPr>
      <w:r>
        <w:lastRenderedPageBreak/>
        <w:t>8.4 Arb</w:t>
      </w:r>
      <w:r>
        <w:t>itrage and Substitutability between Cash and Delta One Products: the Delta One Property</w:t>
      </w:r>
    </w:p>
    <w:p w:rsidR="00EE13F6" w:rsidRDefault="002E5BC4" w:rsidP="002E5BC4">
      <w:pPr>
        <w:numPr>
          <w:ilvl w:val="0"/>
          <w:numId w:val="26"/>
        </w:numPr>
        <w:spacing w:after="67" w:line="264" w:lineRule="auto"/>
        <w:ind w:right="477" w:hanging="10"/>
        <w:jc w:val="both"/>
      </w:pPr>
      <w:r>
        <w:rPr>
          <w:rFonts w:ascii="Cambria" w:eastAsia="Cambria" w:hAnsi="Cambria" w:cs="Cambria"/>
        </w:rPr>
        <w:t>Products such as synthetic options or Single Stock Futures allow to replicate identically thereturn of the underlying cash instrument. This is because they can all be r</w:t>
      </w:r>
      <w:r>
        <w:rPr>
          <w:rFonts w:ascii="Cambria" w:eastAsia="Cambria" w:hAnsi="Cambria" w:cs="Cambria"/>
        </w:rPr>
        <w:t>eplicated by a long (respectively short) synthetic stock based on a combination of a long(respectively short) European call option and a short (respectively long) European put option. From the properties of the synthetic stock we get then the ”delta One pr</w:t>
      </w:r>
      <w:r>
        <w:rPr>
          <w:rFonts w:ascii="Cambria" w:eastAsia="Cambria" w:hAnsi="Cambria" w:cs="Cambria"/>
        </w:rPr>
        <w:t>operty”:</w:t>
      </w:r>
    </w:p>
    <w:p w:rsidR="00EE13F6" w:rsidRDefault="002E5BC4">
      <w:pPr>
        <w:spacing w:after="273"/>
        <w:ind w:left="4120"/>
      </w:pPr>
      <w:r>
        <w:rPr>
          <w:noProof/>
        </w:rPr>
        <w:drawing>
          <wp:inline distT="0" distB="0" distL="0" distR="0">
            <wp:extent cx="643128" cy="316992"/>
            <wp:effectExtent l="0" t="0" r="0" b="0"/>
            <wp:docPr id="221902" name="Picture 221902"/>
            <wp:cNvGraphicFramePr/>
            <a:graphic xmlns:a="http://schemas.openxmlformats.org/drawingml/2006/main">
              <a:graphicData uri="http://schemas.openxmlformats.org/drawingml/2006/picture">
                <pic:pic xmlns:pic="http://schemas.openxmlformats.org/drawingml/2006/picture">
                  <pic:nvPicPr>
                    <pic:cNvPr id="221902" name="Picture 221902"/>
                    <pic:cNvPicPr/>
                  </pic:nvPicPr>
                  <pic:blipFill>
                    <a:blip r:embed="rId118"/>
                    <a:stretch>
                      <a:fillRect/>
                    </a:stretch>
                  </pic:blipFill>
                  <pic:spPr>
                    <a:xfrm>
                      <a:off x="0" y="0"/>
                      <a:ext cx="643128" cy="316992"/>
                    </a:xfrm>
                    <a:prstGeom prst="rect">
                      <a:avLst/>
                    </a:prstGeom>
                  </pic:spPr>
                </pic:pic>
              </a:graphicData>
            </a:graphic>
          </wp:inline>
        </w:drawing>
      </w:r>
    </w:p>
    <w:p w:rsidR="00EE13F6" w:rsidRDefault="002E5BC4" w:rsidP="002E5BC4">
      <w:pPr>
        <w:numPr>
          <w:ilvl w:val="0"/>
          <w:numId w:val="26"/>
        </w:numPr>
        <w:spacing w:after="133" w:line="264" w:lineRule="auto"/>
        <w:ind w:right="477" w:hanging="10"/>
        <w:jc w:val="both"/>
      </w:pPr>
      <w:r>
        <w:rPr>
          <w:rFonts w:ascii="Cambria" w:eastAsia="Cambria" w:hAnsi="Cambria" w:cs="Cambria"/>
        </w:rPr>
        <w:t>Furthermore, Single Stock Futures prices are linked to the underlying cash prices by arbitragepricing.</w:t>
      </w:r>
    </w:p>
    <w:p w:rsidR="00EE13F6" w:rsidRDefault="002E5BC4" w:rsidP="002E5BC4">
      <w:pPr>
        <w:numPr>
          <w:ilvl w:val="0"/>
          <w:numId w:val="26"/>
        </w:numPr>
        <w:spacing w:after="133" w:line="264" w:lineRule="auto"/>
        <w:ind w:right="477" w:hanging="10"/>
        <w:jc w:val="both"/>
      </w:pPr>
      <w:r>
        <w:rPr>
          <w:rFonts w:ascii="Cambria" w:eastAsia="Cambria" w:hAnsi="Cambria" w:cs="Cambria"/>
        </w:rPr>
        <w:t>Finally, we can consider that cash products and delta ones can be substituted one to another.Within delta one products this is the same, provi</w:t>
      </w:r>
      <w:r>
        <w:rPr>
          <w:rFonts w:ascii="Cambria" w:eastAsia="Cambria" w:hAnsi="Cambria" w:cs="Cambria"/>
        </w:rPr>
        <w:t>ded that the funding costs are the same.</w:t>
      </w:r>
    </w:p>
    <w:p w:rsidR="00EE13F6" w:rsidRDefault="002E5BC4" w:rsidP="002E5BC4">
      <w:pPr>
        <w:numPr>
          <w:ilvl w:val="0"/>
          <w:numId w:val="26"/>
        </w:numPr>
        <w:spacing w:after="133" w:line="264" w:lineRule="auto"/>
        <w:ind w:right="477" w:hanging="10"/>
        <w:jc w:val="both"/>
      </w:pPr>
      <w:r>
        <w:rPr>
          <w:rFonts w:ascii="Cambria" w:eastAsia="Cambria" w:hAnsi="Cambria" w:cs="Cambria"/>
        </w:rPr>
        <w:t>In the particular case of day trading, and after the introduction of the FTT, there is a possibilityof arbitraging the cash stock against the CFD. Because operations, are in one day we will consider there is ni fund</w:t>
      </w:r>
      <w:r>
        <w:rPr>
          <w:rFonts w:ascii="Cambria" w:eastAsia="Cambria" w:hAnsi="Cambria" w:cs="Cambria"/>
        </w:rPr>
        <w:t>ing cost.</w:t>
      </w:r>
    </w:p>
    <w:p w:rsidR="00EE13F6" w:rsidRDefault="002E5BC4">
      <w:pPr>
        <w:spacing w:after="276" w:line="264" w:lineRule="auto"/>
        <w:ind w:left="19" w:right="477" w:hanging="10"/>
        <w:jc w:val="both"/>
      </w:pPr>
      <w:r>
        <w:rPr>
          <w:rFonts w:ascii="Cambria" w:eastAsia="Cambria" w:hAnsi="Cambria" w:cs="Cambria"/>
        </w:rPr>
        <w:t>The arbitrage : buy the CFD sells the stock yields:</w:t>
      </w:r>
    </w:p>
    <w:p w:rsidR="00EE13F6" w:rsidRDefault="002E5BC4">
      <w:pPr>
        <w:tabs>
          <w:tab w:val="center" w:pos="4680"/>
          <w:tab w:val="center" w:pos="9166"/>
        </w:tabs>
        <w:spacing w:after="373" w:line="265" w:lineRule="auto"/>
      </w:pPr>
      <w:r>
        <w:tab/>
      </w:r>
      <w:r>
        <w:rPr>
          <w:rFonts w:ascii="Cambria" w:eastAsia="Cambria" w:hAnsi="Cambria" w:cs="Cambria"/>
        </w:rPr>
        <w:t>−</w:t>
      </w:r>
      <w:r>
        <w:rPr>
          <w:rFonts w:ascii="Cambria" w:eastAsia="Cambria" w:hAnsi="Cambria" w:cs="Cambria"/>
          <w:i/>
        </w:rPr>
        <w:t>F</w:t>
      </w:r>
      <w:r>
        <w:rPr>
          <w:rFonts w:ascii="Cambria" w:eastAsia="Cambria" w:hAnsi="Cambria" w:cs="Cambria"/>
          <w:i/>
          <w:vertAlign w:val="subscript"/>
        </w:rPr>
        <w:t>Bid</w:t>
      </w:r>
      <w:r>
        <w:rPr>
          <w:rFonts w:ascii="Cambria" w:eastAsia="Cambria" w:hAnsi="Cambria" w:cs="Cambria"/>
        </w:rPr>
        <w:t xml:space="preserve">(1 + </w:t>
      </w:r>
      <w:r>
        <w:rPr>
          <w:rFonts w:ascii="Cambria" w:eastAsia="Cambria" w:hAnsi="Cambria" w:cs="Cambria"/>
          <w:i/>
        </w:rPr>
        <w:t>t</w:t>
      </w:r>
      <w:r>
        <w:rPr>
          <w:rFonts w:ascii="Cambria" w:eastAsia="Cambria" w:hAnsi="Cambria" w:cs="Cambria"/>
          <w:vertAlign w:val="superscript"/>
        </w:rPr>
        <w:t>0</w:t>
      </w:r>
      <w:r>
        <w:rPr>
          <w:rFonts w:ascii="Cambria" w:eastAsia="Cambria" w:hAnsi="Cambria" w:cs="Cambria"/>
        </w:rPr>
        <w:t xml:space="preserve">) + </w:t>
      </w:r>
      <w:r>
        <w:rPr>
          <w:rFonts w:ascii="Cambria" w:eastAsia="Cambria" w:hAnsi="Cambria" w:cs="Cambria"/>
          <w:i/>
        </w:rPr>
        <w:t>S</w:t>
      </w:r>
      <w:r>
        <w:rPr>
          <w:rFonts w:ascii="Cambria" w:eastAsia="Cambria" w:hAnsi="Cambria" w:cs="Cambria"/>
          <w:i/>
          <w:vertAlign w:val="subscript"/>
        </w:rPr>
        <w:t>Bid</w:t>
      </w:r>
      <w:r>
        <w:rPr>
          <w:rFonts w:ascii="Cambria" w:eastAsia="Cambria" w:hAnsi="Cambria" w:cs="Cambria"/>
        </w:rPr>
        <w:t xml:space="preserve">(1 − </w:t>
      </w:r>
      <w:r>
        <w:rPr>
          <w:rFonts w:ascii="Cambria" w:eastAsia="Cambria" w:hAnsi="Cambria" w:cs="Cambria"/>
          <w:i/>
        </w:rPr>
        <w:t>t</w:t>
      </w:r>
      <w:r>
        <w:rPr>
          <w:rFonts w:ascii="Cambria" w:eastAsia="Cambria" w:hAnsi="Cambria" w:cs="Cambria"/>
        </w:rPr>
        <w:t>) = 0</w:t>
      </w:r>
      <w:r>
        <w:rPr>
          <w:rFonts w:ascii="Cambria" w:eastAsia="Cambria" w:hAnsi="Cambria" w:cs="Cambria"/>
        </w:rPr>
        <w:tab/>
        <w:t>(52)</w:t>
      </w:r>
    </w:p>
    <w:p w:rsidR="00EE13F6" w:rsidRDefault="002E5BC4">
      <w:pPr>
        <w:spacing w:after="278" w:line="264" w:lineRule="auto"/>
        <w:ind w:left="19" w:right="477" w:hanging="10"/>
        <w:jc w:val="both"/>
      </w:pPr>
      <w:r>
        <w:rPr>
          <w:rFonts w:ascii="Cambria" w:eastAsia="Cambria" w:hAnsi="Cambria" w:cs="Cambria"/>
        </w:rPr>
        <w:t>Whereas buying the stock selling the CFDs yields:</w:t>
      </w:r>
    </w:p>
    <w:p w:rsidR="00EE13F6" w:rsidRDefault="002E5BC4">
      <w:pPr>
        <w:tabs>
          <w:tab w:val="center" w:pos="4680"/>
          <w:tab w:val="center" w:pos="9166"/>
        </w:tabs>
        <w:spacing w:after="411" w:line="265" w:lineRule="auto"/>
      </w:pPr>
      <w:r>
        <w:tab/>
      </w:r>
      <w:r>
        <w:rPr>
          <w:rFonts w:ascii="Cambria" w:eastAsia="Cambria" w:hAnsi="Cambria" w:cs="Cambria"/>
          <w:i/>
        </w:rPr>
        <w:t>F</w:t>
      </w:r>
      <w:r>
        <w:rPr>
          <w:rFonts w:ascii="Cambria" w:eastAsia="Cambria" w:hAnsi="Cambria" w:cs="Cambria"/>
          <w:i/>
          <w:vertAlign w:val="subscript"/>
        </w:rPr>
        <w:t>Ask</w:t>
      </w:r>
      <w:r>
        <w:rPr>
          <w:rFonts w:ascii="Cambria" w:eastAsia="Cambria" w:hAnsi="Cambria" w:cs="Cambria"/>
        </w:rPr>
        <w:t xml:space="preserve">(1 − </w:t>
      </w:r>
      <w:r>
        <w:rPr>
          <w:rFonts w:ascii="Cambria" w:eastAsia="Cambria" w:hAnsi="Cambria" w:cs="Cambria"/>
          <w:i/>
        </w:rPr>
        <w:t>t</w:t>
      </w:r>
      <w:r>
        <w:rPr>
          <w:rFonts w:ascii="Cambria" w:eastAsia="Cambria" w:hAnsi="Cambria" w:cs="Cambria"/>
          <w:vertAlign w:val="superscript"/>
        </w:rPr>
        <w:t>0</w:t>
      </w:r>
      <w:r>
        <w:rPr>
          <w:rFonts w:ascii="Cambria" w:eastAsia="Cambria" w:hAnsi="Cambria" w:cs="Cambria"/>
        </w:rPr>
        <w:t xml:space="preserve">) − </w:t>
      </w:r>
      <w:r>
        <w:rPr>
          <w:rFonts w:ascii="Cambria" w:eastAsia="Cambria" w:hAnsi="Cambria" w:cs="Cambria"/>
          <w:i/>
        </w:rPr>
        <w:t>S</w:t>
      </w:r>
      <w:r>
        <w:rPr>
          <w:rFonts w:ascii="Cambria" w:eastAsia="Cambria" w:hAnsi="Cambria" w:cs="Cambria"/>
          <w:i/>
          <w:vertAlign w:val="subscript"/>
        </w:rPr>
        <w:t>ask</w:t>
      </w:r>
      <w:r>
        <w:rPr>
          <w:rFonts w:ascii="Cambria" w:eastAsia="Cambria" w:hAnsi="Cambria" w:cs="Cambria"/>
        </w:rPr>
        <w:t xml:space="preserve">(1 + </w:t>
      </w:r>
      <w:r>
        <w:rPr>
          <w:rFonts w:ascii="Cambria" w:eastAsia="Cambria" w:hAnsi="Cambria" w:cs="Cambria"/>
          <w:i/>
        </w:rPr>
        <w:t>t</w:t>
      </w:r>
      <w:r>
        <w:rPr>
          <w:rFonts w:ascii="Cambria" w:eastAsia="Cambria" w:hAnsi="Cambria" w:cs="Cambria"/>
        </w:rPr>
        <w:t>)</w:t>
      </w:r>
      <w:r>
        <w:rPr>
          <w:rFonts w:ascii="Cambria" w:eastAsia="Cambria" w:hAnsi="Cambria" w:cs="Cambria"/>
        </w:rPr>
        <w:tab/>
        <w:t>(53)</w:t>
      </w:r>
    </w:p>
    <w:p w:rsidR="00EE13F6" w:rsidRDefault="002E5BC4">
      <w:pPr>
        <w:spacing w:after="133" w:line="216" w:lineRule="auto"/>
        <w:ind w:left="19" w:right="477" w:hanging="10"/>
        <w:jc w:val="both"/>
      </w:pPr>
      <w:r>
        <w:rPr>
          <w:rFonts w:ascii="Cambria" w:eastAsia="Cambria" w:hAnsi="Cambria" w:cs="Cambria"/>
          <w:i/>
        </w:rPr>
        <w:t xml:space="preserve">δ </w:t>
      </w:r>
      <w:r>
        <w:rPr>
          <w:rFonts w:ascii="Cambria" w:eastAsia="Cambria" w:hAnsi="Cambria" w:cs="Cambria"/>
        </w:rPr>
        <w:t xml:space="preserve">and </w:t>
      </w:r>
      <w:r>
        <w:rPr>
          <w:rFonts w:ascii="Cambria" w:eastAsia="Cambria" w:hAnsi="Cambria" w:cs="Cambria"/>
          <w:i/>
        </w:rPr>
        <w:t>δ</w:t>
      </w:r>
      <w:r>
        <w:rPr>
          <w:rFonts w:ascii="Cambria" w:eastAsia="Cambria" w:hAnsi="Cambria" w:cs="Cambria"/>
          <w:vertAlign w:val="superscript"/>
        </w:rPr>
        <w:t xml:space="preserve">0 </w:t>
      </w:r>
      <w:r>
        <w:rPr>
          <w:rFonts w:ascii="Cambria" w:eastAsia="Cambria" w:hAnsi="Cambria" w:cs="Cambria"/>
        </w:rPr>
        <w:t xml:space="preserve">designate the respective bid-ask interval for the cash and the CFD. </w:t>
      </w:r>
      <w:r>
        <w:rPr>
          <w:rFonts w:ascii="Cambria" w:eastAsia="Cambria" w:hAnsi="Cambria" w:cs="Cambria"/>
          <w:i/>
        </w:rPr>
        <w:t xml:space="preserve">t </w:t>
      </w:r>
      <w:r>
        <w:rPr>
          <w:rFonts w:ascii="Cambria" w:eastAsia="Cambria" w:hAnsi="Cambria" w:cs="Cambria"/>
        </w:rPr>
        <w:t xml:space="preserve">and </w:t>
      </w:r>
      <w:r>
        <w:rPr>
          <w:rFonts w:ascii="Cambria" w:eastAsia="Cambria" w:hAnsi="Cambria" w:cs="Cambria"/>
          <w:i/>
        </w:rPr>
        <w:t>t</w:t>
      </w:r>
      <w:r>
        <w:rPr>
          <w:rFonts w:ascii="Cambria" w:eastAsia="Cambria" w:hAnsi="Cambria" w:cs="Cambria"/>
          <w:vertAlign w:val="superscript"/>
        </w:rPr>
        <w:t xml:space="preserve">0 </w:t>
      </w:r>
      <w:r>
        <w:rPr>
          <w:rFonts w:ascii="Cambria" w:eastAsia="Cambria" w:hAnsi="Cambria" w:cs="Cambria"/>
        </w:rPr>
        <w:t>are the respective FTT tax rates. From</w:t>
      </w:r>
      <w:r>
        <w:rPr>
          <w:noProof/>
        </w:rPr>
        <w:drawing>
          <wp:inline distT="0" distB="0" distL="0" distR="0">
            <wp:extent cx="1008888" cy="185928"/>
            <wp:effectExtent l="0" t="0" r="0" b="0"/>
            <wp:docPr id="221903" name="Picture 221903"/>
            <wp:cNvGraphicFramePr/>
            <a:graphic xmlns:a="http://schemas.openxmlformats.org/drawingml/2006/main">
              <a:graphicData uri="http://schemas.openxmlformats.org/drawingml/2006/picture">
                <pic:pic xmlns:pic="http://schemas.openxmlformats.org/drawingml/2006/picture">
                  <pic:nvPicPr>
                    <pic:cNvPr id="221903" name="Picture 221903"/>
                    <pic:cNvPicPr/>
                  </pic:nvPicPr>
                  <pic:blipFill>
                    <a:blip r:embed="rId119"/>
                    <a:stretch>
                      <a:fillRect/>
                    </a:stretch>
                  </pic:blipFill>
                  <pic:spPr>
                    <a:xfrm>
                      <a:off x="0" y="0"/>
                      <a:ext cx="1008888" cy="185928"/>
                    </a:xfrm>
                    <a:prstGeom prst="rect">
                      <a:avLst/>
                    </a:prstGeom>
                  </pic:spPr>
                </pic:pic>
              </a:graphicData>
            </a:graphic>
          </wp:inline>
        </w:drawing>
      </w:r>
      <w:r>
        <w:rPr>
          <w:rFonts w:ascii="Cambria" w:eastAsia="Cambria" w:hAnsi="Cambria" w:cs="Cambria"/>
        </w:rPr>
        <w:t xml:space="preserve"> and </w:t>
      </w:r>
      <w:r>
        <w:rPr>
          <w:noProof/>
        </w:rPr>
        <w:drawing>
          <wp:inline distT="0" distB="0" distL="0" distR="0">
            <wp:extent cx="1021080" cy="185928"/>
            <wp:effectExtent l="0" t="0" r="0" b="0"/>
            <wp:docPr id="221904" name="Picture 221904"/>
            <wp:cNvGraphicFramePr/>
            <a:graphic xmlns:a="http://schemas.openxmlformats.org/drawingml/2006/main">
              <a:graphicData uri="http://schemas.openxmlformats.org/drawingml/2006/picture">
                <pic:pic xmlns:pic="http://schemas.openxmlformats.org/drawingml/2006/picture">
                  <pic:nvPicPr>
                    <pic:cNvPr id="221904" name="Picture 221904"/>
                    <pic:cNvPicPr/>
                  </pic:nvPicPr>
                  <pic:blipFill>
                    <a:blip r:embed="rId120"/>
                    <a:stretch>
                      <a:fillRect/>
                    </a:stretch>
                  </pic:blipFill>
                  <pic:spPr>
                    <a:xfrm>
                      <a:off x="0" y="0"/>
                      <a:ext cx="1021080" cy="185928"/>
                    </a:xfrm>
                    <a:prstGeom prst="rect">
                      <a:avLst/>
                    </a:prstGeom>
                  </pic:spPr>
                </pic:pic>
              </a:graphicData>
            </a:graphic>
          </wp:inline>
        </w:drawing>
      </w:r>
      <w:r>
        <w:rPr>
          <w:rFonts w:ascii="Cambria" w:eastAsia="Cambria" w:hAnsi="Cambria" w:cs="Cambria"/>
        </w:rPr>
        <w:t xml:space="preserve"> and</w:t>
      </w:r>
    </w:p>
    <w:p w:rsidR="00EE13F6" w:rsidRDefault="002E5BC4">
      <w:pPr>
        <w:spacing w:after="79" w:line="264" w:lineRule="auto"/>
        <w:ind w:left="19" w:right="477" w:hanging="10"/>
        <w:jc w:val="both"/>
      </w:pPr>
      <w:r>
        <w:rPr>
          <w:noProof/>
        </w:rPr>
        <w:drawing>
          <wp:inline distT="0" distB="0" distL="0" distR="0">
            <wp:extent cx="969264" cy="179832"/>
            <wp:effectExtent l="0" t="0" r="0" b="0"/>
            <wp:docPr id="221905" name="Picture 221905"/>
            <wp:cNvGraphicFramePr/>
            <a:graphic xmlns:a="http://schemas.openxmlformats.org/drawingml/2006/main">
              <a:graphicData uri="http://schemas.openxmlformats.org/drawingml/2006/picture">
                <pic:pic xmlns:pic="http://schemas.openxmlformats.org/drawingml/2006/picture">
                  <pic:nvPicPr>
                    <pic:cNvPr id="221905" name="Picture 221905"/>
                    <pic:cNvPicPr/>
                  </pic:nvPicPr>
                  <pic:blipFill>
                    <a:blip r:embed="rId121"/>
                    <a:stretch>
                      <a:fillRect/>
                    </a:stretch>
                  </pic:blipFill>
                  <pic:spPr>
                    <a:xfrm>
                      <a:off x="0" y="0"/>
                      <a:ext cx="969264" cy="179832"/>
                    </a:xfrm>
                    <a:prstGeom prst="rect">
                      <a:avLst/>
                    </a:prstGeom>
                  </pic:spPr>
                </pic:pic>
              </a:graphicData>
            </a:graphic>
          </wp:inline>
        </w:drawing>
      </w:r>
      <w:r>
        <w:rPr>
          <w:rFonts w:ascii="Cambria" w:eastAsia="Cambria" w:hAnsi="Cambria" w:cs="Cambria"/>
        </w:rPr>
        <w:t xml:space="preserve"> and</w:t>
      </w:r>
      <w:r>
        <w:rPr>
          <w:noProof/>
        </w:rPr>
        <w:drawing>
          <wp:inline distT="0" distB="0" distL="0" distR="0">
            <wp:extent cx="1018032" cy="185928"/>
            <wp:effectExtent l="0" t="0" r="0" b="0"/>
            <wp:docPr id="221906" name="Picture 221906"/>
            <wp:cNvGraphicFramePr/>
            <a:graphic xmlns:a="http://schemas.openxmlformats.org/drawingml/2006/main">
              <a:graphicData uri="http://schemas.openxmlformats.org/drawingml/2006/picture">
                <pic:pic xmlns:pic="http://schemas.openxmlformats.org/drawingml/2006/picture">
                  <pic:nvPicPr>
                    <pic:cNvPr id="221906" name="Picture 221906"/>
                    <pic:cNvPicPr/>
                  </pic:nvPicPr>
                  <pic:blipFill>
                    <a:blip r:embed="rId122"/>
                    <a:stretch>
                      <a:fillRect/>
                    </a:stretch>
                  </pic:blipFill>
                  <pic:spPr>
                    <a:xfrm>
                      <a:off x="0" y="0"/>
                      <a:ext cx="1018032" cy="185928"/>
                    </a:xfrm>
                    <a:prstGeom prst="rect">
                      <a:avLst/>
                    </a:prstGeom>
                  </pic:spPr>
                </pic:pic>
              </a:graphicData>
            </a:graphic>
          </wp:inline>
        </w:drawing>
      </w:r>
    </w:p>
    <w:p w:rsidR="00EE13F6" w:rsidRDefault="002E5BC4">
      <w:pPr>
        <w:spacing w:after="292" w:line="264" w:lineRule="auto"/>
        <w:ind w:left="19" w:right="477" w:hanging="10"/>
        <w:jc w:val="both"/>
      </w:pPr>
      <w:r>
        <w:rPr>
          <w:rFonts w:ascii="Cambria" w:eastAsia="Cambria" w:hAnsi="Cambria" w:cs="Cambria"/>
        </w:rPr>
        <w:t>We get:</w:t>
      </w:r>
    </w:p>
    <w:p w:rsidR="00EE13F6" w:rsidRDefault="002E5BC4">
      <w:pPr>
        <w:tabs>
          <w:tab w:val="center" w:pos="4712"/>
          <w:tab w:val="center" w:pos="9166"/>
        </w:tabs>
        <w:spacing w:after="187" w:line="265" w:lineRule="auto"/>
      </w:pPr>
      <w:r>
        <w:tab/>
      </w:r>
      <w:r>
        <w:rPr>
          <w:noProof/>
        </w:rPr>
        <w:drawing>
          <wp:inline distT="0" distB="0" distL="0" distR="0">
            <wp:extent cx="2889504" cy="298704"/>
            <wp:effectExtent l="0" t="0" r="0" b="0"/>
            <wp:docPr id="221907" name="Picture 221907"/>
            <wp:cNvGraphicFramePr/>
            <a:graphic xmlns:a="http://schemas.openxmlformats.org/drawingml/2006/main">
              <a:graphicData uri="http://schemas.openxmlformats.org/drawingml/2006/picture">
                <pic:pic xmlns:pic="http://schemas.openxmlformats.org/drawingml/2006/picture">
                  <pic:nvPicPr>
                    <pic:cNvPr id="221907" name="Picture 221907"/>
                    <pic:cNvPicPr/>
                  </pic:nvPicPr>
                  <pic:blipFill>
                    <a:blip r:embed="rId123"/>
                    <a:stretch>
                      <a:fillRect/>
                    </a:stretch>
                  </pic:blipFill>
                  <pic:spPr>
                    <a:xfrm>
                      <a:off x="0" y="0"/>
                      <a:ext cx="2889504" cy="298704"/>
                    </a:xfrm>
                    <a:prstGeom prst="rect">
                      <a:avLst/>
                    </a:prstGeom>
                  </pic:spPr>
                </pic:pic>
              </a:graphicData>
            </a:graphic>
          </wp:inline>
        </w:drawing>
      </w:r>
      <w:r>
        <w:rPr>
          <w:rFonts w:ascii="Cambria" w:eastAsia="Cambria" w:hAnsi="Cambria" w:cs="Cambria"/>
        </w:rPr>
        <w:tab/>
        <w:t>(54)</w:t>
      </w:r>
    </w:p>
    <w:p w:rsidR="00EE13F6" w:rsidRDefault="002E5BC4">
      <w:pPr>
        <w:spacing w:after="47" w:line="264" w:lineRule="auto"/>
        <w:ind w:left="19" w:right="477" w:hanging="10"/>
        <w:jc w:val="both"/>
      </w:pPr>
      <w:r>
        <w:rPr>
          <w:rFonts w:ascii="Cambria" w:eastAsia="Cambria" w:hAnsi="Cambria" w:cs="Cambria"/>
        </w:rPr>
        <w:t>With:</w:t>
      </w:r>
    </w:p>
    <w:p w:rsidR="00EE13F6" w:rsidRDefault="002E5BC4">
      <w:pPr>
        <w:spacing w:after="445"/>
        <w:ind w:left="3640"/>
      </w:pPr>
      <w:r>
        <w:rPr>
          <w:noProof/>
        </w:rPr>
        <w:drawing>
          <wp:inline distT="0" distB="0" distL="0" distR="0">
            <wp:extent cx="1252728" cy="670560"/>
            <wp:effectExtent l="0" t="0" r="0" b="0"/>
            <wp:docPr id="221908" name="Picture 221908"/>
            <wp:cNvGraphicFramePr/>
            <a:graphic xmlns:a="http://schemas.openxmlformats.org/drawingml/2006/main">
              <a:graphicData uri="http://schemas.openxmlformats.org/drawingml/2006/picture">
                <pic:pic xmlns:pic="http://schemas.openxmlformats.org/drawingml/2006/picture">
                  <pic:nvPicPr>
                    <pic:cNvPr id="221908" name="Picture 221908"/>
                    <pic:cNvPicPr/>
                  </pic:nvPicPr>
                  <pic:blipFill>
                    <a:blip r:embed="rId124"/>
                    <a:stretch>
                      <a:fillRect/>
                    </a:stretch>
                  </pic:blipFill>
                  <pic:spPr>
                    <a:xfrm>
                      <a:off x="0" y="0"/>
                      <a:ext cx="1252728" cy="670560"/>
                    </a:xfrm>
                    <a:prstGeom prst="rect">
                      <a:avLst/>
                    </a:prstGeom>
                  </pic:spPr>
                </pic:pic>
              </a:graphicData>
            </a:graphic>
          </wp:inline>
        </w:drawing>
      </w:r>
    </w:p>
    <w:p w:rsidR="00EE13F6" w:rsidRDefault="002E5BC4">
      <w:pPr>
        <w:pStyle w:val="Heading2"/>
        <w:spacing w:after="286"/>
        <w:ind w:left="598" w:right="302" w:hanging="613"/>
      </w:pPr>
      <w:r>
        <w:lastRenderedPageBreak/>
        <w:t>8.5 Overall Consequences on the Delta One and Derivatives Product Liquidity for Highly Liquid Option Markets</w:t>
      </w:r>
    </w:p>
    <w:p w:rsidR="00EE13F6" w:rsidRDefault="002E5BC4">
      <w:pPr>
        <w:tabs>
          <w:tab w:val="center" w:pos="4337"/>
        </w:tabs>
        <w:spacing w:after="287" w:line="261" w:lineRule="auto"/>
        <w:ind w:left="-15"/>
      </w:pPr>
      <w:r>
        <w:rPr>
          <w:rFonts w:ascii="Cambria" w:eastAsia="Cambria" w:hAnsi="Cambria" w:cs="Cambria"/>
          <w:b/>
        </w:rPr>
        <w:t>8.5.1</w:t>
      </w:r>
      <w:r>
        <w:rPr>
          <w:rFonts w:ascii="Cambria" w:eastAsia="Cambria" w:hAnsi="Cambria" w:cs="Cambria"/>
          <w:b/>
        </w:rPr>
        <w:tab/>
        <w:t>Quasi-Identity of volatility between cash and delta one products:</w:t>
      </w:r>
    </w:p>
    <w:p w:rsidR="00EE13F6" w:rsidRDefault="002E5BC4">
      <w:pPr>
        <w:spacing w:after="183" w:line="264" w:lineRule="auto"/>
        <w:ind w:left="19" w:right="477" w:hanging="10"/>
        <w:jc w:val="both"/>
      </w:pPr>
      <w:r>
        <w:rPr>
          <w:rFonts w:ascii="Cambria" w:eastAsia="Cambria" w:hAnsi="Cambria" w:cs="Cambria"/>
        </w:rPr>
        <w:t>Because of the arbitrage relationship and the presence of two respective di</w:t>
      </w:r>
      <w:r>
        <w:rPr>
          <w:rFonts w:ascii="Cambria" w:eastAsia="Cambria" w:hAnsi="Cambria" w:cs="Cambria"/>
        </w:rPr>
        <w:t>fferent FTT rates for cash and futures transactions, then the difference between the (normal) volatility of the future or delta one product and the the (normal) volatility of the cash product, can be considered as insignificant:</w:t>
      </w:r>
    </w:p>
    <w:p w:rsidR="00EE13F6" w:rsidRDefault="002E5BC4">
      <w:pPr>
        <w:spacing w:after="332"/>
        <w:ind w:left="3520"/>
      </w:pPr>
      <w:r>
        <w:rPr>
          <w:noProof/>
        </w:rPr>
        <w:drawing>
          <wp:inline distT="0" distB="0" distL="0" distR="0">
            <wp:extent cx="1386840" cy="143256"/>
            <wp:effectExtent l="0" t="0" r="0" b="0"/>
            <wp:docPr id="221909" name="Picture 221909"/>
            <wp:cNvGraphicFramePr/>
            <a:graphic xmlns:a="http://schemas.openxmlformats.org/drawingml/2006/main">
              <a:graphicData uri="http://schemas.openxmlformats.org/drawingml/2006/picture">
                <pic:pic xmlns:pic="http://schemas.openxmlformats.org/drawingml/2006/picture">
                  <pic:nvPicPr>
                    <pic:cNvPr id="221909" name="Picture 221909"/>
                    <pic:cNvPicPr/>
                  </pic:nvPicPr>
                  <pic:blipFill>
                    <a:blip r:embed="rId125"/>
                    <a:stretch>
                      <a:fillRect/>
                    </a:stretch>
                  </pic:blipFill>
                  <pic:spPr>
                    <a:xfrm>
                      <a:off x="0" y="0"/>
                      <a:ext cx="1386840" cy="143256"/>
                    </a:xfrm>
                    <a:prstGeom prst="rect">
                      <a:avLst/>
                    </a:prstGeom>
                  </pic:spPr>
                </pic:pic>
              </a:graphicData>
            </a:graphic>
          </wp:inline>
        </w:drawing>
      </w:r>
    </w:p>
    <w:p w:rsidR="00EE13F6" w:rsidRDefault="002E5BC4">
      <w:pPr>
        <w:spacing w:after="177" w:line="261" w:lineRule="auto"/>
        <w:ind w:left="-5" w:right="468" w:hanging="10"/>
        <w:jc w:val="both"/>
      </w:pPr>
      <w:r>
        <w:rPr>
          <w:rFonts w:ascii="Cambria" w:eastAsia="Cambria" w:hAnsi="Cambria" w:cs="Cambria"/>
          <w:b/>
        </w:rPr>
        <w:t>Proof:</w:t>
      </w:r>
    </w:p>
    <w:p w:rsidR="00EE13F6" w:rsidRDefault="002E5BC4">
      <w:pPr>
        <w:spacing w:after="254" w:line="264" w:lineRule="auto"/>
        <w:ind w:left="19" w:right="477" w:hanging="10"/>
        <w:jc w:val="both"/>
      </w:pPr>
      <w:r>
        <w:rPr>
          <w:rFonts w:ascii="Cambria" w:eastAsia="Cambria" w:hAnsi="Cambria" w:cs="Cambria"/>
        </w:rPr>
        <w:t>In presence of res</w:t>
      </w:r>
      <w:r>
        <w:rPr>
          <w:rFonts w:ascii="Cambria" w:eastAsia="Cambria" w:hAnsi="Cambria" w:cs="Cambria"/>
        </w:rPr>
        <w:t xml:space="preserve">pective FTT tax rates of </w:t>
      </w:r>
      <w:r>
        <w:rPr>
          <w:rFonts w:ascii="Cambria" w:eastAsia="Cambria" w:hAnsi="Cambria" w:cs="Cambria"/>
          <w:i/>
        </w:rPr>
        <w:t xml:space="preserve">t </w:t>
      </w:r>
      <w:r>
        <w:rPr>
          <w:rFonts w:ascii="Cambria" w:eastAsia="Cambria" w:hAnsi="Cambria" w:cs="Cambria"/>
        </w:rPr>
        <w:t xml:space="preserve">and </w:t>
      </w:r>
      <w:r>
        <w:rPr>
          <w:rFonts w:ascii="Cambria" w:eastAsia="Cambria" w:hAnsi="Cambria" w:cs="Cambria"/>
          <w:i/>
        </w:rPr>
        <w:t>t</w:t>
      </w:r>
      <w:r>
        <w:rPr>
          <w:rFonts w:ascii="Cambria" w:eastAsia="Cambria" w:hAnsi="Cambria" w:cs="Cambria"/>
          <w:vertAlign w:val="superscript"/>
        </w:rPr>
        <w:t xml:space="preserve">0 </w:t>
      </w:r>
      <w:r>
        <w:rPr>
          <w:rFonts w:ascii="Cambria" w:eastAsia="Cambria" w:hAnsi="Cambria" w:cs="Cambria"/>
        </w:rPr>
        <w:t>for cash and derivatives products, the cash and carry and reverse cash and carry relationships is an extension of the equation above, with a cost of funding the position, we designate by B. This yields:</w:t>
      </w:r>
    </w:p>
    <w:p w:rsidR="00EE13F6" w:rsidRDefault="002E5BC4">
      <w:pPr>
        <w:tabs>
          <w:tab w:val="center" w:pos="4712"/>
          <w:tab w:val="center" w:pos="9166"/>
        </w:tabs>
        <w:spacing w:after="28" w:line="265" w:lineRule="auto"/>
      </w:pPr>
      <w:r>
        <w:tab/>
      </w:r>
      <w:r>
        <w:rPr>
          <w:noProof/>
        </w:rPr>
        <w:drawing>
          <wp:inline distT="0" distB="0" distL="0" distR="0">
            <wp:extent cx="2889504" cy="301752"/>
            <wp:effectExtent l="0" t="0" r="0" b="0"/>
            <wp:docPr id="221910" name="Picture 221910"/>
            <wp:cNvGraphicFramePr/>
            <a:graphic xmlns:a="http://schemas.openxmlformats.org/drawingml/2006/main">
              <a:graphicData uri="http://schemas.openxmlformats.org/drawingml/2006/picture">
                <pic:pic xmlns:pic="http://schemas.openxmlformats.org/drawingml/2006/picture">
                  <pic:nvPicPr>
                    <pic:cNvPr id="221910" name="Picture 221910"/>
                    <pic:cNvPicPr/>
                  </pic:nvPicPr>
                  <pic:blipFill>
                    <a:blip r:embed="rId126"/>
                    <a:stretch>
                      <a:fillRect/>
                    </a:stretch>
                  </pic:blipFill>
                  <pic:spPr>
                    <a:xfrm>
                      <a:off x="0" y="0"/>
                      <a:ext cx="2889504" cy="301752"/>
                    </a:xfrm>
                    <a:prstGeom prst="rect">
                      <a:avLst/>
                    </a:prstGeom>
                  </pic:spPr>
                </pic:pic>
              </a:graphicData>
            </a:graphic>
          </wp:inline>
        </w:drawing>
      </w:r>
      <w:r>
        <w:rPr>
          <w:rFonts w:ascii="Cambria" w:eastAsia="Cambria" w:hAnsi="Cambria" w:cs="Cambria"/>
        </w:rPr>
        <w:tab/>
        <w:t>(55)</w:t>
      </w:r>
    </w:p>
    <w:p w:rsidR="00EE13F6" w:rsidRDefault="002E5BC4">
      <w:pPr>
        <w:spacing w:after="74" w:line="264" w:lineRule="auto"/>
        <w:ind w:left="19" w:right="477" w:hanging="10"/>
        <w:jc w:val="both"/>
      </w:pPr>
      <w:r>
        <w:rPr>
          <w:rFonts w:ascii="Cambria" w:eastAsia="Cambria" w:hAnsi="Cambria" w:cs="Cambria"/>
        </w:rPr>
        <w:t>With:</w:t>
      </w:r>
    </w:p>
    <w:p w:rsidR="00EE13F6" w:rsidRDefault="002E5BC4">
      <w:pPr>
        <w:spacing w:after="125"/>
        <w:ind w:left="3640"/>
      </w:pPr>
      <w:r>
        <w:rPr>
          <w:noProof/>
        </w:rPr>
        <w:drawing>
          <wp:inline distT="0" distB="0" distL="0" distR="0">
            <wp:extent cx="1252728" cy="673608"/>
            <wp:effectExtent l="0" t="0" r="0" b="0"/>
            <wp:docPr id="221911" name="Picture 221911"/>
            <wp:cNvGraphicFramePr/>
            <a:graphic xmlns:a="http://schemas.openxmlformats.org/drawingml/2006/main">
              <a:graphicData uri="http://schemas.openxmlformats.org/drawingml/2006/picture">
                <pic:pic xmlns:pic="http://schemas.openxmlformats.org/drawingml/2006/picture">
                  <pic:nvPicPr>
                    <pic:cNvPr id="221911" name="Picture 221911"/>
                    <pic:cNvPicPr/>
                  </pic:nvPicPr>
                  <pic:blipFill>
                    <a:blip r:embed="rId127"/>
                    <a:stretch>
                      <a:fillRect/>
                    </a:stretch>
                  </pic:blipFill>
                  <pic:spPr>
                    <a:xfrm>
                      <a:off x="0" y="0"/>
                      <a:ext cx="1252728" cy="673608"/>
                    </a:xfrm>
                    <a:prstGeom prst="rect">
                      <a:avLst/>
                    </a:prstGeom>
                  </pic:spPr>
                </pic:pic>
              </a:graphicData>
            </a:graphic>
          </wp:inline>
        </w:drawing>
      </w:r>
    </w:p>
    <w:p w:rsidR="00EE13F6" w:rsidRDefault="002E5BC4">
      <w:pPr>
        <w:spacing w:after="184" w:line="264" w:lineRule="auto"/>
        <w:ind w:left="19" w:right="477" w:hanging="10"/>
        <w:jc w:val="both"/>
      </w:pPr>
      <w:r>
        <w:rPr>
          <w:rFonts w:ascii="Cambria" w:eastAsia="Cambria" w:hAnsi="Cambria" w:cs="Cambria"/>
        </w:rPr>
        <w:t>Consequently, by property of the standard deviation of a random variable, we see that the volatility of the future is slightly greater than the volatility of the cash.</w:t>
      </w:r>
    </w:p>
    <w:p w:rsidR="00EE13F6" w:rsidRDefault="002E5BC4">
      <w:pPr>
        <w:spacing w:after="133" w:line="264" w:lineRule="auto"/>
        <w:ind w:left="19" w:right="477" w:hanging="10"/>
        <w:jc w:val="both"/>
      </w:pPr>
      <w:r>
        <w:rPr>
          <w:rFonts w:ascii="Cambria" w:eastAsia="Cambria" w:hAnsi="Cambria" w:cs="Cambria"/>
        </w:rPr>
        <w:t xml:space="preserve">Taking into account </w:t>
      </w:r>
      <w:r>
        <w:rPr>
          <w:rFonts w:ascii="Cambria" w:eastAsia="Cambria" w:hAnsi="Cambria" w:cs="Cambria"/>
          <w:i/>
        </w:rPr>
        <w:t xml:space="preserve">t </w:t>
      </w:r>
      <w:r>
        <w:rPr>
          <w:rFonts w:ascii="Cambria" w:eastAsia="Cambria" w:hAnsi="Cambria" w:cs="Cambria"/>
        </w:rPr>
        <w:t>= 0</w:t>
      </w:r>
      <w:r>
        <w:rPr>
          <w:rFonts w:ascii="Cambria" w:eastAsia="Cambria" w:hAnsi="Cambria" w:cs="Cambria"/>
          <w:i/>
        </w:rPr>
        <w:t>,</w:t>
      </w:r>
      <w:r>
        <w:rPr>
          <w:rFonts w:ascii="Cambria" w:eastAsia="Cambria" w:hAnsi="Cambria" w:cs="Cambria"/>
        </w:rPr>
        <w:t>01 and</w:t>
      </w:r>
      <w:r>
        <w:rPr>
          <w:rFonts w:ascii="Cambria" w:eastAsia="Cambria" w:hAnsi="Cambria" w:cs="Cambria"/>
          <w:i/>
        </w:rPr>
        <w:t>t</w:t>
      </w:r>
      <w:r>
        <w:rPr>
          <w:rFonts w:ascii="Cambria" w:eastAsia="Cambria" w:hAnsi="Cambria" w:cs="Cambria"/>
          <w:vertAlign w:val="superscript"/>
        </w:rPr>
        <w:t xml:space="preserve">0 </w:t>
      </w:r>
      <w:r>
        <w:rPr>
          <w:rFonts w:ascii="Cambria" w:eastAsia="Cambria" w:hAnsi="Cambria" w:cs="Cambria"/>
        </w:rPr>
        <w:t>= 0</w:t>
      </w:r>
      <w:r>
        <w:rPr>
          <w:rFonts w:ascii="Cambria" w:eastAsia="Cambria" w:hAnsi="Cambria" w:cs="Cambria"/>
          <w:i/>
        </w:rPr>
        <w:t>,</w:t>
      </w:r>
      <w:r>
        <w:rPr>
          <w:rFonts w:ascii="Cambria" w:eastAsia="Cambria" w:hAnsi="Cambria" w:cs="Cambria"/>
        </w:rPr>
        <w:t xml:space="preserve">001; an </w:t>
      </w:r>
      <w:r>
        <w:rPr>
          <w:rFonts w:ascii="Cambria" w:eastAsia="Cambria" w:hAnsi="Cambria" w:cs="Cambria"/>
          <w:i/>
        </w:rPr>
        <w:t xml:space="preserve">σ </w:t>
      </w:r>
      <w:r>
        <w:rPr>
          <w:rFonts w:ascii="Cambria" w:eastAsia="Cambria" w:hAnsi="Cambria" w:cs="Cambria"/>
        </w:rPr>
        <w:t>= 0</w:t>
      </w:r>
      <w:r>
        <w:rPr>
          <w:rFonts w:ascii="Cambria" w:eastAsia="Cambria" w:hAnsi="Cambria" w:cs="Cambria"/>
          <w:i/>
        </w:rPr>
        <w:t>,</w:t>
      </w:r>
      <w:r>
        <w:rPr>
          <w:rFonts w:ascii="Cambria" w:eastAsia="Cambria" w:hAnsi="Cambria" w:cs="Cambria"/>
        </w:rPr>
        <w:t>3, we find that the impact of the v</w:t>
      </w:r>
      <w:r>
        <w:rPr>
          <w:rFonts w:ascii="Cambria" w:eastAsia="Cambria" w:hAnsi="Cambria" w:cs="Cambria"/>
        </w:rPr>
        <w:t>ol difference on the bid-ask spread is 0.5 b.p for a 1 year option and 0.04 b.p for a one day option. The impact of the basis reduction due to the substitution of futures to cash products should further lower this difference by decreasing the basis.</w:t>
      </w:r>
    </w:p>
    <w:p w:rsidR="00EE13F6" w:rsidRDefault="002E5BC4">
      <w:pPr>
        <w:spacing w:after="465" w:line="264" w:lineRule="auto"/>
        <w:ind w:left="19" w:right="477" w:hanging="10"/>
        <w:jc w:val="both"/>
      </w:pPr>
      <w:r>
        <w:rPr>
          <w:rFonts w:ascii="Cambria" w:eastAsia="Cambria" w:hAnsi="Cambria" w:cs="Cambria"/>
        </w:rPr>
        <w:t xml:space="preserve">Going </w:t>
      </w:r>
      <w:r>
        <w:rPr>
          <w:rFonts w:ascii="Cambria" w:eastAsia="Cambria" w:hAnsi="Cambria" w:cs="Cambria"/>
        </w:rPr>
        <w:t>further, we will consider that:</w:t>
      </w:r>
    </w:p>
    <w:p w:rsidR="00EE13F6" w:rsidRDefault="002E5BC4">
      <w:pPr>
        <w:spacing w:after="473" w:line="265" w:lineRule="auto"/>
        <w:ind w:left="10" w:right="483" w:hanging="10"/>
        <w:jc w:val="center"/>
      </w:pPr>
      <w:r>
        <w:rPr>
          <w:rFonts w:ascii="Cambria" w:eastAsia="Cambria" w:hAnsi="Cambria" w:cs="Cambria"/>
          <w:i/>
        </w:rPr>
        <w:t>σ</w:t>
      </w:r>
      <w:r>
        <w:rPr>
          <w:rFonts w:ascii="Cambria" w:eastAsia="Cambria" w:hAnsi="Cambria" w:cs="Cambria"/>
        </w:rPr>
        <w:t>(</w:t>
      </w:r>
      <w:r>
        <w:rPr>
          <w:rFonts w:ascii="Cambria" w:eastAsia="Cambria" w:hAnsi="Cambria" w:cs="Cambria"/>
          <w:i/>
        </w:rPr>
        <w:t>S</w:t>
      </w:r>
      <w:r>
        <w:rPr>
          <w:rFonts w:ascii="Cambria" w:eastAsia="Cambria" w:hAnsi="Cambria" w:cs="Cambria"/>
          <w:i/>
          <w:sz w:val="16"/>
        </w:rPr>
        <w:t>Mid</w:t>
      </w:r>
      <w:r>
        <w:rPr>
          <w:rFonts w:ascii="Cambria" w:eastAsia="Cambria" w:hAnsi="Cambria" w:cs="Cambria"/>
        </w:rPr>
        <w:t xml:space="preserve">) = </w:t>
      </w:r>
      <w:r>
        <w:rPr>
          <w:rFonts w:ascii="Cambria" w:eastAsia="Cambria" w:hAnsi="Cambria" w:cs="Cambria"/>
          <w:i/>
        </w:rPr>
        <w:t>σ</w:t>
      </w:r>
      <w:r>
        <w:rPr>
          <w:rFonts w:ascii="Cambria" w:eastAsia="Cambria" w:hAnsi="Cambria" w:cs="Cambria"/>
        </w:rPr>
        <w:t>(</w:t>
      </w:r>
      <w:r>
        <w:rPr>
          <w:rFonts w:ascii="Cambria" w:eastAsia="Cambria" w:hAnsi="Cambria" w:cs="Cambria"/>
          <w:i/>
        </w:rPr>
        <w:t>F</w:t>
      </w:r>
      <w:r>
        <w:rPr>
          <w:rFonts w:ascii="Cambria" w:eastAsia="Cambria" w:hAnsi="Cambria" w:cs="Cambria"/>
          <w:i/>
          <w:sz w:val="16"/>
        </w:rPr>
        <w:t>Mid</w:t>
      </w:r>
      <w:r>
        <w:rPr>
          <w:rFonts w:ascii="Cambria" w:eastAsia="Cambria" w:hAnsi="Cambria" w:cs="Cambria"/>
        </w:rPr>
        <w:t>)</w:t>
      </w:r>
    </w:p>
    <w:p w:rsidR="00EE13F6" w:rsidRDefault="002E5BC4">
      <w:pPr>
        <w:tabs>
          <w:tab w:val="center" w:pos="4804"/>
        </w:tabs>
        <w:spacing w:after="287" w:line="261" w:lineRule="auto"/>
        <w:ind w:left="-15"/>
      </w:pPr>
      <w:r>
        <w:rPr>
          <w:rFonts w:ascii="Cambria" w:eastAsia="Cambria" w:hAnsi="Cambria" w:cs="Cambria"/>
          <w:b/>
        </w:rPr>
        <w:t>8.5.2</w:t>
      </w:r>
      <w:r>
        <w:rPr>
          <w:rFonts w:ascii="Cambria" w:eastAsia="Cambria" w:hAnsi="Cambria" w:cs="Cambria"/>
          <w:b/>
        </w:rPr>
        <w:tab/>
        <w:t>Better bid-ask interval for derivative products and ”Gravitational Pull”</w:t>
      </w:r>
    </w:p>
    <w:p w:rsidR="00EE13F6" w:rsidRDefault="002E5BC4">
      <w:pPr>
        <w:spacing w:after="133" w:line="264" w:lineRule="auto"/>
        <w:ind w:left="19" w:right="477" w:hanging="10"/>
        <w:jc w:val="both"/>
      </w:pPr>
      <w:r>
        <w:rPr>
          <w:rFonts w:ascii="Cambria" w:eastAsia="Cambria" w:hAnsi="Cambria" w:cs="Cambria"/>
        </w:rPr>
        <w:t>We consider first, the CFD position held one day versus the same position consisting of the cash instrument purchased and sold within the same day. Both positions do not require funding.</w:t>
      </w:r>
    </w:p>
    <w:p w:rsidR="00EE13F6" w:rsidRDefault="002E5BC4">
      <w:pPr>
        <w:spacing w:after="133" w:line="264" w:lineRule="auto"/>
        <w:ind w:left="19" w:right="477" w:hanging="10"/>
        <w:jc w:val="both"/>
      </w:pPr>
      <w:r>
        <w:rPr>
          <w:rFonts w:ascii="Cambria" w:eastAsia="Cambria" w:hAnsi="Cambria" w:cs="Cambria"/>
        </w:rPr>
        <w:t>The market-maker quotes on both CFDs and cash market as it runs a uni</w:t>
      </w:r>
      <w:r>
        <w:rPr>
          <w:rFonts w:ascii="Cambria" w:eastAsia="Cambria" w:hAnsi="Cambria" w:cs="Cambria"/>
        </w:rPr>
        <w:t>que book.</w:t>
      </w:r>
    </w:p>
    <w:p w:rsidR="00EE13F6" w:rsidRDefault="002E5BC4">
      <w:pPr>
        <w:spacing w:after="133" w:line="264" w:lineRule="auto"/>
        <w:ind w:left="19" w:right="477" w:hanging="10"/>
        <w:jc w:val="both"/>
      </w:pPr>
      <w:r>
        <w:rPr>
          <w:rFonts w:ascii="Cambria" w:eastAsia="Cambria" w:hAnsi="Cambria" w:cs="Cambria"/>
        </w:rPr>
        <w:t>For the cash equity share, the market-maker will quote the interval:</w:t>
      </w:r>
    </w:p>
    <w:p w:rsidR="00EE13F6" w:rsidRDefault="002E5BC4">
      <w:pPr>
        <w:tabs>
          <w:tab w:val="center" w:pos="4680"/>
          <w:tab w:val="center" w:pos="9166"/>
        </w:tabs>
        <w:spacing w:after="136" w:line="265" w:lineRule="auto"/>
      </w:pPr>
      <w:r>
        <w:tab/>
      </w:r>
      <w:r>
        <w:rPr>
          <w:noProof/>
        </w:rPr>
        <w:drawing>
          <wp:inline distT="0" distB="0" distL="0" distR="0">
            <wp:extent cx="1685544" cy="301752"/>
            <wp:effectExtent l="0" t="0" r="0" b="0"/>
            <wp:docPr id="221912" name="Picture 221912"/>
            <wp:cNvGraphicFramePr/>
            <a:graphic xmlns:a="http://schemas.openxmlformats.org/drawingml/2006/main">
              <a:graphicData uri="http://schemas.openxmlformats.org/drawingml/2006/picture">
                <pic:pic xmlns:pic="http://schemas.openxmlformats.org/drawingml/2006/picture">
                  <pic:nvPicPr>
                    <pic:cNvPr id="221912" name="Picture 221912"/>
                    <pic:cNvPicPr/>
                  </pic:nvPicPr>
                  <pic:blipFill>
                    <a:blip r:embed="rId128"/>
                    <a:stretch>
                      <a:fillRect/>
                    </a:stretch>
                  </pic:blipFill>
                  <pic:spPr>
                    <a:xfrm>
                      <a:off x="0" y="0"/>
                      <a:ext cx="1685544" cy="301752"/>
                    </a:xfrm>
                    <a:prstGeom prst="rect">
                      <a:avLst/>
                    </a:prstGeom>
                  </pic:spPr>
                </pic:pic>
              </a:graphicData>
            </a:graphic>
          </wp:inline>
        </w:drawing>
      </w:r>
      <w:r>
        <w:rPr>
          <w:rFonts w:ascii="Cambria" w:eastAsia="Cambria" w:hAnsi="Cambria" w:cs="Cambria"/>
        </w:rPr>
        <w:t>]</w:t>
      </w:r>
      <w:r>
        <w:rPr>
          <w:rFonts w:ascii="Cambria" w:eastAsia="Cambria" w:hAnsi="Cambria" w:cs="Cambria"/>
        </w:rPr>
        <w:tab/>
        <w:t>(56)</w:t>
      </w:r>
    </w:p>
    <w:p w:rsidR="00EE13F6" w:rsidRDefault="002E5BC4">
      <w:pPr>
        <w:spacing w:after="133" w:line="264" w:lineRule="auto"/>
        <w:ind w:left="19" w:right="477" w:hanging="10"/>
        <w:jc w:val="both"/>
      </w:pPr>
      <w:r>
        <w:rPr>
          <w:rFonts w:ascii="Cambria" w:eastAsia="Cambria" w:hAnsi="Cambria" w:cs="Cambria"/>
        </w:rPr>
        <w:lastRenderedPageBreak/>
        <w:t>At the same time he will quote on the CFD the other interval:</w:t>
      </w:r>
    </w:p>
    <w:p w:rsidR="00EE13F6" w:rsidRDefault="002E5BC4">
      <w:pPr>
        <w:tabs>
          <w:tab w:val="center" w:pos="4680"/>
          <w:tab w:val="center" w:pos="9166"/>
        </w:tabs>
        <w:spacing w:after="280" w:line="265" w:lineRule="auto"/>
      </w:pPr>
      <w:r>
        <w:tab/>
      </w:r>
      <w:r>
        <w:rPr>
          <w:noProof/>
        </w:rPr>
        <w:drawing>
          <wp:inline distT="0" distB="0" distL="0" distR="0">
            <wp:extent cx="1667256" cy="301752"/>
            <wp:effectExtent l="0" t="0" r="0" b="0"/>
            <wp:docPr id="221913" name="Picture 221913"/>
            <wp:cNvGraphicFramePr/>
            <a:graphic xmlns:a="http://schemas.openxmlformats.org/drawingml/2006/main">
              <a:graphicData uri="http://schemas.openxmlformats.org/drawingml/2006/picture">
                <pic:pic xmlns:pic="http://schemas.openxmlformats.org/drawingml/2006/picture">
                  <pic:nvPicPr>
                    <pic:cNvPr id="221913" name="Picture 221913"/>
                    <pic:cNvPicPr/>
                  </pic:nvPicPr>
                  <pic:blipFill>
                    <a:blip r:embed="rId129"/>
                    <a:stretch>
                      <a:fillRect/>
                    </a:stretch>
                  </pic:blipFill>
                  <pic:spPr>
                    <a:xfrm>
                      <a:off x="0" y="0"/>
                      <a:ext cx="1667256" cy="301752"/>
                    </a:xfrm>
                    <a:prstGeom prst="rect">
                      <a:avLst/>
                    </a:prstGeom>
                  </pic:spPr>
                </pic:pic>
              </a:graphicData>
            </a:graphic>
          </wp:inline>
        </w:drawing>
      </w:r>
      <w:r>
        <w:rPr>
          <w:rFonts w:ascii="Cambria" w:eastAsia="Cambria" w:hAnsi="Cambria" w:cs="Cambria"/>
        </w:rPr>
        <w:t>]</w:t>
      </w:r>
      <w:r>
        <w:rPr>
          <w:rFonts w:ascii="Cambria" w:eastAsia="Cambria" w:hAnsi="Cambria" w:cs="Cambria"/>
        </w:rPr>
        <w:tab/>
        <w:t>(57)</w:t>
      </w:r>
    </w:p>
    <w:p w:rsidR="00EE13F6" w:rsidRDefault="002E5BC4">
      <w:pPr>
        <w:spacing w:after="60" w:line="264" w:lineRule="auto"/>
        <w:ind w:left="19" w:right="477" w:hanging="10"/>
        <w:jc w:val="both"/>
      </w:pPr>
      <w:r>
        <w:rPr>
          <w:rFonts w:ascii="Cambria" w:eastAsia="Cambria" w:hAnsi="Cambria" w:cs="Cambria"/>
        </w:rPr>
        <w:t>Using these two quotes we can see that the arbitrage consisting of selling the CFD and buying the</w:t>
      </w:r>
      <w:r>
        <w:rPr>
          <w:rFonts w:ascii="Cambria" w:eastAsia="Cambria" w:hAnsi="Cambria" w:cs="Cambria"/>
        </w:rPr>
        <w:t xml:space="preserve"> cash, and conversely buying the CFD and selling the cash, yields the same cash-flow which is 2</w:t>
      </w:r>
      <w:r>
        <w:rPr>
          <w:rFonts w:ascii="Cambria" w:eastAsia="Cambria" w:hAnsi="Cambria" w:cs="Cambria"/>
          <w:i/>
        </w:rPr>
        <w:t>b</w:t>
      </w:r>
      <w:r>
        <w:rPr>
          <w:rFonts w:ascii="Cambria" w:eastAsia="Cambria" w:hAnsi="Cambria" w:cs="Cambria"/>
        </w:rPr>
        <w:t>. Furthermore one can see immediately that:</w:t>
      </w:r>
    </w:p>
    <w:p w:rsidR="00EE13F6" w:rsidRDefault="002E5BC4">
      <w:pPr>
        <w:spacing w:after="269"/>
        <w:ind w:left="3400"/>
      </w:pPr>
      <w:r>
        <w:rPr>
          <w:noProof/>
        </w:rPr>
        <w:drawing>
          <wp:inline distT="0" distB="0" distL="0" distR="0">
            <wp:extent cx="1557528" cy="298704"/>
            <wp:effectExtent l="0" t="0" r="0" b="0"/>
            <wp:docPr id="221914" name="Picture 221914"/>
            <wp:cNvGraphicFramePr/>
            <a:graphic xmlns:a="http://schemas.openxmlformats.org/drawingml/2006/main">
              <a:graphicData uri="http://schemas.openxmlformats.org/drawingml/2006/picture">
                <pic:pic xmlns:pic="http://schemas.openxmlformats.org/drawingml/2006/picture">
                  <pic:nvPicPr>
                    <pic:cNvPr id="221914" name="Picture 221914"/>
                    <pic:cNvPicPr/>
                  </pic:nvPicPr>
                  <pic:blipFill>
                    <a:blip r:embed="rId130"/>
                    <a:stretch>
                      <a:fillRect/>
                    </a:stretch>
                  </pic:blipFill>
                  <pic:spPr>
                    <a:xfrm>
                      <a:off x="0" y="0"/>
                      <a:ext cx="1557528" cy="298704"/>
                    </a:xfrm>
                    <a:prstGeom prst="rect">
                      <a:avLst/>
                    </a:prstGeom>
                  </pic:spPr>
                </pic:pic>
              </a:graphicData>
            </a:graphic>
          </wp:inline>
        </w:drawing>
      </w:r>
    </w:p>
    <w:p w:rsidR="00EE13F6" w:rsidRDefault="002E5BC4">
      <w:pPr>
        <w:spacing w:after="0" w:line="264" w:lineRule="auto"/>
        <w:ind w:left="19" w:right="3883" w:hanging="10"/>
        <w:jc w:val="both"/>
      </w:pPr>
      <w:r>
        <w:rPr>
          <w:rFonts w:ascii="Cambria" w:eastAsia="Cambria" w:hAnsi="Cambria" w:cs="Cambria"/>
        </w:rPr>
        <w:t>and</w:t>
      </w:r>
    </w:p>
    <w:p w:rsidR="00EE13F6" w:rsidRDefault="002E5BC4">
      <w:pPr>
        <w:spacing w:after="269"/>
        <w:ind w:left="3360"/>
      </w:pPr>
      <w:r>
        <w:rPr>
          <w:noProof/>
        </w:rPr>
        <w:drawing>
          <wp:inline distT="0" distB="0" distL="0" distR="0">
            <wp:extent cx="1588008" cy="286512"/>
            <wp:effectExtent l="0" t="0" r="0" b="0"/>
            <wp:docPr id="221915" name="Picture 221915"/>
            <wp:cNvGraphicFramePr/>
            <a:graphic xmlns:a="http://schemas.openxmlformats.org/drawingml/2006/main">
              <a:graphicData uri="http://schemas.openxmlformats.org/drawingml/2006/picture">
                <pic:pic xmlns:pic="http://schemas.openxmlformats.org/drawingml/2006/picture">
                  <pic:nvPicPr>
                    <pic:cNvPr id="221915" name="Picture 221915"/>
                    <pic:cNvPicPr/>
                  </pic:nvPicPr>
                  <pic:blipFill>
                    <a:blip r:embed="rId131"/>
                    <a:stretch>
                      <a:fillRect/>
                    </a:stretch>
                  </pic:blipFill>
                  <pic:spPr>
                    <a:xfrm>
                      <a:off x="0" y="0"/>
                      <a:ext cx="1588008" cy="286512"/>
                    </a:xfrm>
                    <a:prstGeom prst="rect">
                      <a:avLst/>
                    </a:prstGeom>
                  </pic:spPr>
                </pic:pic>
              </a:graphicData>
            </a:graphic>
          </wp:inline>
        </w:drawing>
      </w:r>
    </w:p>
    <w:p w:rsidR="00EE13F6" w:rsidRDefault="002E5BC4">
      <w:pPr>
        <w:spacing w:after="133" w:line="264" w:lineRule="auto"/>
        <w:ind w:left="19" w:right="477" w:hanging="10"/>
        <w:jc w:val="both"/>
      </w:pPr>
      <w:r>
        <w:rPr>
          <w:rFonts w:ascii="Cambria" w:eastAsia="Cambria" w:hAnsi="Cambria" w:cs="Cambria"/>
        </w:rPr>
        <w:t>Consequently, this proves that the quotation interval, done by the market-maker is going to be narrower for the future than for the cash instrument.</w:t>
      </w:r>
    </w:p>
    <w:p w:rsidR="00EE13F6" w:rsidRDefault="002E5BC4">
      <w:pPr>
        <w:spacing w:after="163" w:line="264" w:lineRule="auto"/>
        <w:ind w:left="19" w:right="477" w:hanging="10"/>
        <w:jc w:val="both"/>
      </w:pPr>
      <w:r>
        <w:rPr>
          <w:rFonts w:ascii="Cambria" w:eastAsia="Cambria" w:hAnsi="Cambria" w:cs="Cambria"/>
        </w:rPr>
        <w:t>The property extends to the futures with longer maturities. One has to consider in addition the cost of fun</w:t>
      </w:r>
      <w:r>
        <w:rPr>
          <w:rFonts w:ascii="Cambria" w:eastAsia="Cambria" w:hAnsi="Cambria" w:cs="Cambria"/>
        </w:rPr>
        <w:t xml:space="preserve">ding the cash position. There is a cost </w:t>
      </w:r>
      <w:r>
        <w:rPr>
          <w:rFonts w:ascii="Cambria" w:eastAsia="Cambria" w:hAnsi="Cambria" w:cs="Cambria"/>
          <w:i/>
        </w:rPr>
        <w:t xml:space="preserve">B </w:t>
      </w:r>
      <w:r>
        <w:rPr>
          <w:rFonts w:ascii="Cambria" w:eastAsia="Cambria" w:hAnsi="Cambria" w:cs="Cambria"/>
        </w:rPr>
        <w:t>in case the position is long.This carry cost corresponds to the difference between the cost of borrowing money to purchase the cash stock, and the revenue coming from lending the stock into the market with a Repo (</w:t>
      </w:r>
      <w:r>
        <w:rPr>
          <w:rFonts w:ascii="Cambria" w:eastAsia="Cambria" w:hAnsi="Cambria" w:cs="Cambria"/>
        </w:rPr>
        <w:t>repurchase agreement), plus any dividend paid by the stock.</w:t>
      </w:r>
    </w:p>
    <w:p w:rsidR="00EE13F6" w:rsidRDefault="002E5BC4">
      <w:pPr>
        <w:spacing w:after="133" w:line="264" w:lineRule="auto"/>
        <w:ind w:left="19" w:right="477" w:hanging="10"/>
        <w:jc w:val="both"/>
      </w:pPr>
      <w:r>
        <w:rPr>
          <w:rFonts w:ascii="Cambria" w:eastAsia="Cambria" w:hAnsi="Cambria" w:cs="Cambria"/>
        </w:rPr>
        <w:t xml:space="preserve">By the same token, there is an other cost </w:t>
      </w:r>
      <w:r>
        <w:rPr>
          <w:rFonts w:ascii="Cambria" w:eastAsia="Cambria" w:hAnsi="Cambria" w:cs="Cambria"/>
          <w:i/>
        </w:rPr>
        <w:t>B</w:t>
      </w:r>
      <w:r>
        <w:rPr>
          <w:rFonts w:ascii="Cambria" w:eastAsia="Cambria" w:hAnsi="Cambria" w:cs="Cambria"/>
          <w:vertAlign w:val="superscript"/>
        </w:rPr>
        <w:t xml:space="preserve">0 </w:t>
      </w:r>
      <w:r>
        <w:rPr>
          <w:rFonts w:ascii="Cambria" w:eastAsia="Cambria" w:hAnsi="Cambria" w:cs="Cambria"/>
        </w:rPr>
        <w:t>when the position is short of the cash equity cash. This reverse carry cost is equal to the cost of borrowing the cash stock, selling it on the market,</w:t>
      </w:r>
      <w:r>
        <w:rPr>
          <w:rFonts w:ascii="Cambria" w:eastAsia="Cambria" w:hAnsi="Cambria" w:cs="Cambria"/>
        </w:rPr>
        <w:t xml:space="preserve"> lending the proceeds, and paying any dividend.</w:t>
      </w:r>
    </w:p>
    <w:p w:rsidR="00EE13F6" w:rsidRDefault="002E5BC4">
      <w:pPr>
        <w:spacing w:after="70" w:line="264" w:lineRule="auto"/>
        <w:ind w:left="19" w:right="477" w:hanging="10"/>
        <w:jc w:val="both"/>
      </w:pPr>
      <w:r>
        <w:rPr>
          <w:rFonts w:ascii="Cambria" w:eastAsia="Cambria" w:hAnsi="Cambria" w:cs="Cambria"/>
        </w:rPr>
        <w:t>If we consider that the difference (the basis) between the future and the cash prices is constant for a given future maturity.</w:t>
      </w:r>
    </w:p>
    <w:p w:rsidR="00EE13F6" w:rsidRDefault="002E5BC4">
      <w:pPr>
        <w:spacing w:after="0"/>
        <w:ind w:left="3480"/>
      </w:pPr>
      <w:r>
        <w:rPr>
          <w:noProof/>
        </w:rPr>
        <w:drawing>
          <wp:inline distT="0" distB="0" distL="0" distR="0">
            <wp:extent cx="1469136" cy="335280"/>
            <wp:effectExtent l="0" t="0" r="0" b="0"/>
            <wp:docPr id="221916" name="Picture 221916"/>
            <wp:cNvGraphicFramePr/>
            <a:graphic xmlns:a="http://schemas.openxmlformats.org/drawingml/2006/main">
              <a:graphicData uri="http://schemas.openxmlformats.org/drawingml/2006/picture">
                <pic:pic xmlns:pic="http://schemas.openxmlformats.org/drawingml/2006/picture">
                  <pic:nvPicPr>
                    <pic:cNvPr id="221916" name="Picture 221916"/>
                    <pic:cNvPicPr/>
                  </pic:nvPicPr>
                  <pic:blipFill>
                    <a:blip r:embed="rId132"/>
                    <a:stretch>
                      <a:fillRect/>
                    </a:stretch>
                  </pic:blipFill>
                  <pic:spPr>
                    <a:xfrm>
                      <a:off x="0" y="0"/>
                      <a:ext cx="1469136" cy="335280"/>
                    </a:xfrm>
                    <a:prstGeom prst="rect">
                      <a:avLst/>
                    </a:prstGeom>
                  </pic:spPr>
                </pic:pic>
              </a:graphicData>
            </a:graphic>
          </wp:inline>
        </w:drawing>
      </w:r>
    </w:p>
    <w:p w:rsidR="00EE13F6" w:rsidRDefault="002E5BC4">
      <w:pPr>
        <w:spacing w:after="133" w:line="264" w:lineRule="auto"/>
        <w:ind w:left="19" w:right="477" w:hanging="10"/>
        <w:jc w:val="both"/>
      </w:pPr>
      <w:r>
        <w:rPr>
          <w:rFonts w:ascii="Cambria" w:eastAsia="Cambria" w:hAnsi="Cambria" w:cs="Cambria"/>
        </w:rPr>
        <w:t>The substitution of futures to cash product for trading, should have a direct i</w:t>
      </w:r>
      <w:r>
        <w:rPr>
          <w:rFonts w:ascii="Cambria" w:eastAsia="Cambria" w:hAnsi="Cambria" w:cs="Cambria"/>
        </w:rPr>
        <w:t xml:space="preserve">mpact on the respective values of </w:t>
      </w:r>
      <w:r>
        <w:rPr>
          <w:rFonts w:ascii="Cambria" w:eastAsia="Cambria" w:hAnsi="Cambria" w:cs="Cambria"/>
          <w:i/>
        </w:rPr>
        <w:t xml:space="preserve">B </w:t>
      </w:r>
      <w:r>
        <w:rPr>
          <w:rFonts w:ascii="Cambria" w:eastAsia="Cambria" w:hAnsi="Cambria" w:cs="Cambria"/>
        </w:rPr>
        <w:t xml:space="preserve">and </w:t>
      </w:r>
      <w:r>
        <w:rPr>
          <w:rFonts w:ascii="Cambria" w:eastAsia="Cambria" w:hAnsi="Cambria" w:cs="Cambria"/>
          <w:i/>
        </w:rPr>
        <w:t>B</w:t>
      </w:r>
      <w:r>
        <w:rPr>
          <w:rFonts w:ascii="Cambria" w:eastAsia="Cambria" w:hAnsi="Cambria" w:cs="Cambria"/>
          <w:vertAlign w:val="superscript"/>
        </w:rPr>
        <w:t>0</w:t>
      </w:r>
      <w:r>
        <w:rPr>
          <w:rFonts w:ascii="Cambria" w:eastAsia="Cambria" w:hAnsi="Cambria" w:cs="Cambria"/>
        </w:rPr>
        <w:t>. Short sales of cash stock requiring the borrowing of cash stocks should be substituted with short sales of futures, instead. There should be then an excess of cash stocks to be lent, which should decrease both co</w:t>
      </w:r>
      <w:r>
        <w:rPr>
          <w:rFonts w:ascii="Cambria" w:eastAsia="Cambria" w:hAnsi="Cambria" w:cs="Cambria"/>
        </w:rPr>
        <w:t xml:space="preserve">st of borrowing and the lending rate of cash stocks. This should further reduce </w:t>
      </w:r>
      <w:r>
        <w:rPr>
          <w:rFonts w:ascii="Cambria" w:eastAsia="Cambria" w:hAnsi="Cambria" w:cs="Cambria"/>
          <w:i/>
        </w:rPr>
        <w:t xml:space="preserve">B </w:t>
      </w:r>
      <w:r>
        <w:rPr>
          <w:rFonts w:ascii="Cambria" w:eastAsia="Cambria" w:hAnsi="Cambria" w:cs="Cambria"/>
        </w:rPr>
        <w:t xml:space="preserve">and </w:t>
      </w:r>
      <w:r>
        <w:rPr>
          <w:rFonts w:ascii="Cambria" w:eastAsia="Cambria" w:hAnsi="Cambria" w:cs="Cambria"/>
          <w:i/>
        </w:rPr>
        <w:t>B</w:t>
      </w:r>
      <w:r>
        <w:rPr>
          <w:rFonts w:ascii="Cambria" w:eastAsia="Cambria" w:hAnsi="Cambria" w:cs="Cambria"/>
          <w:vertAlign w:val="superscript"/>
        </w:rPr>
        <w:t>0</w:t>
      </w:r>
      <w:r>
        <w:rPr>
          <w:rFonts w:ascii="Cambria" w:eastAsia="Cambria" w:hAnsi="Cambria" w:cs="Cambria"/>
        </w:rPr>
        <w:t>, and consequently narrows further the bid-ask spread for the delta one products.</w:t>
      </w:r>
    </w:p>
    <w:p w:rsidR="00EE13F6" w:rsidRDefault="002E5BC4">
      <w:pPr>
        <w:spacing w:after="133" w:line="264" w:lineRule="auto"/>
        <w:ind w:left="19" w:right="477" w:hanging="10"/>
        <w:jc w:val="both"/>
      </w:pPr>
      <w:r>
        <w:rPr>
          <w:rFonts w:ascii="Cambria" w:eastAsia="Cambria" w:hAnsi="Cambria" w:cs="Cambria"/>
        </w:rPr>
        <w:t>We find an overall increase in the volumes of option traded because of the synthetic r</w:t>
      </w:r>
      <w:r>
        <w:rPr>
          <w:rFonts w:ascii="Cambria" w:eastAsia="Cambria" w:hAnsi="Cambria" w:cs="Cambria"/>
        </w:rPr>
        <w:t>eplication of the cash stock which allows a very large substitution of futures and delta one products to cash products. Assuming that before the introduction of the FTT, cash and delta one products quotes where priced at their theoretical values based on a</w:t>
      </w:r>
      <w:r>
        <w:rPr>
          <w:rFonts w:ascii="Cambria" w:eastAsia="Cambria" w:hAnsi="Cambria" w:cs="Cambria"/>
        </w:rPr>
        <w:t>rbitrage, the increase in liquidity of futures products should, as seen above trigger a market-size effect allowing for a strong reduction of the before tax bid-ask spread for futures, synthetic stocks and other delta one products.</w:t>
      </w:r>
    </w:p>
    <w:p w:rsidR="00EE13F6" w:rsidRDefault="002E5BC4">
      <w:pPr>
        <w:spacing w:after="133" w:line="264" w:lineRule="auto"/>
        <w:ind w:left="19" w:right="477" w:hanging="10"/>
        <w:jc w:val="both"/>
      </w:pPr>
      <w:r>
        <w:rPr>
          <w:rFonts w:ascii="Cambria" w:eastAsia="Cambria" w:hAnsi="Cambria" w:cs="Cambria"/>
        </w:rPr>
        <w:t xml:space="preserve">Consequently, we should </w:t>
      </w:r>
      <w:r>
        <w:rPr>
          <w:rFonts w:ascii="Cambria" w:eastAsia="Cambria" w:hAnsi="Cambria" w:cs="Cambria"/>
        </w:rPr>
        <w:t>observe a very large increase in the liquidity of all those products, following the introduction of the FTT.</w:t>
      </w:r>
    </w:p>
    <w:p w:rsidR="00EE13F6" w:rsidRDefault="002E5BC4">
      <w:pPr>
        <w:spacing w:after="133" w:line="264" w:lineRule="auto"/>
        <w:ind w:left="19" w:right="477" w:hanging="10"/>
        <w:jc w:val="both"/>
      </w:pPr>
      <w:r>
        <w:rPr>
          <w:rFonts w:ascii="Cambria" w:eastAsia="Cambria" w:hAnsi="Cambria" w:cs="Cambria"/>
        </w:rPr>
        <w:lastRenderedPageBreak/>
        <w:t>At the same time, economic agents looking for insurance and using options will not decrease their demand for options, as seen before.</w:t>
      </w:r>
    </w:p>
    <w:p w:rsidR="00EE13F6" w:rsidRDefault="002E5BC4">
      <w:pPr>
        <w:spacing w:after="133" w:line="264" w:lineRule="auto"/>
        <w:ind w:left="19" w:right="477" w:hanging="10"/>
        <w:jc w:val="both"/>
      </w:pPr>
      <w:r>
        <w:rPr>
          <w:rFonts w:ascii="Cambria" w:eastAsia="Cambria" w:hAnsi="Cambria" w:cs="Cambria"/>
        </w:rPr>
        <w:t xml:space="preserve">In addition, </w:t>
      </w:r>
      <w:r>
        <w:rPr>
          <w:rFonts w:ascii="Cambria" w:eastAsia="Cambria" w:hAnsi="Cambria" w:cs="Cambria"/>
        </w:rPr>
        <w:t xml:space="preserve">we have seen in section that any increase in the volumes traded on the future should further reduce the bid-ask spread. Moreover, substitution of futures to cash product for trading, should have a direct impact on the respective values of </w:t>
      </w:r>
      <w:r>
        <w:rPr>
          <w:rFonts w:ascii="Cambria" w:eastAsia="Cambria" w:hAnsi="Cambria" w:cs="Cambria"/>
          <w:i/>
        </w:rPr>
        <w:t xml:space="preserve">B </w:t>
      </w:r>
      <w:r>
        <w:rPr>
          <w:rFonts w:ascii="Cambria" w:eastAsia="Cambria" w:hAnsi="Cambria" w:cs="Cambria"/>
        </w:rPr>
        <w:t xml:space="preserve">and </w:t>
      </w:r>
      <w:r>
        <w:rPr>
          <w:rFonts w:ascii="Cambria" w:eastAsia="Cambria" w:hAnsi="Cambria" w:cs="Cambria"/>
          <w:i/>
        </w:rPr>
        <w:t>B</w:t>
      </w:r>
      <w:r>
        <w:rPr>
          <w:rFonts w:ascii="Cambria" w:eastAsia="Cambria" w:hAnsi="Cambria" w:cs="Cambria"/>
          <w:vertAlign w:val="superscript"/>
        </w:rPr>
        <w:t>0</w:t>
      </w:r>
      <w:r>
        <w:rPr>
          <w:rFonts w:ascii="Cambria" w:eastAsia="Cambria" w:hAnsi="Cambria" w:cs="Cambria"/>
        </w:rPr>
        <w:t>. Short sales of cash stock requiring the borrowing of cash stocks should be substituted with short sales of futures, instead. There should be then an excess of cash stocks to be lent, which should decrease both cost of borrowing and the lending rate of ca</w:t>
      </w:r>
      <w:r>
        <w:rPr>
          <w:rFonts w:ascii="Cambria" w:eastAsia="Cambria" w:hAnsi="Cambria" w:cs="Cambria"/>
        </w:rPr>
        <w:t xml:space="preserve">sh stocks. This should further reduce </w:t>
      </w:r>
      <w:r>
        <w:rPr>
          <w:rFonts w:ascii="Cambria" w:eastAsia="Cambria" w:hAnsi="Cambria" w:cs="Cambria"/>
          <w:i/>
        </w:rPr>
        <w:t xml:space="preserve">B </w:t>
      </w:r>
      <w:r>
        <w:rPr>
          <w:rFonts w:ascii="Cambria" w:eastAsia="Cambria" w:hAnsi="Cambria" w:cs="Cambria"/>
        </w:rPr>
        <w:t xml:space="preserve">and </w:t>
      </w:r>
      <w:r>
        <w:rPr>
          <w:rFonts w:ascii="Cambria" w:eastAsia="Cambria" w:hAnsi="Cambria" w:cs="Cambria"/>
          <w:i/>
        </w:rPr>
        <w:t>B</w:t>
      </w:r>
      <w:r>
        <w:rPr>
          <w:rFonts w:ascii="Cambria" w:eastAsia="Cambria" w:hAnsi="Cambria" w:cs="Cambria"/>
          <w:vertAlign w:val="superscript"/>
        </w:rPr>
        <w:t>0</w:t>
      </w:r>
      <w:r>
        <w:rPr>
          <w:rFonts w:ascii="Cambria" w:eastAsia="Cambria" w:hAnsi="Cambria" w:cs="Cambria"/>
        </w:rPr>
        <w:t>, and consequently narrows further the bid-ask spread for the delta one products.</w:t>
      </w:r>
    </w:p>
    <w:p w:rsidR="00EE13F6" w:rsidRDefault="002E5BC4">
      <w:pPr>
        <w:spacing w:after="133" w:line="264" w:lineRule="auto"/>
        <w:ind w:left="19" w:right="477" w:hanging="10"/>
        <w:jc w:val="both"/>
      </w:pPr>
      <w:r>
        <w:rPr>
          <w:rFonts w:ascii="Cambria" w:eastAsia="Cambria" w:hAnsi="Cambria" w:cs="Cambria"/>
        </w:rPr>
        <w:t xml:space="preserve">We find an overall increase in the volumes of option traded because of the synthetic replication of the cash stock which allows </w:t>
      </w:r>
      <w:r>
        <w:rPr>
          <w:rFonts w:ascii="Cambria" w:eastAsia="Cambria" w:hAnsi="Cambria" w:cs="Cambria"/>
        </w:rPr>
        <w:t>a very large substitution of futures and delta one products to cash products. Assuming that before the introduction of the FTT, cash and delta one products quotes where priced at their theoretical values based on arbitrage, the increase in liquidity of fut</w:t>
      </w:r>
      <w:r>
        <w:rPr>
          <w:rFonts w:ascii="Cambria" w:eastAsia="Cambria" w:hAnsi="Cambria" w:cs="Cambria"/>
        </w:rPr>
        <w:t>ures products should, as seen above trigger a market-size effect allowing for a strong reduction of the bid-ask spread for futures, synthetic stocks and other delta one products.</w:t>
      </w:r>
    </w:p>
    <w:p w:rsidR="00EE13F6" w:rsidRDefault="002E5BC4">
      <w:pPr>
        <w:spacing w:after="133" w:line="264" w:lineRule="auto"/>
        <w:ind w:left="19" w:right="477" w:hanging="10"/>
        <w:jc w:val="both"/>
      </w:pPr>
      <w:r>
        <w:rPr>
          <w:rFonts w:ascii="Cambria" w:eastAsia="Cambria" w:hAnsi="Cambria" w:cs="Cambria"/>
        </w:rPr>
        <w:t>Consequently, we should observe a very large increase in the liquidity of all</w:t>
      </w:r>
      <w:r>
        <w:rPr>
          <w:rFonts w:ascii="Cambria" w:eastAsia="Cambria" w:hAnsi="Cambria" w:cs="Cambria"/>
        </w:rPr>
        <w:t xml:space="preserve"> those products, following the introduction of the FTT.</w:t>
      </w:r>
    </w:p>
    <w:p w:rsidR="00EE13F6" w:rsidRDefault="002E5BC4">
      <w:pPr>
        <w:spacing w:after="476" w:line="264" w:lineRule="auto"/>
        <w:ind w:left="19" w:right="477" w:hanging="10"/>
        <w:jc w:val="both"/>
      </w:pPr>
      <w:r>
        <w:rPr>
          <w:rFonts w:ascii="Cambria" w:eastAsia="Cambria" w:hAnsi="Cambria" w:cs="Cambria"/>
        </w:rPr>
        <w:t>At the same time, economic agents looking for insurance and using options will not decrease their demand for options, as seen before.</w:t>
      </w:r>
    </w:p>
    <w:p w:rsidR="00EE13F6" w:rsidRDefault="002E5BC4">
      <w:pPr>
        <w:pStyle w:val="Heading2"/>
        <w:tabs>
          <w:tab w:val="center" w:pos="4764"/>
        </w:tabs>
        <w:ind w:left="-15" w:firstLine="0"/>
      </w:pPr>
      <w:r>
        <w:t>8.6</w:t>
      </w:r>
      <w:r>
        <w:tab/>
        <w:t>Arbitrage and Substitutability Between Cash and Delta One Products</w:t>
      </w:r>
    </w:p>
    <w:p w:rsidR="00EE13F6" w:rsidRDefault="002E5BC4">
      <w:pPr>
        <w:spacing w:after="133" w:line="264" w:lineRule="auto"/>
        <w:ind w:left="19" w:right="477" w:hanging="10"/>
        <w:jc w:val="both"/>
      </w:pPr>
      <w:r>
        <w:rPr>
          <w:rFonts w:ascii="Cambria" w:eastAsia="Cambria" w:hAnsi="Cambria" w:cs="Cambria"/>
        </w:rPr>
        <w:t>From the equations above, one can see directly that it is possible to arbitrage cash against delta one products. Furthermore, it is possible to arbitrage all delta one products one agai</w:t>
      </w:r>
      <w:r>
        <w:rPr>
          <w:rFonts w:ascii="Cambria" w:eastAsia="Cambria" w:hAnsi="Cambria" w:cs="Cambria"/>
        </w:rPr>
        <w:t>nst an other. Depending upon the underlying cost of carry of the equity, bid-ask spreadS on the future or the synthetic can be narrower or larger than the corresponding spreadS for the cash instrument. Usually, the narrowing of the bid-ask will happen when</w:t>
      </w:r>
      <w:r>
        <w:rPr>
          <w:rFonts w:ascii="Cambria" w:eastAsia="Cambria" w:hAnsi="Cambria" w:cs="Cambria"/>
        </w:rPr>
        <w:t xml:space="preserve"> the cost of carry will decrease. For instance, this is the case, when the continuous dividend yield of the stock increases more than the cost of funding the stock.</w:t>
      </w:r>
    </w:p>
    <w:p w:rsidR="00EE13F6" w:rsidRDefault="002E5BC4">
      <w:pPr>
        <w:spacing w:after="133" w:line="264" w:lineRule="auto"/>
        <w:ind w:left="19" w:right="477" w:hanging="10"/>
        <w:jc w:val="both"/>
      </w:pPr>
      <w:r>
        <w:rPr>
          <w:rFonts w:ascii="Cambria" w:eastAsia="Cambria" w:hAnsi="Cambria" w:cs="Cambria"/>
        </w:rPr>
        <w:t>However, those bid-ask spreads are in fact equivalent. We can see the future or synthetic b</w:t>
      </w:r>
      <w:r>
        <w:rPr>
          <w:rFonts w:ascii="Cambria" w:eastAsia="Cambria" w:hAnsi="Cambria" w:cs="Cambria"/>
        </w:rPr>
        <w:t>id-ask spread as an ”all inclusive” spread taking into account the carrying costs. At the same time, the cash spread does not consider the funding costs, for instance on the repurchase agreement market.</w:t>
      </w:r>
    </w:p>
    <w:p w:rsidR="00EE13F6" w:rsidRDefault="002E5BC4">
      <w:pPr>
        <w:spacing w:after="133" w:line="264" w:lineRule="auto"/>
        <w:ind w:left="19" w:right="477" w:hanging="10"/>
        <w:jc w:val="both"/>
      </w:pPr>
      <w:r>
        <w:rPr>
          <w:rFonts w:ascii="Cambria" w:eastAsia="Cambria" w:hAnsi="Cambria" w:cs="Cambria"/>
        </w:rPr>
        <w:t>Finally, we can consider that cash products and delta</w:t>
      </w:r>
      <w:r>
        <w:rPr>
          <w:rFonts w:ascii="Cambria" w:eastAsia="Cambria" w:hAnsi="Cambria" w:cs="Cambria"/>
        </w:rPr>
        <w:t xml:space="preserve"> ones can be substituted one to another. Different kinds of delta one products can also be arbitraged one against an other. This is generally the case for the future and the synthetic stock, which are listed products cleared on Exchanges. EQS and CFDs are </w:t>
      </w:r>
      <w:r>
        <w:rPr>
          <w:rFonts w:ascii="Cambria" w:eastAsia="Cambria" w:hAnsi="Cambria" w:cs="Cambria"/>
        </w:rPr>
        <w:t>OTC (Over The Counter) products, and have different funding costs, which are generally less competitive.</w:t>
      </w:r>
    </w:p>
    <w:p w:rsidR="00EE13F6" w:rsidRDefault="002E5BC4">
      <w:pPr>
        <w:spacing w:after="133" w:line="264" w:lineRule="auto"/>
        <w:ind w:left="19" w:right="477" w:hanging="10"/>
        <w:jc w:val="both"/>
      </w:pPr>
      <w:r>
        <w:rPr>
          <w:rFonts w:ascii="Cambria" w:eastAsia="Cambria" w:hAnsi="Cambria" w:cs="Cambria"/>
        </w:rPr>
        <w:t>Nowadays, the delta one trading has taken a very significant extent and is fully integrated within the business structure of main market-makers such as</w:t>
      </w:r>
      <w:r>
        <w:rPr>
          <w:rFonts w:ascii="Cambria" w:eastAsia="Cambria" w:hAnsi="Cambria" w:cs="Cambria"/>
        </w:rPr>
        <w:t xml:space="preserve"> Investment Banks and Hedge Funds, as evidenced by the Table 1.</w:t>
      </w:r>
    </w:p>
    <w:p w:rsidR="00EE13F6" w:rsidRDefault="002E5BC4">
      <w:pPr>
        <w:spacing w:after="585" w:line="264" w:lineRule="auto"/>
        <w:ind w:left="19" w:right="477" w:hanging="10"/>
        <w:jc w:val="both"/>
      </w:pPr>
      <w:r>
        <w:rPr>
          <w:rFonts w:ascii="Cambria" w:eastAsia="Cambria" w:hAnsi="Cambria" w:cs="Cambria"/>
        </w:rPr>
        <w:lastRenderedPageBreak/>
        <w:t>Barring’s Bank (1992) Societe Generale (2008) and UBS (2012) have experienced, on their delta one desk, huge fraud-related losses(between USD 2 and 5 Bio) leading to either bankruptcy (Barring</w:t>
      </w:r>
      <w:r>
        <w:rPr>
          <w:rFonts w:ascii="Cambria" w:eastAsia="Cambria" w:hAnsi="Cambria" w:cs="Cambria"/>
        </w:rPr>
        <w:t>’s) or recapitalization (SG). This underlines that this kind of trading has grown up to an enormous importance, as of today.</w:t>
      </w:r>
    </w:p>
    <w:p w:rsidR="00EE13F6" w:rsidRDefault="002E5BC4">
      <w:pPr>
        <w:pStyle w:val="Heading1"/>
        <w:ind w:left="479" w:right="142"/>
      </w:pPr>
      <w:r>
        <w:t>9 The AAPL Stock and Option Market Seen as an Example of Highly Liquid Market</w:t>
      </w:r>
    </w:p>
    <w:p w:rsidR="00EE13F6" w:rsidRDefault="002E5BC4">
      <w:pPr>
        <w:spacing w:after="476" w:line="264" w:lineRule="auto"/>
        <w:ind w:left="19" w:right="477" w:hanging="10"/>
        <w:jc w:val="both"/>
      </w:pPr>
      <w:r>
        <w:rPr>
          <w:rFonts w:ascii="Cambria" w:eastAsia="Cambria" w:hAnsi="Cambria" w:cs="Cambria"/>
        </w:rPr>
        <w:t>We review the main characteristics for the AAPL stock</w:t>
      </w:r>
      <w:r>
        <w:rPr>
          <w:rFonts w:ascii="Cambria" w:eastAsia="Cambria" w:hAnsi="Cambria" w:cs="Cambria"/>
        </w:rPr>
        <w:t xml:space="preserve"> on both cash and equity options for the month of May 2017.</w:t>
      </w:r>
    </w:p>
    <w:p w:rsidR="00EE13F6" w:rsidRDefault="002E5BC4">
      <w:pPr>
        <w:pStyle w:val="Heading2"/>
        <w:tabs>
          <w:tab w:val="center" w:pos="2191"/>
        </w:tabs>
        <w:ind w:left="-15" w:firstLine="0"/>
      </w:pPr>
      <w:r>
        <w:t>9.1</w:t>
      </w:r>
      <w:r>
        <w:tab/>
        <w:t>Futures Markets on AAPL</w:t>
      </w:r>
    </w:p>
    <w:p w:rsidR="00EE13F6" w:rsidRDefault="002E5BC4">
      <w:pPr>
        <w:spacing w:after="476" w:line="264" w:lineRule="auto"/>
        <w:ind w:left="19" w:right="477" w:hanging="10"/>
        <w:jc w:val="both"/>
      </w:pPr>
      <w:r>
        <w:rPr>
          <w:rFonts w:ascii="Cambria" w:eastAsia="Cambria" w:hAnsi="Cambria" w:cs="Cambria"/>
        </w:rPr>
        <w:t>Technically speaking, there is a single stock futures market dedicated to AAPL stock, which consists of a contract listed on the One Chicago exchange. However, the liqu</w:t>
      </w:r>
      <w:r>
        <w:rPr>
          <w:rFonts w:ascii="Cambria" w:eastAsia="Cambria" w:hAnsi="Cambria" w:cs="Cambria"/>
        </w:rPr>
        <w:t>idity on such market is not comparable to the one on NASDAQ for the cash stock. The main market place consists of the option exchanges cleared through OCC, and accessible trough Smart Order Routing (SOR) system.</w:t>
      </w:r>
    </w:p>
    <w:p w:rsidR="00EE13F6" w:rsidRDefault="002E5BC4">
      <w:pPr>
        <w:pStyle w:val="Heading2"/>
        <w:tabs>
          <w:tab w:val="center" w:pos="3995"/>
        </w:tabs>
        <w:ind w:left="-15" w:firstLine="0"/>
      </w:pPr>
      <w:r>
        <w:t>9.2</w:t>
      </w:r>
      <w:r>
        <w:tab/>
        <w:t xml:space="preserve">Respective Volumes on the Stock and the </w:t>
      </w:r>
      <w:r>
        <w:t>Option Market</w:t>
      </w:r>
    </w:p>
    <w:p w:rsidR="00EE13F6" w:rsidRDefault="002E5BC4">
      <w:pPr>
        <w:spacing w:after="133" w:line="264" w:lineRule="auto"/>
        <w:ind w:left="19" w:right="477" w:hanging="10"/>
        <w:jc w:val="both"/>
      </w:pPr>
      <w:r>
        <w:rPr>
          <w:rFonts w:ascii="Cambria" w:eastAsia="Cambria" w:hAnsi="Cambria" w:cs="Cambria"/>
        </w:rPr>
        <w:t>We consider the volume of the cash stock traded on NASDAQ, which is a listed Exchange. We do not consider the volumes traded OTC (Over The Counter) through other ECN such as ”Dark Pools” which are in fact Exchanges organized by big players su</w:t>
      </w:r>
      <w:r>
        <w:rPr>
          <w:rFonts w:ascii="Cambria" w:eastAsia="Cambria" w:hAnsi="Cambria" w:cs="Cambria"/>
        </w:rPr>
        <w:t>ch as Banks in order to be able to trade big sized orders (”blocks”), or to preserve confidentiality.</w:t>
      </w:r>
    </w:p>
    <w:p w:rsidR="00EE13F6" w:rsidRDefault="002E5BC4">
      <w:pPr>
        <w:spacing w:after="135" w:line="261" w:lineRule="auto"/>
        <w:ind w:left="-5" w:right="468" w:hanging="10"/>
        <w:jc w:val="both"/>
      </w:pPr>
      <w:r>
        <w:rPr>
          <w:rFonts w:ascii="Cambria" w:eastAsia="Cambria" w:hAnsi="Cambria" w:cs="Cambria"/>
          <w:b/>
        </w:rPr>
        <w:t>a- Cash equity</w:t>
      </w:r>
    </w:p>
    <w:p w:rsidR="00EE13F6" w:rsidRDefault="002E5BC4">
      <w:pPr>
        <w:spacing w:after="133" w:line="264" w:lineRule="auto"/>
        <w:ind w:left="19" w:right="477" w:hanging="10"/>
        <w:jc w:val="both"/>
      </w:pPr>
      <w:r>
        <w:rPr>
          <w:rFonts w:ascii="Cambria" w:eastAsia="Cambria" w:hAnsi="Cambria" w:cs="Cambria"/>
        </w:rPr>
        <w:t>The ”float” is defined as the number of outstanding shares available for trading and is 5.08 Bn. Float is generally affected by corporate actions such as stock splits, or new issues on the primary market. With an average price of USD 150 a share, the float</w:t>
      </w:r>
      <w:r>
        <w:rPr>
          <w:rFonts w:ascii="Cambria" w:eastAsia="Cambria" w:hAnsi="Cambria" w:cs="Cambria"/>
        </w:rPr>
        <w:t xml:space="preserve"> for AAPL is worth USD 762 Bn.</w:t>
      </w:r>
    </w:p>
    <w:p w:rsidR="00EE13F6" w:rsidRDefault="002E5BC4">
      <w:pPr>
        <w:spacing w:after="103" w:line="264" w:lineRule="auto"/>
        <w:ind w:left="19" w:right="477" w:hanging="10"/>
        <w:jc w:val="both"/>
      </w:pPr>
      <w:r>
        <w:rPr>
          <w:rFonts w:ascii="Cambria" w:eastAsia="Cambria" w:hAnsi="Cambria" w:cs="Cambria"/>
        </w:rPr>
        <w:t>The average daily volume in terms of number of stocks traded for May 2017 amounts to 31,926,657 shares which represents USD 4.79 Bn a day. Considering an average trade size of 100, we come to the conclusion, that the ”intensi</w:t>
      </w:r>
      <w:r>
        <w:rPr>
          <w:rFonts w:ascii="Cambria" w:eastAsia="Cambria" w:hAnsi="Cambria" w:cs="Cambria"/>
        </w:rPr>
        <w:t xml:space="preserve">ty” is such that, on an average basis, an executed trade occurs every </w:t>
      </w:r>
      <w:r>
        <w:rPr>
          <w:noProof/>
        </w:rPr>
        <w:drawing>
          <wp:inline distT="0" distB="0" distL="0" distR="0">
            <wp:extent cx="265176" cy="182880"/>
            <wp:effectExtent l="0" t="0" r="0" b="0"/>
            <wp:docPr id="221917" name="Picture 221917"/>
            <wp:cNvGraphicFramePr/>
            <a:graphic xmlns:a="http://schemas.openxmlformats.org/drawingml/2006/main">
              <a:graphicData uri="http://schemas.openxmlformats.org/drawingml/2006/picture">
                <pic:pic xmlns:pic="http://schemas.openxmlformats.org/drawingml/2006/picture">
                  <pic:nvPicPr>
                    <pic:cNvPr id="221917" name="Picture 221917"/>
                    <pic:cNvPicPr/>
                  </pic:nvPicPr>
                  <pic:blipFill>
                    <a:blip r:embed="rId133"/>
                    <a:stretch>
                      <a:fillRect/>
                    </a:stretch>
                  </pic:blipFill>
                  <pic:spPr>
                    <a:xfrm>
                      <a:off x="0" y="0"/>
                      <a:ext cx="265176" cy="182880"/>
                    </a:xfrm>
                    <a:prstGeom prst="rect">
                      <a:avLst/>
                    </a:prstGeom>
                  </pic:spPr>
                </pic:pic>
              </a:graphicData>
            </a:graphic>
          </wp:inline>
        </w:drawing>
      </w:r>
      <w:r>
        <w:rPr>
          <w:rFonts w:ascii="Cambria" w:eastAsia="Cambria" w:hAnsi="Cambria" w:cs="Cambria"/>
        </w:rPr>
        <w:t xml:space="preserve"> of a second. </w:t>
      </w:r>
      <w:r>
        <w:rPr>
          <w:rFonts w:ascii="Cambria" w:eastAsia="Cambria" w:hAnsi="Cambria" w:cs="Cambria"/>
          <w:b/>
        </w:rPr>
        <w:t>b- Option and Synthetic</w:t>
      </w:r>
    </w:p>
    <w:p w:rsidR="00EE13F6" w:rsidRDefault="002E5BC4">
      <w:pPr>
        <w:spacing w:after="133" w:line="264" w:lineRule="auto"/>
        <w:ind w:left="19" w:right="477" w:hanging="10"/>
        <w:jc w:val="both"/>
      </w:pPr>
      <w:r>
        <w:rPr>
          <w:rFonts w:ascii="Cambria" w:eastAsia="Cambria" w:hAnsi="Cambria" w:cs="Cambria"/>
        </w:rPr>
        <w:t>We consider the volumes traded on option exchanges which are cleared through the OCC (”Option Clearing Corporation”), the US entity in charge of cl</w:t>
      </w:r>
      <w:r>
        <w:rPr>
          <w:rFonts w:ascii="Cambria" w:eastAsia="Cambria" w:hAnsi="Cambria" w:cs="Cambria"/>
        </w:rPr>
        <w:t>earing options. Option contracts are traded on multiple option exchanges (15), where the execution can take place. The existence of SOR (Smart Order Routing system) guarantees that when a limit or a market order is entered through SOR, it will get executed</w:t>
      </w:r>
      <w:r>
        <w:rPr>
          <w:rFonts w:ascii="Cambria" w:eastAsia="Cambria" w:hAnsi="Cambria" w:cs="Cambria"/>
        </w:rPr>
        <w:t xml:space="preserve"> at the best price among all competing exchanges. Consequently, we will consider that we have one unique option market for AAPL stock options, despite the fact that the option is traded on 15 different exchanges.</w:t>
      </w:r>
    </w:p>
    <w:p w:rsidR="00EE13F6" w:rsidRDefault="002E5BC4">
      <w:pPr>
        <w:spacing w:after="133" w:line="264" w:lineRule="auto"/>
        <w:ind w:left="19" w:right="477" w:hanging="10"/>
        <w:jc w:val="both"/>
      </w:pPr>
      <w:r>
        <w:rPr>
          <w:rFonts w:ascii="Cambria" w:eastAsia="Cambria" w:hAnsi="Cambria" w:cs="Cambria"/>
        </w:rPr>
        <w:t>Our numbers do not include OTC trades on th</w:t>
      </w:r>
      <w:r>
        <w:rPr>
          <w:rFonts w:ascii="Cambria" w:eastAsia="Cambria" w:hAnsi="Cambria" w:cs="Cambria"/>
        </w:rPr>
        <w:t>e interbank market or on ”Dark Pools”.</w:t>
      </w:r>
    </w:p>
    <w:p w:rsidR="00EE13F6" w:rsidRDefault="002E5BC4">
      <w:pPr>
        <w:spacing w:after="133" w:line="264" w:lineRule="auto"/>
        <w:ind w:left="19" w:right="477" w:hanging="10"/>
        <w:jc w:val="both"/>
      </w:pPr>
      <w:r>
        <w:rPr>
          <w:rFonts w:ascii="Cambria" w:eastAsia="Cambria" w:hAnsi="Cambria" w:cs="Cambria"/>
        </w:rPr>
        <w:lastRenderedPageBreak/>
        <w:t>The Table 1, below, provided by the OCC details the breakdown between the various exchanges and the call and the put options.</w:t>
      </w:r>
    </w:p>
    <w:p w:rsidR="00EE13F6" w:rsidRDefault="002E5BC4">
      <w:pPr>
        <w:spacing w:after="133" w:line="264" w:lineRule="auto"/>
        <w:ind w:left="19" w:right="477" w:hanging="10"/>
        <w:jc w:val="both"/>
      </w:pPr>
      <w:r>
        <w:rPr>
          <w:rFonts w:ascii="Cambria" w:eastAsia="Cambria" w:hAnsi="Cambria" w:cs="Cambria"/>
        </w:rPr>
        <w:t>The average daily volume in terms of option contracts (call and put options) is 476,226 con</w:t>
      </w:r>
      <w:r>
        <w:rPr>
          <w:rFonts w:ascii="Cambria" w:eastAsia="Cambria" w:hAnsi="Cambria" w:cs="Cambria"/>
        </w:rPr>
        <w:t>tracts a day. Each contract is about 100 underlying shares. Trading is concentrated on the first two months, which represents around 75 percent of all transactions in volume.</w:t>
      </w:r>
    </w:p>
    <w:p w:rsidR="00EE13F6" w:rsidRDefault="002E5BC4">
      <w:pPr>
        <w:spacing w:after="159" w:line="264" w:lineRule="auto"/>
        <w:ind w:left="19" w:right="477" w:hanging="10"/>
        <w:jc w:val="both"/>
      </w:pPr>
      <w:r>
        <w:rPr>
          <w:rFonts w:ascii="Cambria" w:eastAsia="Cambria" w:hAnsi="Cambria" w:cs="Cambria"/>
        </w:rPr>
        <w:t>We assume:</w:t>
      </w:r>
    </w:p>
    <w:p w:rsidR="00EE13F6" w:rsidRDefault="002E5BC4">
      <w:pPr>
        <w:spacing w:after="0" w:line="264" w:lineRule="auto"/>
        <w:ind w:left="19" w:right="477" w:hanging="10"/>
        <w:jc w:val="both"/>
      </w:pPr>
      <w:r>
        <w:rPr>
          <w:rFonts w:ascii="Cambria" w:eastAsia="Cambria" w:hAnsi="Cambria" w:cs="Cambria"/>
        </w:rPr>
        <w:t>- A USD 150 stock price - That most of the option traded are ”At The M</w:t>
      </w:r>
      <w:r>
        <w:rPr>
          <w:rFonts w:ascii="Cambria" w:eastAsia="Cambria" w:hAnsi="Cambria" w:cs="Cambria"/>
        </w:rPr>
        <w:t>oney” - That the</w:t>
      </w:r>
    </w:p>
    <w:p w:rsidR="00EE13F6" w:rsidRDefault="002E5BC4">
      <w:pPr>
        <w:spacing w:after="133" w:line="264" w:lineRule="auto"/>
        <w:ind w:left="19" w:right="477" w:hanging="10"/>
        <w:jc w:val="both"/>
      </w:pPr>
      <w:r>
        <w:rPr>
          <w:rFonts w:ascii="Cambria" w:eastAsia="Cambria" w:hAnsi="Cambria" w:cs="Cambria"/>
        </w:rPr>
        <w:t>distribution of option’s strikes is symmetric around the spot rate</w:t>
      </w:r>
    </w:p>
    <w:p w:rsidR="00EE13F6" w:rsidRDefault="002E5BC4">
      <w:pPr>
        <w:spacing w:line="264" w:lineRule="auto"/>
        <w:ind w:left="19" w:right="477" w:hanging="10"/>
        <w:jc w:val="both"/>
      </w:pPr>
      <w:r>
        <w:rPr>
          <w:rFonts w:ascii="Cambria" w:eastAsia="Cambria" w:hAnsi="Cambria" w:cs="Cambria"/>
        </w:rPr>
        <w:t>Consequently, the daily number of contracts represents a notional number of USD 7.14 Bn. One can see this is already 40 percent more than the average daily value of the tra</w:t>
      </w:r>
      <w:r>
        <w:rPr>
          <w:rFonts w:ascii="Cambria" w:eastAsia="Cambria" w:hAnsi="Cambria" w:cs="Cambria"/>
        </w:rPr>
        <w:t>des on the cash equity market.</w:t>
      </w:r>
    </w:p>
    <w:p w:rsidR="00EE13F6" w:rsidRDefault="002E5BC4">
      <w:pPr>
        <w:spacing w:after="133" w:line="264" w:lineRule="auto"/>
        <w:ind w:left="19" w:right="477" w:hanging="10"/>
        <w:jc w:val="both"/>
      </w:pPr>
      <w:r>
        <w:rPr>
          <w:rFonts w:ascii="Cambria" w:eastAsia="Cambria" w:hAnsi="Cambria" w:cs="Cambria"/>
        </w:rPr>
        <w:t xml:space="preserve">Considering a </w:t>
      </w:r>
      <w:r>
        <w:rPr>
          <w:rFonts w:ascii="Cambria" w:eastAsia="Cambria" w:hAnsi="Cambria" w:cs="Cambria"/>
          <w:i/>
        </w:rPr>
        <w:t xml:space="preserve">δ </w:t>
      </w:r>
      <w:r>
        <w:rPr>
          <w:rFonts w:ascii="Cambria" w:eastAsia="Cambria" w:hAnsi="Cambria" w:cs="Cambria"/>
        </w:rPr>
        <w:t>of 0.5, we get that the equivalent number of shares corresponding to the option traded, amounts 23.811 millions. This is approximately 75 percent of the average daily number of cash stocks traded on the NASDAQ</w:t>
      </w:r>
      <w:r>
        <w:rPr>
          <w:rFonts w:ascii="Cambria" w:eastAsia="Cambria" w:hAnsi="Cambria" w:cs="Cambria"/>
        </w:rPr>
        <w:t>.</w:t>
      </w:r>
    </w:p>
    <w:p w:rsidR="00EE13F6" w:rsidRDefault="002E5BC4">
      <w:pPr>
        <w:spacing w:after="133" w:line="264" w:lineRule="auto"/>
        <w:ind w:left="19" w:right="477" w:hanging="10"/>
        <w:jc w:val="both"/>
      </w:pPr>
      <w:r>
        <w:rPr>
          <w:rFonts w:ascii="Cambria" w:eastAsia="Cambria" w:hAnsi="Cambria" w:cs="Cambria"/>
        </w:rPr>
        <w:t>Call and put options have different volumes. We do not have statistics on synthetics. Taking the minimum between the call and put traded on a month, would give an upper bound proxy . Using this calculation, we find a monthly total of 5.5 million of contr</w:t>
      </w:r>
      <w:r>
        <w:rPr>
          <w:rFonts w:ascii="Cambria" w:eastAsia="Cambria" w:hAnsi="Cambria" w:cs="Cambria"/>
        </w:rPr>
        <w:t>acts correspond to synthetic stock, consequently 275,000*100= 27,500,000 shares on a daily basis. This amount represents approximately 90 percent of the average daily volume for cash equities.</w:t>
      </w:r>
    </w:p>
    <w:p w:rsidR="00EE13F6" w:rsidRDefault="002E5BC4">
      <w:pPr>
        <w:spacing w:after="475" w:line="264" w:lineRule="auto"/>
        <w:ind w:left="19" w:right="477" w:hanging="10"/>
        <w:jc w:val="both"/>
      </w:pPr>
      <w:r>
        <w:rPr>
          <w:rFonts w:ascii="Cambria" w:eastAsia="Cambria" w:hAnsi="Cambria" w:cs="Cambria"/>
        </w:rPr>
        <w:t>Consequently, at first glance, the option market on AAPl appears as highly liquid.</w:t>
      </w:r>
    </w:p>
    <w:p w:rsidR="00EE13F6" w:rsidRDefault="002E5BC4">
      <w:pPr>
        <w:pStyle w:val="Heading2"/>
        <w:tabs>
          <w:tab w:val="center" w:pos="3570"/>
        </w:tabs>
        <w:ind w:left="-15" w:firstLine="0"/>
      </w:pPr>
      <w:r>
        <w:t>9.3</w:t>
      </w:r>
      <w:r>
        <w:tab/>
        <w:t>Respective Bid-Ask Spreads and Market Intensity</w:t>
      </w:r>
    </w:p>
    <w:p w:rsidR="00EE13F6" w:rsidRDefault="002E5BC4" w:rsidP="002E5BC4">
      <w:pPr>
        <w:numPr>
          <w:ilvl w:val="0"/>
          <w:numId w:val="27"/>
        </w:numPr>
        <w:spacing w:after="133" w:line="264" w:lineRule="auto"/>
        <w:ind w:right="477" w:hanging="10"/>
        <w:jc w:val="both"/>
      </w:pPr>
      <w:r>
        <w:rPr>
          <w:rFonts w:ascii="Cambria" w:eastAsia="Cambria" w:hAnsi="Cambria" w:cs="Cambria"/>
        </w:rPr>
        <w:t xml:space="preserve">The average spread on the synthetic is computed as the average of the respective bid-ask spreadson the call and the put, </w:t>
      </w:r>
      <w:r>
        <w:rPr>
          <w:rFonts w:ascii="Cambria" w:eastAsia="Cambria" w:hAnsi="Cambria" w:cs="Cambria"/>
        </w:rPr>
        <w:t>weighted by the trading volumes. Using NASDAQ Exchange quotes, we computed as of 19 May 2017, for the first two nearby contracts, an average spread of 12 basis points for both May and June options (expiring within those two months). This situation on the s</w:t>
      </w:r>
      <w:r>
        <w:rPr>
          <w:rFonts w:ascii="Cambria" w:eastAsia="Cambria" w:hAnsi="Cambria" w:cs="Cambria"/>
        </w:rPr>
        <w:t>ynthetic encompasses generally narrower bid-ask spreads on one type of option (either call or put) depending upon the strike.</w:t>
      </w:r>
    </w:p>
    <w:p w:rsidR="00EE13F6" w:rsidRDefault="002E5BC4" w:rsidP="002E5BC4">
      <w:pPr>
        <w:numPr>
          <w:ilvl w:val="0"/>
          <w:numId w:val="27"/>
        </w:numPr>
        <w:spacing w:after="133" w:line="264" w:lineRule="auto"/>
        <w:ind w:right="477" w:hanging="10"/>
        <w:jc w:val="both"/>
      </w:pPr>
      <w:r>
        <w:rPr>
          <w:rFonts w:ascii="Cambria" w:eastAsia="Cambria" w:hAnsi="Cambria" w:cs="Cambria"/>
        </w:rPr>
        <w:t>The average spread on live quotations for the cash stock is frequently between 1 (0.65 b.p) and2 cents (1.3 b.p), and less frequently can reach (2 b.p) as of the 19 May 2017.</w:t>
      </w:r>
    </w:p>
    <w:p w:rsidR="00EE13F6" w:rsidRDefault="002E5BC4" w:rsidP="002E5BC4">
      <w:pPr>
        <w:numPr>
          <w:ilvl w:val="0"/>
          <w:numId w:val="27"/>
        </w:numPr>
        <w:spacing w:after="133" w:line="264" w:lineRule="auto"/>
        <w:ind w:right="477" w:hanging="10"/>
        <w:jc w:val="both"/>
      </w:pPr>
      <w:r>
        <w:rPr>
          <w:rFonts w:ascii="Cambria" w:eastAsia="Cambria" w:hAnsi="Cambria" w:cs="Cambria"/>
        </w:rPr>
        <w:t>As of the 19 May 2017, we computed some market intensity figures using NASDAQ sta</w:t>
      </w:r>
      <w:r>
        <w:rPr>
          <w:rFonts w:ascii="Cambria" w:eastAsia="Cambria" w:hAnsi="Cambria" w:cs="Cambria"/>
        </w:rPr>
        <w:t>tistics.NASDAQ represented in May 2017, 24 percent of the overall volumes traded on AAPL options. The market intensity appears very high for the short maturities options, on the first two nearby contracts, for strikes around the ”money”. For instance, we h</w:t>
      </w:r>
      <w:r>
        <w:rPr>
          <w:rFonts w:ascii="Cambria" w:eastAsia="Cambria" w:hAnsi="Cambria" w:cs="Cambria"/>
        </w:rPr>
        <w:t>ave that day 51,995 call options executed for strikes between 149 and 157.5 and 1 week maturity, whereas the corresponding volume of executed put trades amounts to 26,414. This represents approximately an execution rate of two option contracts per second f</w:t>
      </w:r>
      <w:r>
        <w:rPr>
          <w:rFonts w:ascii="Cambria" w:eastAsia="Cambria" w:hAnsi="Cambria" w:cs="Cambria"/>
        </w:rPr>
        <w:t>or the call option, and a rate of one option contract per second for the put option.</w:t>
      </w:r>
    </w:p>
    <w:p w:rsidR="00EE13F6" w:rsidRDefault="002E5BC4">
      <w:pPr>
        <w:spacing w:after="133" w:line="264" w:lineRule="auto"/>
        <w:ind w:left="19" w:right="477" w:hanging="10"/>
        <w:jc w:val="both"/>
      </w:pPr>
      <w:r>
        <w:rPr>
          <w:rFonts w:ascii="Cambria" w:eastAsia="Cambria" w:hAnsi="Cambria" w:cs="Cambria"/>
        </w:rPr>
        <w:lastRenderedPageBreak/>
        <w:t xml:space="preserve">For the one month maturity, the volume on the call amounts to 16,050 for strikes between 145 and 160, whereas for the 6 weeks maturity the volumes of executed call trades </w:t>
      </w:r>
      <w:r>
        <w:rPr>
          <w:rFonts w:ascii="Cambria" w:eastAsia="Cambria" w:hAnsi="Cambria" w:cs="Cambria"/>
        </w:rPr>
        <w:t>for strikes between 148 and 162.5 amounts to 30,606. At the same time, the corresponding number of put trades appears as relatively low at 424 trades for the day, for the same strikes.</w:t>
      </w:r>
    </w:p>
    <w:p w:rsidR="00EE13F6" w:rsidRDefault="002E5BC4">
      <w:pPr>
        <w:spacing w:after="479" w:line="261" w:lineRule="auto"/>
        <w:ind w:left="-5" w:right="468" w:hanging="10"/>
      </w:pPr>
      <w:r>
        <w:rPr>
          <w:rFonts w:ascii="Cambria" w:eastAsia="Cambria" w:hAnsi="Cambria" w:cs="Cambria"/>
        </w:rPr>
        <w:t>Those figures suggest a high intensity market for options around at the</w:t>
      </w:r>
      <w:r>
        <w:rPr>
          <w:rFonts w:ascii="Cambria" w:eastAsia="Cambria" w:hAnsi="Cambria" w:cs="Cambria"/>
        </w:rPr>
        <w:t xml:space="preserve"> money at least for option maturities up to 6 weeks. Such market intensity corresponds to the case seen in Chapter I, where the market depth is big enough to allow an impact of the FTT on the option price within the tick size.</w:t>
      </w:r>
    </w:p>
    <w:p w:rsidR="00EE13F6" w:rsidRDefault="002E5BC4">
      <w:pPr>
        <w:pStyle w:val="Heading2"/>
        <w:tabs>
          <w:tab w:val="center" w:pos="2475"/>
        </w:tabs>
        <w:ind w:left="-15" w:firstLine="0"/>
      </w:pPr>
      <w:r>
        <w:t>9.4</w:t>
      </w:r>
      <w:r>
        <w:tab/>
        <w:t>Respective Market-Partici</w:t>
      </w:r>
      <w:r>
        <w:t>pants</w:t>
      </w:r>
    </w:p>
    <w:p w:rsidR="00EE13F6" w:rsidRDefault="002E5BC4">
      <w:pPr>
        <w:spacing w:line="264" w:lineRule="auto"/>
        <w:ind w:left="19" w:right="477" w:hanging="10"/>
        <w:jc w:val="both"/>
      </w:pPr>
      <w:r>
        <w:rPr>
          <w:rFonts w:ascii="Cambria" w:eastAsia="Cambria" w:hAnsi="Cambria" w:cs="Cambria"/>
        </w:rPr>
        <w:t>The OCC summarizes the executed trades for options and considers three categories of agents: Market-makers, Clients, Firms.</w:t>
      </w:r>
    </w:p>
    <w:p w:rsidR="00EE13F6" w:rsidRDefault="002E5BC4" w:rsidP="002E5BC4">
      <w:pPr>
        <w:numPr>
          <w:ilvl w:val="0"/>
          <w:numId w:val="28"/>
        </w:numPr>
        <w:spacing w:after="133" w:line="264" w:lineRule="auto"/>
        <w:ind w:right="477" w:hanging="10"/>
        <w:jc w:val="both"/>
      </w:pPr>
      <w:r>
        <w:rPr>
          <w:rFonts w:ascii="Cambria" w:eastAsia="Cambria" w:hAnsi="Cambria" w:cs="Cambria"/>
        </w:rPr>
        <w:t>Market-makers are generally agents which commit to execute their bid-ask quotes for the quantities and the prices ”displayed o</w:t>
      </w:r>
      <w:r>
        <w:rPr>
          <w:rFonts w:ascii="Cambria" w:eastAsia="Cambria" w:hAnsi="Cambria" w:cs="Cambria"/>
        </w:rPr>
        <w:t>n the screens”. Usually, they benefit from rebated from the exchange linked to the volumes they actually trade.</w:t>
      </w:r>
    </w:p>
    <w:p w:rsidR="00EE13F6" w:rsidRDefault="002E5BC4">
      <w:pPr>
        <w:spacing w:line="264" w:lineRule="auto"/>
        <w:ind w:left="19" w:right="477" w:hanging="10"/>
        <w:jc w:val="both"/>
      </w:pPr>
      <w:r>
        <w:rPr>
          <w:rFonts w:ascii="Cambria" w:eastAsia="Cambria" w:hAnsi="Cambria" w:cs="Cambria"/>
        </w:rPr>
        <w:t>This category is not limited to real market-makers but includes informed and noise traders. According to the OCC the volume they represent is ap</w:t>
      </w:r>
      <w:r>
        <w:rPr>
          <w:rFonts w:ascii="Cambria" w:eastAsia="Cambria" w:hAnsi="Cambria" w:cs="Cambria"/>
        </w:rPr>
        <w:t>proximately 50 percent of the total volume. They can include small trading units, investment bank desks, or hedge-funds. Recall that the biggest market-maker on the world is Citadel, a Chicago based hedge fund.</w:t>
      </w:r>
    </w:p>
    <w:p w:rsidR="00EE13F6" w:rsidRDefault="002E5BC4" w:rsidP="002E5BC4">
      <w:pPr>
        <w:numPr>
          <w:ilvl w:val="0"/>
          <w:numId w:val="28"/>
        </w:numPr>
        <w:spacing w:after="475" w:line="264" w:lineRule="auto"/>
        <w:ind w:right="477" w:hanging="10"/>
        <w:jc w:val="both"/>
      </w:pPr>
      <w:r>
        <w:rPr>
          <w:rFonts w:ascii="Cambria" w:eastAsia="Cambria" w:hAnsi="Cambria" w:cs="Cambria"/>
        </w:rPr>
        <w:t>”Clients” and ”Firms” represent the other half. This suggests those economic agents are not subject to the obligation of hedging their positions as the market-makers do. Consequently, potentially, they are taking directional positions, or conduct some sort</w:t>
      </w:r>
      <w:r>
        <w:rPr>
          <w:rFonts w:ascii="Cambria" w:eastAsia="Cambria" w:hAnsi="Cambria" w:cs="Cambria"/>
        </w:rPr>
        <w:t xml:space="preserve"> of arbitrage.</w:t>
      </w:r>
    </w:p>
    <w:p w:rsidR="00EE13F6" w:rsidRDefault="002E5BC4">
      <w:pPr>
        <w:pStyle w:val="Heading2"/>
        <w:tabs>
          <w:tab w:val="center" w:pos="1256"/>
        </w:tabs>
        <w:ind w:left="-15" w:firstLine="0"/>
      </w:pPr>
      <w:r>
        <w:t>9.5</w:t>
      </w:r>
      <w:r>
        <w:tab/>
        <w:t>Conclusion</w:t>
      </w:r>
    </w:p>
    <w:p w:rsidR="00EE13F6" w:rsidRDefault="002E5BC4">
      <w:pPr>
        <w:spacing w:after="133" w:line="264" w:lineRule="auto"/>
        <w:ind w:left="19" w:right="477" w:hanging="10"/>
        <w:jc w:val="both"/>
      </w:pPr>
      <w:r>
        <w:rPr>
          <w:rFonts w:ascii="Cambria" w:eastAsia="Cambria" w:hAnsi="Cambria" w:cs="Cambria"/>
        </w:rPr>
        <w:t>We consider the option market for the corporate company Apple (AAPL) as a case study for measuring the effects of the introduction of a STET, similar to the EEC FTT.</w:t>
      </w:r>
    </w:p>
    <w:p w:rsidR="00EE13F6" w:rsidRDefault="002E5BC4">
      <w:pPr>
        <w:spacing w:after="0" w:line="264" w:lineRule="auto"/>
        <w:ind w:left="19" w:right="477" w:hanging="10"/>
        <w:jc w:val="both"/>
      </w:pPr>
      <w:r>
        <w:rPr>
          <w:rFonts w:ascii="Cambria" w:eastAsia="Cambria" w:hAnsi="Cambria" w:cs="Cambria"/>
        </w:rPr>
        <w:t>The AAPL option market is highly liquid, especially for arou</w:t>
      </w:r>
      <w:r>
        <w:rPr>
          <w:rFonts w:ascii="Cambria" w:eastAsia="Cambria" w:hAnsi="Cambria" w:cs="Cambria"/>
        </w:rPr>
        <w:t>nd ”At the Money” options with maturities up to two months. This option market represents the main market place where delta one products, such as synthetic stocks could be traded, following the introduction of a tax comparable to the FTT. Currently, the no</w:t>
      </w:r>
      <w:r>
        <w:rPr>
          <w:rFonts w:ascii="Cambria" w:eastAsia="Cambria" w:hAnsi="Cambria" w:cs="Cambria"/>
        </w:rPr>
        <w:t>tional quantities already traded on AAPL option markets are sometimes Figure 1: Volumes Traded on AAPL Equity Option Markets: Source OCC</w:t>
      </w:r>
    </w:p>
    <w:p w:rsidR="00EE13F6" w:rsidRDefault="002E5BC4">
      <w:pPr>
        <w:spacing w:after="0"/>
        <w:ind w:left="1125"/>
      </w:pPr>
      <w:r>
        <w:rPr>
          <w:noProof/>
        </w:rPr>
        <w:lastRenderedPageBreak/>
        <w:drawing>
          <wp:inline distT="0" distB="0" distL="0" distR="0">
            <wp:extent cx="7229181" cy="4518239"/>
            <wp:effectExtent l="0" t="0" r="0" b="0"/>
            <wp:docPr id="11497" name="Picture 11497"/>
            <wp:cNvGraphicFramePr/>
            <a:graphic xmlns:a="http://schemas.openxmlformats.org/drawingml/2006/main">
              <a:graphicData uri="http://schemas.openxmlformats.org/drawingml/2006/picture">
                <pic:pic xmlns:pic="http://schemas.openxmlformats.org/drawingml/2006/picture">
                  <pic:nvPicPr>
                    <pic:cNvPr id="11497" name="Picture 11497"/>
                    <pic:cNvPicPr/>
                  </pic:nvPicPr>
                  <pic:blipFill>
                    <a:blip r:embed="rId134"/>
                    <a:stretch>
                      <a:fillRect/>
                    </a:stretch>
                  </pic:blipFill>
                  <pic:spPr>
                    <a:xfrm rot="-5399999">
                      <a:off x="0" y="0"/>
                      <a:ext cx="7229181" cy="4518239"/>
                    </a:xfrm>
                    <a:prstGeom prst="rect">
                      <a:avLst/>
                    </a:prstGeom>
                  </pic:spPr>
                </pic:pic>
              </a:graphicData>
            </a:graphic>
          </wp:inline>
        </w:drawing>
      </w:r>
    </w:p>
    <w:p w:rsidR="00EE13F6" w:rsidRDefault="002E5BC4">
      <w:pPr>
        <w:spacing w:after="133" w:line="264" w:lineRule="auto"/>
        <w:ind w:left="19" w:right="477" w:hanging="10"/>
        <w:jc w:val="both"/>
      </w:pPr>
      <w:r>
        <w:rPr>
          <w:rFonts w:ascii="Cambria" w:eastAsia="Cambria" w:hAnsi="Cambria" w:cs="Cambria"/>
        </w:rPr>
        <w:t>significantly larger than the notional quantities traded on the cash market.</w:t>
      </w:r>
    </w:p>
    <w:p w:rsidR="00EE13F6" w:rsidRDefault="002E5BC4">
      <w:pPr>
        <w:spacing w:after="133" w:line="264" w:lineRule="auto"/>
        <w:ind w:left="19" w:right="477" w:hanging="10"/>
        <w:jc w:val="both"/>
      </w:pPr>
      <w:r>
        <w:rPr>
          <w:rFonts w:ascii="Cambria" w:eastAsia="Cambria" w:hAnsi="Cambria" w:cs="Cambria"/>
        </w:rPr>
        <w:t xml:space="preserve">We conclude this option market seems to </w:t>
      </w:r>
      <w:r>
        <w:rPr>
          <w:rFonts w:ascii="Cambria" w:eastAsia="Cambria" w:hAnsi="Cambria" w:cs="Cambria"/>
        </w:rPr>
        <w:t>present all characteristics enabling a possible transfer of cash transaction toward synthetic stocks. The situation appears very similar to the case where such tax would be introduced in only one country, and where a major portion of the trading business w</w:t>
      </w:r>
      <w:r>
        <w:rPr>
          <w:rFonts w:ascii="Cambria" w:eastAsia="Cambria" w:hAnsi="Cambria" w:cs="Cambria"/>
        </w:rPr>
        <w:t>ould migrate from this country to the countries free of such Tax.</w:t>
      </w:r>
    </w:p>
    <w:p w:rsidR="00EE13F6" w:rsidRDefault="002E5BC4">
      <w:pPr>
        <w:spacing w:after="133" w:line="264" w:lineRule="auto"/>
        <w:ind w:left="19" w:right="477" w:hanging="10"/>
        <w:jc w:val="both"/>
      </w:pPr>
      <w:r>
        <w:rPr>
          <w:rFonts w:ascii="Cambria" w:eastAsia="Cambria" w:hAnsi="Cambria" w:cs="Cambria"/>
        </w:rPr>
        <w:lastRenderedPageBreak/>
        <w:t>As a consequence, we can expect that in such market, the synthetic trade volumes are going to increase, while the volatility is not going to increase. The existing average spread on the synt</w:t>
      </w:r>
      <w:r>
        <w:rPr>
          <w:rFonts w:ascii="Cambria" w:eastAsia="Cambria" w:hAnsi="Cambria" w:cs="Cambria"/>
        </w:rPr>
        <w:t>hetic security should therefore be reduced. Most of the trading business should migrate to the derivatives market. All non market makers agents should cluster in this tax reduced financial market, while market-makers should systematically favor the hedging</w:t>
      </w:r>
      <w:r>
        <w:rPr>
          <w:rFonts w:ascii="Cambria" w:eastAsia="Cambria" w:hAnsi="Cambria" w:cs="Cambria"/>
        </w:rPr>
        <w:t xml:space="preserve"> of cash products with derivatives.</w:t>
      </w:r>
      <w:r>
        <w:br w:type="page"/>
      </w:r>
    </w:p>
    <w:p w:rsidR="00EE13F6" w:rsidRDefault="002E5BC4">
      <w:pPr>
        <w:pStyle w:val="Heading1"/>
        <w:spacing w:after="148"/>
        <w:ind w:left="-15" w:right="142" w:firstLine="0"/>
      </w:pPr>
      <w:r>
        <w:lastRenderedPageBreak/>
        <w:t>References</w:t>
      </w:r>
    </w:p>
    <w:p w:rsidR="00EE13F6" w:rsidRDefault="002E5BC4">
      <w:pPr>
        <w:spacing w:after="194" w:line="264" w:lineRule="auto"/>
        <w:ind w:left="227" w:right="477" w:hanging="218"/>
        <w:jc w:val="both"/>
      </w:pPr>
      <w:r>
        <w:rPr>
          <w:rFonts w:ascii="Cambria" w:eastAsia="Cambria" w:hAnsi="Cambria" w:cs="Cambria"/>
        </w:rPr>
        <w:t xml:space="preserve">Allen, P., Einchcomb, S., and Granger, N. (2006). Investment strategies. </w:t>
      </w:r>
      <w:r>
        <w:rPr>
          <w:rFonts w:ascii="Cambria" w:eastAsia="Cambria" w:hAnsi="Cambria" w:cs="Cambria"/>
          <w:i/>
        </w:rPr>
        <w:t>JP Morgan–European Equity Derivatives Research</w:t>
      </w:r>
      <w:r>
        <w:rPr>
          <w:rFonts w:ascii="Cambria" w:eastAsia="Cambria" w:hAnsi="Cambria" w:cs="Cambria"/>
        </w:rPr>
        <w:t>, (28).</w:t>
      </w:r>
    </w:p>
    <w:p w:rsidR="00EE13F6" w:rsidRDefault="002E5BC4">
      <w:pPr>
        <w:spacing w:after="194" w:line="264" w:lineRule="auto"/>
        <w:ind w:left="227" w:right="477" w:hanging="218"/>
        <w:jc w:val="both"/>
      </w:pPr>
      <w:r>
        <w:rPr>
          <w:rFonts w:ascii="Cambria" w:eastAsia="Cambria" w:hAnsi="Cambria" w:cs="Cambria"/>
        </w:rPr>
        <w:t xml:space="preserve">Almgren, R. and Chriss, N. (2001). Optimal execution of portfolio transactions. </w:t>
      </w:r>
      <w:r>
        <w:rPr>
          <w:rFonts w:ascii="Cambria" w:eastAsia="Cambria" w:hAnsi="Cambria" w:cs="Cambria"/>
          <w:i/>
        </w:rPr>
        <w:t>J</w:t>
      </w:r>
      <w:r>
        <w:rPr>
          <w:rFonts w:ascii="Cambria" w:eastAsia="Cambria" w:hAnsi="Cambria" w:cs="Cambria"/>
          <w:i/>
        </w:rPr>
        <w:t>ournal of Risk</w:t>
      </w:r>
      <w:r>
        <w:rPr>
          <w:rFonts w:ascii="Cambria" w:eastAsia="Cambria" w:hAnsi="Cambria" w:cs="Cambria"/>
        </w:rPr>
        <w:t>, 3:5–40.</w:t>
      </w:r>
    </w:p>
    <w:p w:rsidR="00EE13F6" w:rsidRDefault="002E5BC4">
      <w:pPr>
        <w:spacing w:after="200" w:line="264" w:lineRule="auto"/>
        <w:ind w:left="227" w:right="477" w:hanging="218"/>
        <w:jc w:val="both"/>
      </w:pPr>
      <w:r>
        <w:rPr>
          <w:rFonts w:ascii="Cambria" w:eastAsia="Cambria" w:hAnsi="Cambria" w:cs="Cambria"/>
        </w:rPr>
        <w:t xml:space="preserve">Altman, E. I. (1968). Financial ratios, discriminant analysis and the prediction of corporate bankruptcy. </w:t>
      </w:r>
      <w:r>
        <w:rPr>
          <w:rFonts w:ascii="Cambria" w:eastAsia="Cambria" w:hAnsi="Cambria" w:cs="Cambria"/>
          <w:i/>
        </w:rPr>
        <w:t>The journal of finance</w:t>
      </w:r>
      <w:r>
        <w:rPr>
          <w:rFonts w:ascii="Cambria" w:eastAsia="Cambria" w:hAnsi="Cambria" w:cs="Cambria"/>
        </w:rPr>
        <w:t>, 23(4):589–609.</w:t>
      </w:r>
    </w:p>
    <w:p w:rsidR="00EE13F6" w:rsidRDefault="002E5BC4">
      <w:pPr>
        <w:spacing w:after="194" w:line="264" w:lineRule="auto"/>
        <w:ind w:left="227" w:right="477" w:hanging="218"/>
        <w:jc w:val="both"/>
      </w:pPr>
      <w:r>
        <w:rPr>
          <w:rFonts w:ascii="Cambria" w:eastAsia="Cambria" w:hAnsi="Cambria" w:cs="Cambria"/>
        </w:rPr>
        <w:t xml:space="preserve">Amihud, Y. and Mendelson, H. (1986). Asset pricing and the bid-ask spread. </w:t>
      </w:r>
      <w:r>
        <w:rPr>
          <w:rFonts w:ascii="Cambria" w:eastAsia="Cambria" w:hAnsi="Cambria" w:cs="Cambria"/>
          <w:i/>
        </w:rPr>
        <w:t>Journal of financial Economics</w:t>
      </w:r>
      <w:r>
        <w:rPr>
          <w:rFonts w:ascii="Cambria" w:eastAsia="Cambria" w:hAnsi="Cambria" w:cs="Cambria"/>
        </w:rPr>
        <w:t>, 17(2):223–249.</w:t>
      </w:r>
    </w:p>
    <w:p w:rsidR="00EE13F6" w:rsidRDefault="002E5BC4">
      <w:pPr>
        <w:spacing w:after="167" w:line="264" w:lineRule="auto"/>
        <w:ind w:left="227" w:right="477" w:hanging="218"/>
        <w:jc w:val="both"/>
      </w:pPr>
      <w:r>
        <w:rPr>
          <w:rFonts w:ascii="Cambria" w:eastAsia="Cambria" w:hAnsi="Cambria" w:cs="Cambria"/>
        </w:rPr>
        <w:t xml:space="preserve">Amihud, Y. and Mendelson, H. (1991). Liquidity, asset prices and financial policy. </w:t>
      </w:r>
      <w:r>
        <w:rPr>
          <w:rFonts w:ascii="Cambria" w:eastAsia="Cambria" w:hAnsi="Cambria" w:cs="Cambria"/>
          <w:i/>
        </w:rPr>
        <w:t>Financial Analysts Journal</w:t>
      </w:r>
      <w:r>
        <w:rPr>
          <w:rFonts w:ascii="Cambria" w:eastAsia="Cambria" w:hAnsi="Cambria" w:cs="Cambria"/>
        </w:rPr>
        <w:t>, 47(6):56–66.</w:t>
      </w:r>
    </w:p>
    <w:p w:rsidR="00EE13F6" w:rsidRDefault="002E5BC4">
      <w:pPr>
        <w:spacing w:after="192" w:line="264" w:lineRule="auto"/>
        <w:ind w:left="227" w:right="477" w:hanging="218"/>
        <w:jc w:val="both"/>
      </w:pPr>
      <w:r>
        <w:rPr>
          <w:rFonts w:ascii="Cambria" w:eastAsia="Cambria" w:hAnsi="Cambria" w:cs="Cambria"/>
        </w:rPr>
        <w:t>Anthony, J., Bijlsma, M., Elbourne, A., Lever, M., and Zwart, G. (2012). Financial tr</w:t>
      </w:r>
      <w:r>
        <w:rPr>
          <w:rFonts w:ascii="Cambria" w:eastAsia="Cambria" w:hAnsi="Cambria" w:cs="Cambria"/>
        </w:rPr>
        <w:t xml:space="preserve">ansaction tax: review and assessment. </w:t>
      </w:r>
      <w:r>
        <w:rPr>
          <w:rFonts w:ascii="Cambria" w:eastAsia="Cambria" w:hAnsi="Cambria" w:cs="Cambria"/>
          <w:i/>
        </w:rPr>
        <w:t>CPB Netherlands Bureau For Economic Policy Analysis. CPB Discussion Paper</w:t>
      </w:r>
      <w:r>
        <w:rPr>
          <w:rFonts w:ascii="Cambria" w:eastAsia="Cambria" w:hAnsi="Cambria" w:cs="Cambria"/>
        </w:rPr>
        <w:t>.</w:t>
      </w:r>
    </w:p>
    <w:p w:rsidR="00EE13F6" w:rsidRDefault="002E5BC4">
      <w:pPr>
        <w:spacing w:after="167" w:line="264" w:lineRule="auto"/>
        <w:ind w:left="227" w:right="477" w:hanging="218"/>
        <w:jc w:val="both"/>
      </w:pPr>
      <w:r>
        <w:rPr>
          <w:rFonts w:ascii="Cambria" w:eastAsia="Cambria" w:hAnsi="Cambria" w:cs="Cambria"/>
        </w:rPr>
        <w:t xml:space="preserve">Avellaneda, M. and Stoikov, S. (2008). High-frequency trading in a limit order book. </w:t>
      </w:r>
      <w:r>
        <w:rPr>
          <w:rFonts w:ascii="Cambria" w:eastAsia="Cambria" w:hAnsi="Cambria" w:cs="Cambria"/>
          <w:i/>
        </w:rPr>
        <w:t>Quantitative Finance</w:t>
      </w:r>
      <w:r>
        <w:rPr>
          <w:rFonts w:ascii="Cambria" w:eastAsia="Cambria" w:hAnsi="Cambria" w:cs="Cambria"/>
        </w:rPr>
        <w:t>, 8(3):217–224.</w:t>
      </w:r>
    </w:p>
    <w:p w:rsidR="00EE13F6" w:rsidRDefault="002E5BC4">
      <w:pPr>
        <w:spacing w:after="169" w:line="264" w:lineRule="auto"/>
        <w:ind w:left="227" w:right="477" w:hanging="218"/>
        <w:jc w:val="both"/>
      </w:pPr>
      <w:r>
        <w:rPr>
          <w:rFonts w:ascii="Cambria" w:eastAsia="Cambria" w:hAnsi="Cambria" w:cs="Cambria"/>
        </w:rPr>
        <w:t>Bessembinder, H. (2002</w:t>
      </w:r>
      <w:r>
        <w:rPr>
          <w:rFonts w:ascii="Cambria" w:eastAsia="Cambria" w:hAnsi="Cambria" w:cs="Cambria"/>
        </w:rPr>
        <w:t xml:space="preserve">). Trading costs and return volatility: evidence from exchange listings. </w:t>
      </w:r>
      <w:r>
        <w:rPr>
          <w:rFonts w:ascii="Cambria" w:eastAsia="Cambria" w:hAnsi="Cambria" w:cs="Cambria"/>
          <w:i/>
        </w:rPr>
        <w:t>Working paper</w:t>
      </w:r>
      <w:r>
        <w:rPr>
          <w:rFonts w:ascii="Cambria" w:eastAsia="Cambria" w:hAnsi="Cambria" w:cs="Cambria"/>
        </w:rPr>
        <w:t>.</w:t>
      </w:r>
    </w:p>
    <w:p w:rsidR="00EE13F6" w:rsidRDefault="002E5BC4">
      <w:pPr>
        <w:spacing w:after="175" w:line="264" w:lineRule="auto"/>
        <w:ind w:left="227" w:right="477" w:hanging="218"/>
        <w:jc w:val="both"/>
      </w:pPr>
      <w:r>
        <w:rPr>
          <w:rFonts w:ascii="Cambria" w:eastAsia="Cambria" w:hAnsi="Cambria" w:cs="Cambria"/>
        </w:rPr>
        <w:t xml:space="preserve">Bjursell, C. J., Wang, G. H., and Yau, J. (2006). Transaction tax and market quality of us futures markets: An ex-ante analysisi. </w:t>
      </w:r>
      <w:r>
        <w:rPr>
          <w:rFonts w:ascii="Cambria" w:eastAsia="Cambria" w:hAnsi="Cambria" w:cs="Cambria"/>
          <w:i/>
        </w:rPr>
        <w:t>Journal of future markets</w:t>
      </w:r>
      <w:r>
        <w:rPr>
          <w:rFonts w:ascii="Cambria" w:eastAsia="Cambria" w:hAnsi="Cambria" w:cs="Cambria"/>
        </w:rPr>
        <w:t>, 26.</w:t>
      </w:r>
    </w:p>
    <w:p w:rsidR="00EE13F6" w:rsidRDefault="002E5BC4">
      <w:pPr>
        <w:spacing w:after="202" w:line="264" w:lineRule="auto"/>
        <w:ind w:left="227" w:right="477" w:hanging="218"/>
        <w:jc w:val="both"/>
      </w:pPr>
      <w:r>
        <w:rPr>
          <w:rFonts w:ascii="Cambria" w:eastAsia="Cambria" w:hAnsi="Cambria" w:cs="Cambria"/>
        </w:rPr>
        <w:t xml:space="preserve">Black, </w:t>
      </w:r>
      <w:r>
        <w:rPr>
          <w:rFonts w:ascii="Cambria" w:eastAsia="Cambria" w:hAnsi="Cambria" w:cs="Cambria"/>
        </w:rPr>
        <w:t xml:space="preserve">F. and Cox, J. C. (1976). Valuing corporate securities: Some effects of bond indenture provisions. </w:t>
      </w:r>
      <w:r>
        <w:rPr>
          <w:rFonts w:ascii="Cambria" w:eastAsia="Cambria" w:hAnsi="Cambria" w:cs="Cambria"/>
          <w:i/>
        </w:rPr>
        <w:t>The Journal of Finance</w:t>
      </w:r>
      <w:r>
        <w:rPr>
          <w:rFonts w:ascii="Cambria" w:eastAsia="Cambria" w:hAnsi="Cambria" w:cs="Cambria"/>
        </w:rPr>
        <w:t>, 31(2):351–367.</w:t>
      </w:r>
    </w:p>
    <w:p w:rsidR="00EE13F6" w:rsidRDefault="002E5BC4">
      <w:pPr>
        <w:spacing w:after="194" w:line="264" w:lineRule="auto"/>
        <w:ind w:left="227" w:right="477" w:hanging="218"/>
        <w:jc w:val="both"/>
      </w:pPr>
      <w:r>
        <w:rPr>
          <w:rFonts w:ascii="Cambria" w:eastAsia="Cambria" w:hAnsi="Cambria" w:cs="Cambria"/>
        </w:rPr>
        <w:t xml:space="preserve">Black, F. and Scholes, M. (1973). The pricing of options and corporate liabilities. </w:t>
      </w:r>
      <w:r>
        <w:rPr>
          <w:rFonts w:ascii="Cambria" w:eastAsia="Cambria" w:hAnsi="Cambria" w:cs="Cambria"/>
          <w:i/>
        </w:rPr>
        <w:t>Journal of political economy</w:t>
      </w:r>
      <w:r>
        <w:rPr>
          <w:rFonts w:ascii="Cambria" w:eastAsia="Cambria" w:hAnsi="Cambria" w:cs="Cambria"/>
        </w:rPr>
        <w:t>, 81(3</w:t>
      </w:r>
      <w:r>
        <w:rPr>
          <w:rFonts w:ascii="Cambria" w:eastAsia="Cambria" w:hAnsi="Cambria" w:cs="Cambria"/>
        </w:rPr>
        <w:t>):637–654.</w:t>
      </w:r>
    </w:p>
    <w:p w:rsidR="00EE13F6" w:rsidRDefault="002E5BC4">
      <w:pPr>
        <w:spacing w:after="167" w:line="264" w:lineRule="auto"/>
        <w:ind w:left="227" w:right="477" w:hanging="218"/>
        <w:jc w:val="both"/>
      </w:pPr>
      <w:r>
        <w:rPr>
          <w:rFonts w:ascii="Cambria" w:eastAsia="Cambria" w:hAnsi="Cambria" w:cs="Cambria"/>
        </w:rPr>
        <w:t xml:space="preserve">Boyle, P. P. and Vorst, T. (1992). Option replication in discrete time with transaction costs. </w:t>
      </w:r>
      <w:r>
        <w:rPr>
          <w:rFonts w:ascii="Cambria" w:eastAsia="Cambria" w:hAnsi="Cambria" w:cs="Cambria"/>
          <w:i/>
        </w:rPr>
        <w:t>The Journal of Finance</w:t>
      </w:r>
      <w:r>
        <w:rPr>
          <w:rFonts w:ascii="Cambria" w:eastAsia="Cambria" w:hAnsi="Cambria" w:cs="Cambria"/>
        </w:rPr>
        <w:t>, 47(1):271–293.</w:t>
      </w:r>
    </w:p>
    <w:p w:rsidR="00EE13F6" w:rsidRDefault="002E5BC4">
      <w:pPr>
        <w:spacing w:after="175" w:line="264" w:lineRule="auto"/>
        <w:ind w:left="227" w:right="477" w:hanging="218"/>
        <w:jc w:val="both"/>
      </w:pPr>
      <w:r>
        <w:rPr>
          <w:rFonts w:ascii="Cambria" w:eastAsia="Cambria" w:hAnsi="Cambria" w:cs="Cambria"/>
        </w:rPr>
        <w:t>Brennan, M. J. and Subrahmanyam, A. (1996). Market microstructure and asset pricing: On the compensation for il</w:t>
      </w:r>
      <w:r>
        <w:rPr>
          <w:rFonts w:ascii="Cambria" w:eastAsia="Cambria" w:hAnsi="Cambria" w:cs="Cambria"/>
        </w:rPr>
        <w:t xml:space="preserve">liquidity in stock returns. </w:t>
      </w:r>
      <w:r>
        <w:rPr>
          <w:rFonts w:ascii="Cambria" w:eastAsia="Cambria" w:hAnsi="Cambria" w:cs="Cambria"/>
          <w:i/>
        </w:rPr>
        <w:t>Journal of financial economics</w:t>
      </w:r>
      <w:r>
        <w:rPr>
          <w:rFonts w:ascii="Cambria" w:eastAsia="Cambria" w:hAnsi="Cambria" w:cs="Cambria"/>
        </w:rPr>
        <w:t>, 41(3):441–464.</w:t>
      </w:r>
    </w:p>
    <w:p w:rsidR="00EE13F6" w:rsidRDefault="002E5BC4">
      <w:pPr>
        <w:spacing w:after="175" w:line="264" w:lineRule="auto"/>
        <w:ind w:left="227" w:right="477" w:hanging="218"/>
        <w:jc w:val="both"/>
      </w:pPr>
      <w:r>
        <w:rPr>
          <w:rFonts w:ascii="Cambria" w:eastAsia="Cambria" w:hAnsi="Cambria" w:cs="Cambria"/>
        </w:rPr>
        <w:t xml:space="preserve">Campbell, J. Y. and Froot, K. A. (1994). International experiences with securities transaction taxes. In </w:t>
      </w:r>
      <w:r>
        <w:rPr>
          <w:rFonts w:ascii="Cambria" w:eastAsia="Cambria" w:hAnsi="Cambria" w:cs="Cambria"/>
          <w:i/>
        </w:rPr>
        <w:t>The internationalization of equity markets</w:t>
      </w:r>
      <w:r>
        <w:rPr>
          <w:rFonts w:ascii="Cambria" w:eastAsia="Cambria" w:hAnsi="Cambria" w:cs="Cambria"/>
        </w:rPr>
        <w:t>, pages 277–308. University of Chicago Press.</w:t>
      </w:r>
    </w:p>
    <w:p w:rsidR="00EE13F6" w:rsidRDefault="002E5BC4">
      <w:pPr>
        <w:spacing w:after="202" w:line="264" w:lineRule="auto"/>
        <w:ind w:left="227" w:right="477" w:hanging="218"/>
        <w:jc w:val="both"/>
      </w:pPr>
      <w:r>
        <w:rPr>
          <w:rFonts w:ascii="Cambria" w:eastAsia="Cambria" w:hAnsi="Cambria" w:cs="Cambria"/>
        </w:rPr>
        <w:t xml:space="preserve">Capelle-Blancard, G. and Havrylchyk, O. (2016). The impact of the french securities transaction tax on market liquidity and volatility. </w:t>
      </w:r>
      <w:r>
        <w:rPr>
          <w:rFonts w:ascii="Cambria" w:eastAsia="Cambria" w:hAnsi="Cambria" w:cs="Cambria"/>
          <w:i/>
        </w:rPr>
        <w:t>International Review of Financial Analysis</w:t>
      </w:r>
      <w:r>
        <w:rPr>
          <w:rFonts w:ascii="Cambria" w:eastAsia="Cambria" w:hAnsi="Cambria" w:cs="Cambria"/>
        </w:rPr>
        <w:t>, 47:166–178.</w:t>
      </w:r>
    </w:p>
    <w:p w:rsidR="00EE13F6" w:rsidRDefault="002E5BC4">
      <w:pPr>
        <w:spacing w:after="196" w:line="261" w:lineRule="auto"/>
        <w:ind w:left="213" w:hanging="228"/>
      </w:pPr>
      <w:r>
        <w:rPr>
          <w:rFonts w:ascii="Cambria" w:eastAsia="Cambria" w:hAnsi="Cambria" w:cs="Cambria"/>
        </w:rPr>
        <w:t xml:space="preserve">Chamberlin, E. H. (1949). </w:t>
      </w:r>
      <w:r>
        <w:rPr>
          <w:rFonts w:ascii="Cambria" w:eastAsia="Cambria" w:hAnsi="Cambria" w:cs="Cambria"/>
          <w:i/>
        </w:rPr>
        <w:t>Theory of monopolistic competition: A re-orientation of the theory of value</w:t>
      </w:r>
      <w:r>
        <w:rPr>
          <w:rFonts w:ascii="Cambria" w:eastAsia="Cambria" w:hAnsi="Cambria" w:cs="Cambria"/>
        </w:rPr>
        <w:t>. Oxford University Press, London.</w:t>
      </w:r>
    </w:p>
    <w:p w:rsidR="00EE13F6" w:rsidRDefault="002E5BC4">
      <w:pPr>
        <w:spacing w:after="133" w:line="264" w:lineRule="auto"/>
        <w:ind w:left="227" w:right="477" w:hanging="218"/>
        <w:jc w:val="both"/>
      </w:pPr>
      <w:r>
        <w:rPr>
          <w:rFonts w:ascii="Cambria" w:eastAsia="Cambria" w:hAnsi="Cambria" w:cs="Cambria"/>
        </w:rPr>
        <w:t xml:space="preserve">Duffie, D. and Singleton, K. J. (1999). Modeling term structures of defaultable bonds. </w:t>
      </w:r>
      <w:r>
        <w:rPr>
          <w:rFonts w:ascii="Cambria" w:eastAsia="Cambria" w:hAnsi="Cambria" w:cs="Cambria"/>
          <w:i/>
        </w:rPr>
        <w:t>The review of financial studies</w:t>
      </w:r>
      <w:r>
        <w:rPr>
          <w:rFonts w:ascii="Cambria" w:eastAsia="Cambria" w:hAnsi="Cambria" w:cs="Cambria"/>
        </w:rPr>
        <w:t xml:space="preserve">, </w:t>
      </w:r>
      <w:r>
        <w:rPr>
          <w:rFonts w:ascii="Cambria" w:eastAsia="Cambria" w:hAnsi="Cambria" w:cs="Cambria"/>
        </w:rPr>
        <w:t>12(4):687–720.</w:t>
      </w:r>
    </w:p>
    <w:p w:rsidR="00EE13F6" w:rsidRDefault="002E5BC4">
      <w:pPr>
        <w:spacing w:after="188" w:line="264" w:lineRule="auto"/>
        <w:ind w:left="227" w:right="477" w:hanging="218"/>
        <w:jc w:val="both"/>
      </w:pPr>
      <w:r>
        <w:rPr>
          <w:rFonts w:ascii="Cambria" w:eastAsia="Cambria" w:hAnsi="Cambria" w:cs="Cambria"/>
        </w:rPr>
        <w:lastRenderedPageBreak/>
        <w:t xml:space="preserve">Elie, R. and L´epinette, E. (2015). Approximate hedging for nonlinear transaction costs on the volume of traded assets. </w:t>
      </w:r>
      <w:r>
        <w:rPr>
          <w:rFonts w:ascii="Cambria" w:eastAsia="Cambria" w:hAnsi="Cambria" w:cs="Cambria"/>
          <w:i/>
        </w:rPr>
        <w:t>Finance and Stochastics</w:t>
      </w:r>
      <w:r>
        <w:rPr>
          <w:rFonts w:ascii="Cambria" w:eastAsia="Cambria" w:hAnsi="Cambria" w:cs="Cambria"/>
        </w:rPr>
        <w:t>, 19(3):541–581.</w:t>
      </w:r>
    </w:p>
    <w:p w:rsidR="00EE13F6" w:rsidRDefault="002E5BC4">
      <w:pPr>
        <w:spacing w:after="153" w:line="264" w:lineRule="auto"/>
        <w:ind w:left="227" w:right="477" w:hanging="218"/>
        <w:jc w:val="both"/>
      </w:pPr>
      <w:r>
        <w:rPr>
          <w:rFonts w:ascii="Cambria" w:eastAsia="Cambria" w:hAnsi="Cambria" w:cs="Cambria"/>
        </w:rPr>
        <w:t xml:space="preserve">Finkelstein, V. (2013). Assessing default probabilities from equity markets. </w:t>
      </w:r>
      <w:r>
        <w:rPr>
          <w:rFonts w:ascii="Cambria" w:eastAsia="Cambria" w:hAnsi="Cambria" w:cs="Cambria"/>
          <w:i/>
        </w:rPr>
        <w:t>Pres</w:t>
      </w:r>
      <w:r>
        <w:rPr>
          <w:rFonts w:ascii="Cambria" w:eastAsia="Cambria" w:hAnsi="Cambria" w:cs="Cambria"/>
          <w:i/>
        </w:rPr>
        <w:t>entation, Credit Risk Summit</w:t>
      </w:r>
      <w:r>
        <w:rPr>
          <w:rFonts w:ascii="Cambria" w:eastAsia="Cambria" w:hAnsi="Cambria" w:cs="Cambria"/>
        </w:rPr>
        <w:t>.</w:t>
      </w:r>
    </w:p>
    <w:p w:rsidR="00EE13F6" w:rsidRDefault="002E5BC4">
      <w:pPr>
        <w:spacing w:after="162" w:line="264" w:lineRule="auto"/>
        <w:ind w:left="227" w:right="477" w:hanging="218"/>
        <w:jc w:val="both"/>
      </w:pPr>
      <w:r>
        <w:rPr>
          <w:rFonts w:ascii="Cambria" w:eastAsia="Cambria" w:hAnsi="Cambria" w:cs="Cambria"/>
        </w:rPr>
        <w:t xml:space="preserve">Finkelstein, V. and Lardy, J. (2001). Assessing default probabilities from equity markets. simple closed-form solution. </w:t>
      </w:r>
      <w:r>
        <w:rPr>
          <w:rFonts w:ascii="Cambria" w:eastAsia="Cambria" w:hAnsi="Cambria" w:cs="Cambria"/>
          <w:i/>
        </w:rPr>
        <w:t>Presentation ICBI Global Derivatives and Risk Management, Credit Risk</w:t>
      </w:r>
      <w:r>
        <w:rPr>
          <w:rFonts w:ascii="Cambria" w:eastAsia="Cambria" w:hAnsi="Cambria" w:cs="Cambria"/>
        </w:rPr>
        <w:t>.</w:t>
      </w:r>
    </w:p>
    <w:p w:rsidR="00EE13F6" w:rsidRDefault="002E5BC4">
      <w:pPr>
        <w:spacing w:after="154" w:line="264" w:lineRule="auto"/>
        <w:ind w:left="19" w:right="477" w:hanging="10"/>
        <w:jc w:val="both"/>
      </w:pPr>
      <w:r>
        <w:rPr>
          <w:rFonts w:ascii="Cambria" w:eastAsia="Cambria" w:hAnsi="Cambria" w:cs="Cambria"/>
        </w:rPr>
        <w:t>Finkelstein, V., Lardy, J., Pan, G.</w:t>
      </w:r>
      <w:r>
        <w:rPr>
          <w:rFonts w:ascii="Cambria" w:eastAsia="Cambria" w:hAnsi="Cambria" w:cs="Cambria"/>
        </w:rPr>
        <w:t>, Ta, T., and Tierney, J. (2002). Credit grades technical document.</w:t>
      </w:r>
    </w:p>
    <w:p w:rsidR="00EE13F6" w:rsidRDefault="002E5BC4">
      <w:pPr>
        <w:spacing w:after="182" w:line="264" w:lineRule="auto"/>
        <w:ind w:left="227" w:right="477" w:hanging="218"/>
        <w:jc w:val="both"/>
      </w:pPr>
      <w:r>
        <w:rPr>
          <w:rFonts w:ascii="Cambria" w:eastAsia="Cambria" w:hAnsi="Cambria" w:cs="Cambria"/>
        </w:rPr>
        <w:t xml:space="preserve">Habermeier, K. and Kirilenko, A. A. (2003). Securities transaction taxes and financial markets. </w:t>
      </w:r>
      <w:r>
        <w:rPr>
          <w:rFonts w:ascii="Cambria" w:eastAsia="Cambria" w:hAnsi="Cambria" w:cs="Cambria"/>
          <w:i/>
        </w:rPr>
        <w:t>IMF Staff Papers, Special Issue International Monetary Fund</w:t>
      </w:r>
      <w:r>
        <w:rPr>
          <w:rFonts w:ascii="Cambria" w:eastAsia="Cambria" w:hAnsi="Cambria" w:cs="Cambria"/>
        </w:rPr>
        <w:t>, 50(1):165–180.</w:t>
      </w:r>
    </w:p>
    <w:p w:rsidR="00EE13F6" w:rsidRDefault="002E5BC4">
      <w:pPr>
        <w:spacing w:after="153" w:line="264" w:lineRule="auto"/>
        <w:ind w:left="227" w:right="477" w:hanging="218"/>
        <w:jc w:val="both"/>
      </w:pPr>
      <w:r>
        <w:rPr>
          <w:rFonts w:ascii="Cambria" w:eastAsia="Cambria" w:hAnsi="Cambria" w:cs="Cambria"/>
        </w:rPr>
        <w:t>Hakkio, C. S. et</w:t>
      </w:r>
      <w:r>
        <w:rPr>
          <w:rFonts w:ascii="Cambria" w:eastAsia="Cambria" w:hAnsi="Cambria" w:cs="Cambria"/>
        </w:rPr>
        <w:t xml:space="preserve"> al. (1994). Should we throw sand in the gears of financial markets? </w:t>
      </w:r>
      <w:r>
        <w:rPr>
          <w:rFonts w:ascii="Cambria" w:eastAsia="Cambria" w:hAnsi="Cambria" w:cs="Cambria"/>
          <w:i/>
        </w:rPr>
        <w:t>Economic Review</w:t>
      </w:r>
      <w:r>
        <w:rPr>
          <w:rFonts w:ascii="Cambria" w:eastAsia="Cambria" w:hAnsi="Cambria" w:cs="Cambria"/>
        </w:rPr>
        <w:t>, 79:17–30.</w:t>
      </w:r>
    </w:p>
    <w:p w:rsidR="00EE13F6" w:rsidRDefault="002E5BC4">
      <w:pPr>
        <w:spacing w:after="188" w:line="264" w:lineRule="auto"/>
        <w:ind w:left="227" w:right="477" w:hanging="218"/>
        <w:jc w:val="both"/>
      </w:pPr>
      <w:r>
        <w:rPr>
          <w:rFonts w:ascii="Cambria" w:eastAsia="Cambria" w:hAnsi="Cambria" w:cs="Cambria"/>
        </w:rPr>
        <w:t xml:space="preserve">Hau, H. (2006). The role of transaction costs for financial volatility: Evidence from the paris bourse. </w:t>
      </w:r>
      <w:r>
        <w:rPr>
          <w:rFonts w:ascii="Cambria" w:eastAsia="Cambria" w:hAnsi="Cambria" w:cs="Cambria"/>
          <w:i/>
        </w:rPr>
        <w:t>Journal of the European Economic Association</w:t>
      </w:r>
      <w:r>
        <w:rPr>
          <w:rFonts w:ascii="Cambria" w:eastAsia="Cambria" w:hAnsi="Cambria" w:cs="Cambria"/>
        </w:rPr>
        <w:t>, 4(4):862–8</w:t>
      </w:r>
      <w:r>
        <w:rPr>
          <w:rFonts w:ascii="Cambria" w:eastAsia="Cambria" w:hAnsi="Cambria" w:cs="Cambria"/>
        </w:rPr>
        <w:t>90.</w:t>
      </w:r>
    </w:p>
    <w:p w:rsidR="00EE13F6" w:rsidRDefault="002E5BC4">
      <w:pPr>
        <w:spacing w:after="180" w:line="264" w:lineRule="auto"/>
        <w:ind w:left="227" w:right="477" w:hanging="218"/>
        <w:jc w:val="both"/>
      </w:pPr>
      <w:r>
        <w:rPr>
          <w:rFonts w:ascii="Cambria" w:eastAsia="Cambria" w:hAnsi="Cambria" w:cs="Cambria"/>
        </w:rPr>
        <w:t xml:space="preserve">Hawkins, M. and McCrae, J. (2002). </w:t>
      </w:r>
      <w:r>
        <w:rPr>
          <w:rFonts w:ascii="Cambria" w:eastAsia="Cambria" w:hAnsi="Cambria" w:cs="Cambria"/>
          <w:i/>
        </w:rPr>
        <w:t xml:space="preserve">Stamp duty on share transactions: is there a case for change? </w:t>
      </w:r>
      <w:r>
        <w:rPr>
          <w:rFonts w:ascii="Cambria" w:eastAsia="Cambria" w:hAnsi="Cambria" w:cs="Cambria"/>
        </w:rPr>
        <w:t>Institute For Fiscal Studies.</w:t>
      </w:r>
    </w:p>
    <w:p w:rsidR="00EE13F6" w:rsidRDefault="002E5BC4">
      <w:pPr>
        <w:spacing w:after="153" w:line="264" w:lineRule="auto"/>
        <w:ind w:left="227" w:right="477" w:hanging="218"/>
        <w:jc w:val="both"/>
      </w:pPr>
      <w:r>
        <w:rPr>
          <w:rFonts w:ascii="Cambria" w:eastAsia="Cambria" w:hAnsi="Cambria" w:cs="Cambria"/>
        </w:rPr>
        <w:t xml:space="preserve">Ho, T. and Stoll, H. R. (1980). On dealer markets under competition. </w:t>
      </w:r>
      <w:r>
        <w:rPr>
          <w:rFonts w:ascii="Cambria" w:eastAsia="Cambria" w:hAnsi="Cambria" w:cs="Cambria"/>
          <w:i/>
        </w:rPr>
        <w:t>The Journal of Finance</w:t>
      </w:r>
      <w:r>
        <w:rPr>
          <w:rFonts w:ascii="Cambria" w:eastAsia="Cambria" w:hAnsi="Cambria" w:cs="Cambria"/>
        </w:rPr>
        <w:t>, 35(2):259–267.</w:t>
      </w:r>
    </w:p>
    <w:p w:rsidR="00EE13F6" w:rsidRDefault="002E5BC4">
      <w:pPr>
        <w:spacing w:after="162" w:line="264" w:lineRule="auto"/>
        <w:ind w:left="227" w:right="477" w:hanging="218"/>
        <w:jc w:val="both"/>
      </w:pPr>
      <w:r>
        <w:rPr>
          <w:rFonts w:ascii="Cambria" w:eastAsia="Cambria" w:hAnsi="Cambria" w:cs="Cambria"/>
        </w:rPr>
        <w:t xml:space="preserve">Ho, T. S. and Macris, R. G. (1984). Dealer bid-ask quotes and transaction prices: An empirical study of some amex options. </w:t>
      </w:r>
      <w:r>
        <w:rPr>
          <w:rFonts w:ascii="Cambria" w:eastAsia="Cambria" w:hAnsi="Cambria" w:cs="Cambria"/>
          <w:i/>
        </w:rPr>
        <w:t>The Journal of Finance</w:t>
      </w:r>
      <w:r>
        <w:rPr>
          <w:rFonts w:ascii="Cambria" w:eastAsia="Cambria" w:hAnsi="Cambria" w:cs="Cambria"/>
        </w:rPr>
        <w:t>, 39(1):23–45.</w:t>
      </w:r>
    </w:p>
    <w:p w:rsidR="00EE13F6" w:rsidRDefault="002E5BC4">
      <w:pPr>
        <w:spacing w:after="188" w:line="264" w:lineRule="auto"/>
        <w:ind w:left="227" w:right="477" w:hanging="218"/>
        <w:jc w:val="both"/>
      </w:pPr>
      <w:r>
        <w:rPr>
          <w:rFonts w:ascii="Cambria" w:eastAsia="Cambria" w:hAnsi="Cambria" w:cs="Cambria"/>
        </w:rPr>
        <w:t>Jarrow, R. A. and Turnbull, S. M. (1995). Pricing derivatives on financial securities subject to</w:t>
      </w:r>
      <w:r>
        <w:rPr>
          <w:rFonts w:ascii="Cambria" w:eastAsia="Cambria" w:hAnsi="Cambria" w:cs="Cambria"/>
        </w:rPr>
        <w:t xml:space="preserve"> credit risk. </w:t>
      </w:r>
      <w:r>
        <w:rPr>
          <w:rFonts w:ascii="Cambria" w:eastAsia="Cambria" w:hAnsi="Cambria" w:cs="Cambria"/>
          <w:i/>
        </w:rPr>
        <w:t>The journal of finance</w:t>
      </w:r>
      <w:r>
        <w:rPr>
          <w:rFonts w:ascii="Cambria" w:eastAsia="Cambria" w:hAnsi="Cambria" w:cs="Cambria"/>
        </w:rPr>
        <w:t>, 50(1):53–85.</w:t>
      </w:r>
    </w:p>
    <w:p w:rsidR="00EE13F6" w:rsidRDefault="002E5BC4">
      <w:pPr>
        <w:spacing w:after="187" w:line="264" w:lineRule="auto"/>
        <w:ind w:left="227" w:right="477" w:hanging="218"/>
        <w:jc w:val="both"/>
      </w:pPr>
      <w:r>
        <w:rPr>
          <w:rFonts w:ascii="Cambria" w:eastAsia="Cambria" w:hAnsi="Cambria" w:cs="Cambria"/>
        </w:rPr>
        <w:t xml:space="preserve">Jones, C. M. and Seguin, P. J. (1997). Transaction costs and price volatility: evidence from commission deregulation. </w:t>
      </w:r>
      <w:r>
        <w:rPr>
          <w:rFonts w:ascii="Cambria" w:eastAsia="Cambria" w:hAnsi="Cambria" w:cs="Cambria"/>
          <w:i/>
        </w:rPr>
        <w:t>The American Economic Review</w:t>
      </w:r>
      <w:r>
        <w:rPr>
          <w:rFonts w:ascii="Cambria" w:eastAsia="Cambria" w:hAnsi="Cambria" w:cs="Cambria"/>
        </w:rPr>
        <w:t>, 87(4):728–737.</w:t>
      </w:r>
    </w:p>
    <w:p w:rsidR="00EE13F6" w:rsidRDefault="002E5BC4">
      <w:pPr>
        <w:spacing w:after="196" w:line="261" w:lineRule="auto"/>
        <w:ind w:left="-15"/>
      </w:pPr>
      <w:r>
        <w:rPr>
          <w:rFonts w:ascii="Cambria" w:eastAsia="Cambria" w:hAnsi="Cambria" w:cs="Cambria"/>
        </w:rPr>
        <w:t xml:space="preserve">Keynes, J. (1936). </w:t>
      </w:r>
      <w:r>
        <w:rPr>
          <w:rFonts w:ascii="Cambria" w:eastAsia="Cambria" w:hAnsi="Cambria" w:cs="Cambria"/>
          <w:i/>
        </w:rPr>
        <w:t>The General Theory of E</w:t>
      </w:r>
      <w:r>
        <w:rPr>
          <w:rFonts w:ascii="Cambria" w:eastAsia="Cambria" w:hAnsi="Cambria" w:cs="Cambria"/>
          <w:i/>
        </w:rPr>
        <w:t>mployment, Interest and Money</w:t>
      </w:r>
      <w:r>
        <w:rPr>
          <w:rFonts w:ascii="Cambria" w:eastAsia="Cambria" w:hAnsi="Cambria" w:cs="Cambria"/>
        </w:rPr>
        <w:t>. Harcourt Brace.</w:t>
      </w:r>
    </w:p>
    <w:p w:rsidR="00EE13F6" w:rsidRDefault="002E5BC4">
      <w:pPr>
        <w:spacing w:after="153" w:line="264" w:lineRule="auto"/>
        <w:ind w:left="227" w:right="477" w:hanging="218"/>
        <w:jc w:val="both"/>
      </w:pPr>
      <w:r>
        <w:rPr>
          <w:rFonts w:ascii="Cambria" w:eastAsia="Cambria" w:hAnsi="Cambria" w:cs="Cambria"/>
        </w:rPr>
        <w:t xml:space="preserve">Kupiec, P. (June 1996). Noise traders, excess volatility, and a securities transaction tax. </w:t>
      </w:r>
      <w:r>
        <w:rPr>
          <w:rFonts w:ascii="Cambria" w:eastAsia="Cambria" w:hAnsi="Cambria" w:cs="Cambria"/>
          <w:i/>
        </w:rPr>
        <w:t>Journal of Financial Services Reseach</w:t>
      </w:r>
      <w:r>
        <w:rPr>
          <w:rFonts w:ascii="Cambria" w:eastAsia="Cambria" w:hAnsi="Cambria" w:cs="Cambria"/>
        </w:rPr>
        <w:t>, 10(2):115–129.</w:t>
      </w:r>
    </w:p>
    <w:p w:rsidR="00EE13F6" w:rsidRDefault="002E5BC4">
      <w:pPr>
        <w:spacing w:after="181" w:line="264" w:lineRule="auto"/>
        <w:ind w:left="19" w:right="477" w:hanging="10"/>
        <w:jc w:val="both"/>
      </w:pPr>
      <w:r>
        <w:rPr>
          <w:rFonts w:ascii="Cambria" w:eastAsia="Cambria" w:hAnsi="Cambria" w:cs="Cambria"/>
        </w:rPr>
        <w:t>Lardy, J.-P. (2001). A simple closed-form formula to price cred</w:t>
      </w:r>
      <w:r>
        <w:rPr>
          <w:rFonts w:ascii="Cambria" w:eastAsia="Cambria" w:hAnsi="Cambria" w:cs="Cambria"/>
        </w:rPr>
        <w:t>it. Presentation, Risk, Paris.</w:t>
      </w:r>
    </w:p>
    <w:p w:rsidR="00EE13F6" w:rsidRDefault="002E5BC4">
      <w:pPr>
        <w:spacing w:after="180" w:line="264" w:lineRule="auto"/>
        <w:ind w:left="227" w:right="477" w:hanging="218"/>
        <w:jc w:val="both"/>
      </w:pPr>
      <w:r>
        <w:rPr>
          <w:rFonts w:ascii="Cambria" w:eastAsia="Cambria" w:hAnsi="Cambria" w:cs="Cambria"/>
        </w:rPr>
        <w:t xml:space="preserve">Leland, H. (1985). Option pricing and replication with transaction costs. </w:t>
      </w:r>
      <w:r>
        <w:rPr>
          <w:rFonts w:ascii="Cambria" w:eastAsia="Cambria" w:hAnsi="Cambria" w:cs="Cambria"/>
          <w:i/>
        </w:rPr>
        <w:t>The Journal of Finance</w:t>
      </w:r>
      <w:r>
        <w:rPr>
          <w:rFonts w:ascii="Cambria" w:eastAsia="Cambria" w:hAnsi="Cambria" w:cs="Cambria"/>
        </w:rPr>
        <w:t>, 40:1283–1301.</w:t>
      </w:r>
    </w:p>
    <w:p w:rsidR="00EE13F6" w:rsidRDefault="002E5BC4">
      <w:pPr>
        <w:spacing w:after="153" w:line="264" w:lineRule="auto"/>
        <w:ind w:left="227" w:right="477" w:hanging="218"/>
        <w:jc w:val="both"/>
      </w:pPr>
      <w:r>
        <w:rPr>
          <w:rFonts w:ascii="Cambria" w:eastAsia="Cambria" w:hAnsi="Cambria" w:cs="Cambria"/>
        </w:rPr>
        <w:t xml:space="preserve">Leland, H. (1994a). Corporate debt value, bond covenants, and optimal capital structure. </w:t>
      </w:r>
      <w:r>
        <w:rPr>
          <w:rFonts w:ascii="Cambria" w:eastAsia="Cambria" w:hAnsi="Cambria" w:cs="Cambria"/>
          <w:i/>
        </w:rPr>
        <w:t>The Journal of Finance</w:t>
      </w:r>
      <w:r>
        <w:rPr>
          <w:rFonts w:ascii="Cambria" w:eastAsia="Cambria" w:hAnsi="Cambria" w:cs="Cambria"/>
        </w:rPr>
        <w:t xml:space="preserve">, </w:t>
      </w:r>
      <w:r>
        <w:rPr>
          <w:rFonts w:ascii="Cambria" w:eastAsia="Cambria" w:hAnsi="Cambria" w:cs="Cambria"/>
        </w:rPr>
        <w:t>49:1213–1252.</w:t>
      </w:r>
    </w:p>
    <w:p w:rsidR="00EE13F6" w:rsidRDefault="002E5BC4">
      <w:pPr>
        <w:spacing w:after="182" w:line="261" w:lineRule="auto"/>
        <w:ind w:left="203" w:right="468" w:hanging="218"/>
      </w:pPr>
      <w:r>
        <w:rPr>
          <w:rFonts w:ascii="Cambria" w:eastAsia="Cambria" w:hAnsi="Cambria" w:cs="Cambria"/>
        </w:rPr>
        <w:t xml:space="preserve">Leland, H. (1994b). Optimal capital structure, endogenous bankruptcy, and the term structure of credit spreads. </w:t>
      </w:r>
      <w:r>
        <w:rPr>
          <w:rFonts w:ascii="Cambria" w:eastAsia="Cambria" w:hAnsi="Cambria" w:cs="Cambria"/>
          <w:i/>
        </w:rPr>
        <w:t>Finance working paper</w:t>
      </w:r>
      <w:r>
        <w:rPr>
          <w:rFonts w:ascii="Cambria" w:eastAsia="Cambria" w:hAnsi="Cambria" w:cs="Cambria"/>
        </w:rPr>
        <w:t>, (240). Haas School of Business, University of California, Berkeley, USA.</w:t>
      </w:r>
    </w:p>
    <w:p w:rsidR="00EE13F6" w:rsidRDefault="002E5BC4">
      <w:pPr>
        <w:spacing w:after="133" w:line="264" w:lineRule="auto"/>
        <w:ind w:left="227" w:right="477" w:hanging="218"/>
        <w:jc w:val="both"/>
      </w:pPr>
      <w:r>
        <w:rPr>
          <w:rFonts w:ascii="Cambria" w:eastAsia="Cambria" w:hAnsi="Cambria" w:cs="Cambria"/>
        </w:rPr>
        <w:lastRenderedPageBreak/>
        <w:t xml:space="preserve">Leland, H. E. et al. (2007). Comments on ”hedging errors with leland’s option model in the presence of transactions costs”. </w:t>
      </w:r>
      <w:r>
        <w:rPr>
          <w:rFonts w:ascii="Cambria" w:eastAsia="Cambria" w:hAnsi="Cambria" w:cs="Cambria"/>
          <w:i/>
        </w:rPr>
        <w:t>Finance Research Letters</w:t>
      </w:r>
      <w:r>
        <w:rPr>
          <w:rFonts w:ascii="Cambria" w:eastAsia="Cambria" w:hAnsi="Cambria" w:cs="Cambria"/>
        </w:rPr>
        <w:t>, 4(3):200–202. Haas School of Business, University of California, Berkeley, USA.</w:t>
      </w:r>
    </w:p>
    <w:p w:rsidR="00EE13F6" w:rsidRDefault="002E5BC4">
      <w:pPr>
        <w:spacing w:after="162" w:line="264" w:lineRule="auto"/>
        <w:ind w:left="227" w:right="477" w:hanging="218"/>
        <w:jc w:val="both"/>
      </w:pPr>
      <w:r>
        <w:rPr>
          <w:rFonts w:ascii="Cambria" w:eastAsia="Cambria" w:hAnsi="Cambria" w:cs="Cambria"/>
        </w:rPr>
        <w:t>Leland, H. E. and Toft, K.</w:t>
      </w:r>
      <w:r>
        <w:rPr>
          <w:rFonts w:ascii="Cambria" w:eastAsia="Cambria" w:hAnsi="Cambria" w:cs="Cambria"/>
        </w:rPr>
        <w:t xml:space="preserve"> B. (1996). Optimal capital structure, endogenous bankruptcy, and the term structure of credit spreads. </w:t>
      </w:r>
      <w:r>
        <w:rPr>
          <w:rFonts w:ascii="Cambria" w:eastAsia="Cambria" w:hAnsi="Cambria" w:cs="Cambria"/>
          <w:i/>
        </w:rPr>
        <w:t>The Journal of Finance</w:t>
      </w:r>
      <w:r>
        <w:rPr>
          <w:rFonts w:ascii="Cambria" w:eastAsia="Cambria" w:hAnsi="Cambria" w:cs="Cambria"/>
        </w:rPr>
        <w:t>, 51(3):987–1019.</w:t>
      </w:r>
    </w:p>
    <w:p w:rsidR="00EE13F6" w:rsidRDefault="002E5BC4">
      <w:pPr>
        <w:spacing w:after="162" w:line="264" w:lineRule="auto"/>
        <w:ind w:left="227" w:right="477" w:hanging="218"/>
        <w:jc w:val="both"/>
      </w:pPr>
      <w:r>
        <w:rPr>
          <w:rFonts w:ascii="Cambria" w:eastAsia="Cambria" w:hAnsi="Cambria" w:cs="Cambria"/>
        </w:rPr>
        <w:t xml:space="preserve">Lendvai J., Raciborski R., V. L. (2012). Securities transaction taxes: Macroeconomic implications in a general equilibrium model. </w:t>
      </w:r>
      <w:r>
        <w:rPr>
          <w:rFonts w:ascii="Cambria" w:eastAsia="Cambria" w:hAnsi="Cambria" w:cs="Cambria"/>
          <w:i/>
        </w:rPr>
        <w:t>European Economy: Economic Papers</w:t>
      </w:r>
      <w:r>
        <w:rPr>
          <w:rFonts w:ascii="Cambria" w:eastAsia="Cambria" w:hAnsi="Cambria" w:cs="Cambria"/>
        </w:rPr>
        <w:t>, (450).</w:t>
      </w:r>
    </w:p>
    <w:p w:rsidR="00EE13F6" w:rsidRDefault="002E5BC4">
      <w:pPr>
        <w:spacing w:after="188" w:line="264" w:lineRule="auto"/>
        <w:ind w:left="227" w:right="477" w:hanging="218"/>
        <w:jc w:val="both"/>
      </w:pPr>
      <w:r>
        <w:rPr>
          <w:rFonts w:ascii="Cambria" w:eastAsia="Cambria" w:hAnsi="Cambria" w:cs="Cambria"/>
        </w:rPr>
        <w:t xml:space="preserve">Lo, A. W., Mamaysky, H., and Wang, J. (2004). Asset prices and trading volume under </w:t>
      </w:r>
      <w:r>
        <w:rPr>
          <w:rFonts w:ascii="Cambria" w:eastAsia="Cambria" w:hAnsi="Cambria" w:cs="Cambria"/>
        </w:rPr>
        <w:t xml:space="preserve">fixed transactions costs. </w:t>
      </w:r>
      <w:r>
        <w:rPr>
          <w:rFonts w:ascii="Cambria" w:eastAsia="Cambria" w:hAnsi="Cambria" w:cs="Cambria"/>
          <w:i/>
        </w:rPr>
        <w:t>Journal of Political Economy</w:t>
      </w:r>
      <w:r>
        <w:rPr>
          <w:rFonts w:ascii="Cambria" w:eastAsia="Cambria" w:hAnsi="Cambria" w:cs="Cambria"/>
        </w:rPr>
        <w:t>, 112(5):1054–1090.</w:t>
      </w:r>
    </w:p>
    <w:p w:rsidR="00EE13F6" w:rsidRDefault="002E5BC4">
      <w:pPr>
        <w:spacing w:after="153" w:line="264" w:lineRule="auto"/>
        <w:ind w:left="227" w:right="477" w:hanging="218"/>
        <w:jc w:val="both"/>
      </w:pPr>
      <w:r>
        <w:rPr>
          <w:rFonts w:ascii="Cambria" w:eastAsia="Cambria" w:hAnsi="Cambria" w:cs="Cambria"/>
        </w:rPr>
        <w:t xml:space="preserve">Matheson, M. T. (2003). </w:t>
      </w:r>
      <w:r>
        <w:rPr>
          <w:rFonts w:ascii="Cambria" w:eastAsia="Cambria" w:hAnsi="Cambria" w:cs="Cambria"/>
          <w:i/>
        </w:rPr>
        <w:t>Taxing financial transactions: Issues and evidence</w:t>
      </w:r>
      <w:r>
        <w:rPr>
          <w:rFonts w:ascii="Cambria" w:eastAsia="Cambria" w:hAnsi="Cambria" w:cs="Cambria"/>
        </w:rPr>
        <w:t>, volume 3, Special Issue. IMF Staff Papers, International Monetary Fund.</w:t>
      </w:r>
    </w:p>
    <w:p w:rsidR="00EE13F6" w:rsidRDefault="002E5BC4">
      <w:pPr>
        <w:spacing w:after="188" w:line="264" w:lineRule="auto"/>
        <w:ind w:left="227" w:right="477" w:hanging="218"/>
        <w:jc w:val="both"/>
      </w:pPr>
      <w:r>
        <w:rPr>
          <w:rFonts w:ascii="Cambria" w:eastAsia="Cambria" w:hAnsi="Cambria" w:cs="Cambria"/>
        </w:rPr>
        <w:t>Modigliani, F. and Miller, M. H. (</w:t>
      </w:r>
      <w:r>
        <w:rPr>
          <w:rFonts w:ascii="Cambria" w:eastAsia="Cambria" w:hAnsi="Cambria" w:cs="Cambria"/>
        </w:rPr>
        <w:t xml:space="preserve">1958). The cost of capital, corporation finance and the theory of investment. </w:t>
      </w:r>
      <w:r>
        <w:rPr>
          <w:rFonts w:ascii="Cambria" w:eastAsia="Cambria" w:hAnsi="Cambria" w:cs="Cambria"/>
          <w:i/>
        </w:rPr>
        <w:t>The American economic review</w:t>
      </w:r>
      <w:r>
        <w:rPr>
          <w:rFonts w:ascii="Cambria" w:eastAsia="Cambria" w:hAnsi="Cambria" w:cs="Cambria"/>
        </w:rPr>
        <w:t>, 48(3):261–297.</w:t>
      </w:r>
    </w:p>
    <w:p w:rsidR="00EE13F6" w:rsidRDefault="002E5BC4">
      <w:pPr>
        <w:spacing w:after="153" w:line="264" w:lineRule="auto"/>
        <w:ind w:left="227" w:right="477" w:hanging="218"/>
        <w:jc w:val="both"/>
      </w:pPr>
      <w:r>
        <w:rPr>
          <w:rFonts w:ascii="Cambria" w:eastAsia="Cambria" w:hAnsi="Cambria" w:cs="Cambria"/>
        </w:rPr>
        <w:t xml:space="preserve">Mulherin, J. H. (1990). Regulation, trading volume and stock market volatility. </w:t>
      </w:r>
      <w:r>
        <w:rPr>
          <w:rFonts w:ascii="Cambria" w:eastAsia="Cambria" w:hAnsi="Cambria" w:cs="Cambria"/>
          <w:i/>
        </w:rPr>
        <w:t>Revue ´economique</w:t>
      </w:r>
      <w:r>
        <w:rPr>
          <w:rFonts w:ascii="Cambria" w:eastAsia="Cambria" w:hAnsi="Cambria" w:cs="Cambria"/>
        </w:rPr>
        <w:t>, pages 923–937.</w:t>
      </w:r>
    </w:p>
    <w:p w:rsidR="00EE13F6" w:rsidRDefault="002E5BC4">
      <w:pPr>
        <w:spacing w:after="182" w:line="264" w:lineRule="auto"/>
        <w:ind w:left="227" w:right="477" w:hanging="218"/>
        <w:jc w:val="both"/>
      </w:pPr>
      <w:r>
        <w:rPr>
          <w:rFonts w:ascii="Cambria" w:eastAsia="Cambria" w:hAnsi="Cambria" w:cs="Cambria"/>
        </w:rPr>
        <w:t>Musiela, M. and Rut</w:t>
      </w:r>
      <w:r>
        <w:rPr>
          <w:rFonts w:ascii="Cambria" w:eastAsia="Cambria" w:hAnsi="Cambria" w:cs="Cambria"/>
        </w:rPr>
        <w:t xml:space="preserve">kowski, M. (1998). Martingale methods in financial modeling, 2nd edition. </w:t>
      </w:r>
      <w:r>
        <w:rPr>
          <w:rFonts w:ascii="Cambria" w:eastAsia="Cambria" w:hAnsi="Cambria" w:cs="Cambria"/>
          <w:i/>
        </w:rPr>
        <w:t>Stochastic Modelling and Applied Probability</w:t>
      </w:r>
      <w:r>
        <w:rPr>
          <w:rFonts w:ascii="Cambria" w:eastAsia="Cambria" w:hAnsi="Cambria" w:cs="Cambria"/>
        </w:rPr>
        <w:t>, 36.</w:t>
      </w:r>
    </w:p>
    <w:p w:rsidR="00EE13F6" w:rsidRDefault="002E5BC4">
      <w:pPr>
        <w:spacing w:after="157" w:line="261" w:lineRule="auto"/>
        <w:ind w:left="213" w:hanging="228"/>
      </w:pPr>
      <w:r>
        <w:rPr>
          <w:rFonts w:ascii="Cambria" w:eastAsia="Cambria" w:hAnsi="Cambria" w:cs="Cambria"/>
        </w:rPr>
        <w:t xml:space="preserve">Oxera (2007). Stamp duty: Its impact and the benefits of its abolition. </w:t>
      </w:r>
      <w:r>
        <w:rPr>
          <w:rFonts w:ascii="Cambria" w:eastAsia="Cambria" w:hAnsi="Cambria" w:cs="Cambria"/>
          <w:i/>
        </w:rPr>
        <w:t>Prepared for ABI, City of London Corporation, IMA and London</w:t>
      </w:r>
      <w:r>
        <w:rPr>
          <w:rFonts w:ascii="Cambria" w:eastAsia="Cambria" w:hAnsi="Cambria" w:cs="Cambria"/>
          <w:i/>
        </w:rPr>
        <w:t xml:space="preserve"> Stock Exchange</w:t>
      </w:r>
      <w:r>
        <w:rPr>
          <w:rFonts w:ascii="Cambria" w:eastAsia="Cambria" w:hAnsi="Cambria" w:cs="Cambria"/>
        </w:rPr>
        <w:t>.</w:t>
      </w:r>
    </w:p>
    <w:p w:rsidR="00EE13F6" w:rsidRDefault="002E5BC4">
      <w:pPr>
        <w:spacing w:after="155" w:line="264" w:lineRule="auto"/>
        <w:ind w:left="227" w:right="477" w:hanging="218"/>
        <w:jc w:val="both"/>
      </w:pPr>
      <w:r>
        <w:rPr>
          <w:rFonts w:ascii="Cambria" w:eastAsia="Cambria" w:hAnsi="Cambria" w:cs="Cambria"/>
        </w:rPr>
        <w:t>Oxera (2014). What could be the economic impact of the proposed financial transaction tax? a comprehensive assessment of the potential macroeconomic impact. Technical report, Oxera.</w:t>
      </w:r>
    </w:p>
    <w:p w:rsidR="00EE13F6" w:rsidRDefault="002E5BC4">
      <w:pPr>
        <w:spacing w:after="188" w:line="264" w:lineRule="auto"/>
        <w:ind w:left="227" w:right="477" w:hanging="218"/>
        <w:jc w:val="both"/>
      </w:pPr>
      <w:r>
        <w:rPr>
          <w:rFonts w:ascii="Cambria" w:eastAsia="Cambria" w:hAnsi="Cambria" w:cs="Cambria"/>
        </w:rPr>
        <w:t xml:space="preserve">Roll, R. (1989). Price volatility, international market links, and their implications for regulatory policies. In </w:t>
      </w:r>
      <w:r>
        <w:rPr>
          <w:rFonts w:ascii="Cambria" w:eastAsia="Cambria" w:hAnsi="Cambria" w:cs="Cambria"/>
          <w:i/>
        </w:rPr>
        <w:t>Regulatory Reform of Stock and Futures Markets</w:t>
      </w:r>
      <w:r>
        <w:rPr>
          <w:rFonts w:ascii="Cambria" w:eastAsia="Cambria" w:hAnsi="Cambria" w:cs="Cambria"/>
        </w:rPr>
        <w:t>, pages 113–148. Springer.</w:t>
      </w:r>
    </w:p>
    <w:p w:rsidR="00EE13F6" w:rsidRDefault="002E5BC4">
      <w:pPr>
        <w:spacing w:after="165" w:line="264" w:lineRule="auto"/>
        <w:ind w:left="19" w:right="477" w:hanging="10"/>
        <w:jc w:val="both"/>
      </w:pPr>
      <w:r>
        <w:rPr>
          <w:rFonts w:ascii="Cambria" w:eastAsia="Cambria" w:hAnsi="Cambria" w:cs="Cambria"/>
        </w:rPr>
        <w:t xml:space="preserve">Rubinstein, M. and Reiner, C. (1991). Breaking down the barriers. </w:t>
      </w:r>
      <w:r>
        <w:rPr>
          <w:rFonts w:ascii="Cambria" w:eastAsia="Cambria" w:hAnsi="Cambria" w:cs="Cambria"/>
          <w:i/>
        </w:rPr>
        <w:t>Ris</w:t>
      </w:r>
      <w:r>
        <w:rPr>
          <w:rFonts w:ascii="Cambria" w:eastAsia="Cambria" w:hAnsi="Cambria" w:cs="Cambria"/>
          <w:i/>
        </w:rPr>
        <w:t>k</w:t>
      </w:r>
      <w:r>
        <w:rPr>
          <w:rFonts w:ascii="Cambria" w:eastAsia="Cambria" w:hAnsi="Cambria" w:cs="Cambria"/>
        </w:rPr>
        <w:t>, 4:28–35.</w:t>
      </w:r>
    </w:p>
    <w:p w:rsidR="00EE13F6" w:rsidRDefault="002E5BC4">
      <w:pPr>
        <w:spacing w:after="155" w:line="264" w:lineRule="auto"/>
        <w:ind w:left="227" w:right="477" w:hanging="218"/>
        <w:jc w:val="both"/>
      </w:pPr>
      <w:r>
        <w:rPr>
          <w:rFonts w:ascii="Cambria" w:eastAsia="Cambria" w:hAnsi="Cambria" w:cs="Cambria"/>
        </w:rPr>
        <w:t>Saporta, V. and Kan, K. (1997). The effects of stamp duty on the level and volatility of equity prices.</w:t>
      </w:r>
    </w:p>
    <w:p w:rsidR="00EE13F6" w:rsidRDefault="002E5BC4">
      <w:pPr>
        <w:spacing w:after="188" w:line="264" w:lineRule="auto"/>
        <w:ind w:left="227" w:right="477" w:hanging="218"/>
        <w:jc w:val="both"/>
      </w:pPr>
      <w:r>
        <w:rPr>
          <w:rFonts w:ascii="Cambria" w:eastAsia="Cambria" w:hAnsi="Cambria" w:cs="Cambria"/>
        </w:rPr>
        <w:t xml:space="preserve">Schwert, G. W. and Seguin, P. J. (1993). Securities transaction taxes: an overview of costs, benefits and unresolved questions. </w:t>
      </w:r>
      <w:r>
        <w:rPr>
          <w:rFonts w:ascii="Cambria" w:eastAsia="Cambria" w:hAnsi="Cambria" w:cs="Cambria"/>
          <w:i/>
        </w:rPr>
        <w:t>Financial An</w:t>
      </w:r>
      <w:r>
        <w:rPr>
          <w:rFonts w:ascii="Cambria" w:eastAsia="Cambria" w:hAnsi="Cambria" w:cs="Cambria"/>
          <w:i/>
        </w:rPr>
        <w:t>alysts Journal</w:t>
      </w:r>
      <w:r>
        <w:rPr>
          <w:rFonts w:ascii="Cambria" w:eastAsia="Cambria" w:hAnsi="Cambria" w:cs="Cambria"/>
        </w:rPr>
        <w:t>, 49(5):27–35.</w:t>
      </w:r>
    </w:p>
    <w:p w:rsidR="00EE13F6" w:rsidRDefault="002E5BC4">
      <w:pPr>
        <w:spacing w:after="180" w:line="264" w:lineRule="auto"/>
        <w:ind w:left="227" w:right="477" w:hanging="218"/>
        <w:jc w:val="both"/>
      </w:pPr>
      <w:r>
        <w:rPr>
          <w:rFonts w:ascii="Cambria" w:eastAsia="Cambria" w:hAnsi="Cambria" w:cs="Cambria"/>
        </w:rPr>
        <w:t xml:space="preserve">Song, F. M. and Zhang, J. (2005). Securities transaction tax and market volatility. </w:t>
      </w:r>
      <w:r>
        <w:rPr>
          <w:rFonts w:ascii="Cambria" w:eastAsia="Cambria" w:hAnsi="Cambria" w:cs="Cambria"/>
          <w:i/>
        </w:rPr>
        <w:t>The Economic Journal</w:t>
      </w:r>
      <w:r>
        <w:rPr>
          <w:rFonts w:ascii="Cambria" w:eastAsia="Cambria" w:hAnsi="Cambria" w:cs="Cambria"/>
        </w:rPr>
        <w:t>, 115(506):1103–1120.</w:t>
      </w:r>
    </w:p>
    <w:p w:rsidR="00EE13F6" w:rsidRDefault="002E5BC4">
      <w:pPr>
        <w:spacing w:after="153" w:line="264" w:lineRule="auto"/>
        <w:ind w:left="227" w:right="477" w:hanging="218"/>
        <w:jc w:val="both"/>
      </w:pPr>
      <w:r>
        <w:rPr>
          <w:rFonts w:ascii="Cambria" w:eastAsia="Cambria" w:hAnsi="Cambria" w:cs="Cambria"/>
        </w:rPr>
        <w:t xml:space="preserve">Stiglitz, J. E. (1989). Using tax policy to curb speculative short-term trading. </w:t>
      </w:r>
      <w:r>
        <w:rPr>
          <w:rFonts w:ascii="Cambria" w:eastAsia="Cambria" w:hAnsi="Cambria" w:cs="Cambria"/>
          <w:i/>
        </w:rPr>
        <w:t>Journal of financial</w:t>
      </w:r>
      <w:r>
        <w:rPr>
          <w:rFonts w:ascii="Cambria" w:eastAsia="Cambria" w:hAnsi="Cambria" w:cs="Cambria"/>
          <w:i/>
        </w:rPr>
        <w:t xml:space="preserve"> services research</w:t>
      </w:r>
      <w:r>
        <w:rPr>
          <w:rFonts w:ascii="Cambria" w:eastAsia="Cambria" w:hAnsi="Cambria" w:cs="Cambria"/>
        </w:rPr>
        <w:t>, 3(2-3):101–115.</w:t>
      </w:r>
    </w:p>
    <w:p w:rsidR="00EE13F6" w:rsidRDefault="002E5BC4">
      <w:pPr>
        <w:spacing w:after="188" w:line="264" w:lineRule="auto"/>
        <w:ind w:left="227" w:right="477" w:hanging="218"/>
        <w:jc w:val="both"/>
      </w:pPr>
      <w:r>
        <w:rPr>
          <w:rFonts w:ascii="Cambria" w:eastAsia="Cambria" w:hAnsi="Cambria" w:cs="Cambria"/>
        </w:rPr>
        <w:t xml:space="preserve">Summers, L. H. and Summers, V. P. (1989). When financial markets work too well: a cautious case for a securities transactions tax. </w:t>
      </w:r>
      <w:r>
        <w:rPr>
          <w:rFonts w:ascii="Cambria" w:eastAsia="Cambria" w:hAnsi="Cambria" w:cs="Cambria"/>
          <w:i/>
        </w:rPr>
        <w:t>Journal of financial services research</w:t>
      </w:r>
      <w:r>
        <w:rPr>
          <w:rFonts w:ascii="Cambria" w:eastAsia="Cambria" w:hAnsi="Cambria" w:cs="Cambria"/>
        </w:rPr>
        <w:t>, 3(2-3):261–286.</w:t>
      </w:r>
    </w:p>
    <w:p w:rsidR="00EE13F6" w:rsidRDefault="002E5BC4">
      <w:pPr>
        <w:spacing w:after="196" w:line="261" w:lineRule="auto"/>
        <w:ind w:left="213" w:hanging="228"/>
      </w:pPr>
      <w:r>
        <w:rPr>
          <w:rFonts w:ascii="Cambria" w:eastAsia="Cambria" w:hAnsi="Cambria" w:cs="Cambria"/>
        </w:rPr>
        <w:t xml:space="preserve">Taleb, N. (2005). </w:t>
      </w:r>
      <w:r>
        <w:rPr>
          <w:rFonts w:ascii="Cambria" w:eastAsia="Cambria" w:hAnsi="Cambria" w:cs="Cambria"/>
          <w:i/>
        </w:rPr>
        <w:t>Fooled by rando</w:t>
      </w:r>
      <w:r>
        <w:rPr>
          <w:rFonts w:ascii="Cambria" w:eastAsia="Cambria" w:hAnsi="Cambria" w:cs="Cambria"/>
          <w:i/>
        </w:rPr>
        <w:t>mness: The hidden role of chance in life and in the markets</w:t>
      </w:r>
      <w:r>
        <w:rPr>
          <w:rFonts w:ascii="Cambria" w:eastAsia="Cambria" w:hAnsi="Cambria" w:cs="Cambria"/>
        </w:rPr>
        <w:t>, volume 1. Random House Incorporated.</w:t>
      </w:r>
    </w:p>
    <w:p w:rsidR="00EE13F6" w:rsidRDefault="002E5BC4">
      <w:pPr>
        <w:spacing w:after="180" w:line="264" w:lineRule="auto"/>
        <w:ind w:left="227" w:right="477" w:hanging="218"/>
        <w:jc w:val="both"/>
      </w:pPr>
      <w:r>
        <w:rPr>
          <w:rFonts w:ascii="Cambria" w:eastAsia="Cambria" w:hAnsi="Cambria" w:cs="Cambria"/>
        </w:rPr>
        <w:lastRenderedPageBreak/>
        <w:t>Tobin, J. (1978).</w:t>
      </w:r>
      <w:r>
        <w:rPr>
          <w:rFonts w:ascii="Cambria" w:eastAsia="Cambria" w:hAnsi="Cambria" w:cs="Cambria"/>
        </w:rPr>
        <w:tab/>
        <w:t>A proposal for international monetary reform.</w:t>
      </w:r>
      <w:r>
        <w:rPr>
          <w:rFonts w:ascii="Cambria" w:eastAsia="Cambria" w:hAnsi="Cambria" w:cs="Cambria"/>
        </w:rPr>
        <w:tab/>
      </w:r>
      <w:r>
        <w:rPr>
          <w:rFonts w:ascii="Cambria" w:eastAsia="Cambria" w:hAnsi="Cambria" w:cs="Cambria"/>
          <w:i/>
        </w:rPr>
        <w:t>Eastern economic journal</w:t>
      </w:r>
      <w:r>
        <w:rPr>
          <w:rFonts w:ascii="Cambria" w:eastAsia="Cambria" w:hAnsi="Cambria" w:cs="Cambria"/>
        </w:rPr>
        <w:t>, 4(3/4):153–159.</w:t>
      </w:r>
    </w:p>
    <w:p w:rsidR="00EE13F6" w:rsidRDefault="002E5BC4">
      <w:pPr>
        <w:spacing w:after="133" w:line="264" w:lineRule="auto"/>
        <w:ind w:left="227" w:right="477" w:hanging="218"/>
        <w:jc w:val="both"/>
      </w:pPr>
      <w:r>
        <w:rPr>
          <w:rFonts w:ascii="Cambria" w:eastAsia="Cambria" w:hAnsi="Cambria" w:cs="Cambria"/>
        </w:rPr>
        <w:t>Umlauf, S. R. (1993). Transaction taxes and the beha</w:t>
      </w:r>
      <w:r>
        <w:rPr>
          <w:rFonts w:ascii="Cambria" w:eastAsia="Cambria" w:hAnsi="Cambria" w:cs="Cambria"/>
        </w:rPr>
        <w:t xml:space="preserve">vior of the swedish stock market. </w:t>
      </w:r>
      <w:r>
        <w:rPr>
          <w:rFonts w:ascii="Cambria" w:eastAsia="Cambria" w:hAnsi="Cambria" w:cs="Cambria"/>
          <w:i/>
        </w:rPr>
        <w:t>Journal of Financial Economics</w:t>
      </w:r>
      <w:r>
        <w:rPr>
          <w:rFonts w:ascii="Cambria" w:eastAsia="Cambria" w:hAnsi="Cambria" w:cs="Cambria"/>
        </w:rPr>
        <w:t>, 33(2):227–240.</w:t>
      </w:r>
    </w:p>
    <w:p w:rsidR="00EE13F6" w:rsidRDefault="002E5BC4">
      <w:pPr>
        <w:spacing w:after="167" w:line="264" w:lineRule="auto"/>
        <w:ind w:left="227" w:right="477" w:hanging="218"/>
        <w:jc w:val="both"/>
      </w:pPr>
      <w:r>
        <w:rPr>
          <w:rFonts w:ascii="Cambria" w:eastAsia="Cambria" w:hAnsi="Cambria" w:cs="Cambria"/>
        </w:rPr>
        <w:t xml:space="preserve">Vasicek, O. KMV (Kealhofer, M. and Vasicek) (2012). Structural models in credit valuation. </w:t>
      </w:r>
      <w:r>
        <w:rPr>
          <w:rFonts w:ascii="Cambria" w:eastAsia="Cambria" w:hAnsi="Cambria" w:cs="Cambria"/>
          <w:i/>
        </w:rPr>
        <w:t>NYU Stern</w:t>
      </w:r>
      <w:r>
        <w:rPr>
          <w:rFonts w:ascii="Cambria" w:eastAsia="Cambria" w:hAnsi="Cambria" w:cs="Cambria"/>
        </w:rPr>
        <w:t>.</w:t>
      </w:r>
    </w:p>
    <w:p w:rsidR="00EE13F6" w:rsidRDefault="002E5BC4">
      <w:pPr>
        <w:spacing w:after="202" w:line="264" w:lineRule="auto"/>
        <w:ind w:left="227" w:right="477" w:hanging="218"/>
        <w:jc w:val="both"/>
      </w:pPr>
      <w:r>
        <w:rPr>
          <w:rFonts w:ascii="Cambria" w:eastAsia="Cambria" w:hAnsi="Cambria" w:cs="Cambria"/>
        </w:rPr>
        <w:t xml:space="preserve">Wang, G. and Yau, J. (2012). Would a financial transaction tax affect financial market activity? insights from future markets. </w:t>
      </w:r>
      <w:r>
        <w:rPr>
          <w:rFonts w:ascii="Cambria" w:eastAsia="Cambria" w:hAnsi="Cambria" w:cs="Cambria"/>
          <w:i/>
        </w:rPr>
        <w:t>Policy Analysis</w:t>
      </w:r>
      <w:r>
        <w:rPr>
          <w:rFonts w:ascii="Cambria" w:eastAsia="Cambria" w:hAnsi="Cambria" w:cs="Cambria"/>
        </w:rPr>
        <w:t>, (702).</w:t>
      </w:r>
    </w:p>
    <w:p w:rsidR="00EE13F6" w:rsidRDefault="002E5BC4">
      <w:pPr>
        <w:spacing w:after="133" w:line="264" w:lineRule="auto"/>
        <w:ind w:left="227" w:right="477" w:hanging="218"/>
        <w:jc w:val="both"/>
      </w:pPr>
      <w:r>
        <w:rPr>
          <w:rFonts w:ascii="Cambria" w:eastAsia="Cambria" w:hAnsi="Cambria" w:cs="Cambria"/>
        </w:rPr>
        <w:t>Westerholm, P. (2003). The impact of transaction costs on turnover, asset prices and volatility: the case</w:t>
      </w:r>
      <w:r>
        <w:rPr>
          <w:rFonts w:ascii="Cambria" w:eastAsia="Cambria" w:hAnsi="Cambria" w:cs="Cambria"/>
        </w:rPr>
        <w:t xml:space="preserve">s of sweden’s and finland’s security transaction tax reductions. </w:t>
      </w:r>
      <w:r>
        <w:rPr>
          <w:rFonts w:ascii="Cambria" w:eastAsia="Cambria" w:hAnsi="Cambria" w:cs="Cambria"/>
          <w:i/>
        </w:rPr>
        <w:t>Liiketaloudellinen Aikakauskirja</w:t>
      </w:r>
      <w:r>
        <w:rPr>
          <w:rFonts w:ascii="Cambria" w:eastAsia="Cambria" w:hAnsi="Cambria" w:cs="Cambria"/>
        </w:rPr>
        <w:t>, pages 213–241.</w:t>
      </w:r>
      <w:r>
        <w:br w:type="page"/>
      </w:r>
    </w:p>
    <w:p w:rsidR="00EE13F6" w:rsidRDefault="002E5BC4">
      <w:pPr>
        <w:spacing w:after="0" w:line="264" w:lineRule="auto"/>
        <w:ind w:left="202"/>
      </w:pPr>
      <w:r>
        <w:rPr>
          <w:rFonts w:ascii="Cambria" w:eastAsia="Cambria" w:hAnsi="Cambria" w:cs="Cambria"/>
          <w:sz w:val="34"/>
        </w:rPr>
        <w:lastRenderedPageBreak/>
        <w:t>Chapter II: Study of The Effect of the EU Financial Transaction</w:t>
      </w:r>
    </w:p>
    <w:p w:rsidR="00EE13F6" w:rsidRDefault="002E5BC4">
      <w:pPr>
        <w:spacing w:after="371" w:line="264" w:lineRule="auto"/>
        <w:ind w:left="4127" w:hanging="3925"/>
      </w:pPr>
      <w:r>
        <w:rPr>
          <w:rFonts w:ascii="Cambria" w:eastAsia="Cambria" w:hAnsi="Cambria" w:cs="Cambria"/>
          <w:sz w:val="34"/>
        </w:rPr>
        <w:t xml:space="preserve">Tax on The Corporate Cost of Capital and The Corporate Bond Market </w:t>
      </w:r>
      <w:r>
        <w:rPr>
          <w:rFonts w:ascii="Cambria" w:eastAsia="Cambria" w:hAnsi="Cambria" w:cs="Cambria"/>
          <w:sz w:val="34"/>
          <w:vertAlign w:val="superscript"/>
        </w:rPr>
        <w:t>∗</w:t>
      </w:r>
    </w:p>
    <w:p w:rsidR="00EE13F6" w:rsidRDefault="002E5BC4">
      <w:pPr>
        <w:spacing w:after="15" w:line="265" w:lineRule="auto"/>
        <w:ind w:left="11" w:right="408" w:hanging="10"/>
        <w:jc w:val="center"/>
      </w:pPr>
      <w:r>
        <w:rPr>
          <w:rFonts w:ascii="Cambria" w:eastAsia="Cambria" w:hAnsi="Cambria" w:cs="Cambria"/>
          <w:sz w:val="24"/>
        </w:rPr>
        <w:t>Jean Pierre Fraichot</w:t>
      </w:r>
      <w:r>
        <w:rPr>
          <w:rFonts w:ascii="Cambria" w:eastAsia="Cambria" w:hAnsi="Cambria" w:cs="Cambria"/>
          <w:sz w:val="24"/>
          <w:vertAlign w:val="superscript"/>
        </w:rPr>
        <w:t>†</w:t>
      </w:r>
    </w:p>
    <w:p w:rsidR="00EE13F6" w:rsidRDefault="002E5BC4">
      <w:pPr>
        <w:spacing w:after="350" w:line="265" w:lineRule="auto"/>
        <w:ind w:left="10" w:right="483" w:hanging="10"/>
        <w:jc w:val="center"/>
      </w:pPr>
      <w:r>
        <w:rPr>
          <w:rFonts w:ascii="Cambria" w:eastAsia="Cambria" w:hAnsi="Cambria" w:cs="Cambria"/>
        </w:rPr>
        <w:t>LEDa, U. Paris Dauphine, PSL Research University</w:t>
      </w:r>
    </w:p>
    <w:p w:rsidR="00EE13F6" w:rsidRDefault="002E5BC4">
      <w:pPr>
        <w:spacing w:after="878" w:line="265" w:lineRule="auto"/>
        <w:ind w:left="11" w:right="484" w:hanging="10"/>
        <w:jc w:val="center"/>
      </w:pPr>
      <w:r>
        <w:rPr>
          <w:rFonts w:ascii="Cambria" w:eastAsia="Cambria" w:hAnsi="Cambria" w:cs="Cambria"/>
          <w:sz w:val="24"/>
        </w:rPr>
        <w:t>November 13, 2018</w:t>
      </w:r>
    </w:p>
    <w:p w:rsidR="00EE13F6" w:rsidRDefault="002E5BC4">
      <w:pPr>
        <w:pStyle w:val="Heading2"/>
        <w:spacing w:after="194" w:line="259" w:lineRule="auto"/>
        <w:ind w:left="0" w:right="483" w:firstLine="0"/>
        <w:jc w:val="center"/>
      </w:pPr>
      <w:r>
        <w:rPr>
          <w:sz w:val="20"/>
        </w:rPr>
        <w:t>Abstract</w:t>
      </w:r>
    </w:p>
    <w:p w:rsidR="00EE13F6" w:rsidRDefault="002E5BC4">
      <w:pPr>
        <w:spacing w:after="3" w:line="252" w:lineRule="auto"/>
        <w:ind w:left="530" w:right="1014" w:firstLine="289"/>
        <w:jc w:val="both"/>
      </w:pPr>
      <w:r>
        <w:rPr>
          <w:rFonts w:ascii="Cambria" w:eastAsia="Cambria" w:hAnsi="Cambria" w:cs="Cambria"/>
          <w:sz w:val="20"/>
        </w:rPr>
        <w:t>We study the impact of a Financial Transaction Tax (FTT) on the corporate cost of capital through the possible impact of the FTT on the corporate bond market. Our new approach which has not be considered so far, according to our review of the literature, c</w:t>
      </w:r>
      <w:r>
        <w:rPr>
          <w:rFonts w:ascii="Cambria" w:eastAsia="Cambria" w:hAnsi="Cambria" w:cs="Cambria"/>
          <w:sz w:val="20"/>
        </w:rPr>
        <w:t>onsiders the measure of the FTT impact using the concept of capital structure arbitrage at corporate firm level in the presence of transaction costs.</w:t>
      </w:r>
    </w:p>
    <w:p w:rsidR="00EE13F6" w:rsidRDefault="002E5BC4">
      <w:pPr>
        <w:spacing w:after="3" w:line="252" w:lineRule="auto"/>
        <w:ind w:left="530" w:right="1014" w:firstLine="289"/>
        <w:jc w:val="both"/>
      </w:pPr>
      <w:r>
        <w:rPr>
          <w:rFonts w:ascii="Cambria" w:eastAsia="Cambria" w:hAnsi="Cambria" w:cs="Cambria"/>
          <w:sz w:val="20"/>
        </w:rPr>
        <w:t>Corporate firms willing to raise capital by issuing corporate bonds on the primary market, have to compens</w:t>
      </w:r>
      <w:r>
        <w:rPr>
          <w:rFonts w:ascii="Cambria" w:eastAsia="Cambria" w:hAnsi="Cambria" w:cs="Cambria"/>
          <w:sz w:val="20"/>
        </w:rPr>
        <w:t>ate investors against the potential firm’s default on its credit obligations. This is usually done by issuing corporate bonds at a discount when compared to ”credit risk free” bonds (usually government bonds of the G-7 group of wealthiest countries). The d</w:t>
      </w:r>
      <w:r>
        <w:rPr>
          <w:rFonts w:ascii="Cambria" w:eastAsia="Cambria" w:hAnsi="Cambria" w:cs="Cambria"/>
          <w:sz w:val="20"/>
        </w:rPr>
        <w:t>iscount is in fact equivalent, to the value of a Credit Default Swap (CDS) allowing the corporate bond investor to buy protection against the firm’s default. The CDS can itself be hedged by an American put equity option allowing to sell the share at a rese</w:t>
      </w:r>
      <w:r>
        <w:rPr>
          <w:rFonts w:ascii="Cambria" w:eastAsia="Cambria" w:hAnsi="Cambria" w:cs="Cambria"/>
          <w:sz w:val="20"/>
        </w:rPr>
        <w:t>rvation price. As the share price will tend to zero in case of bankruptcy, bond holders can recover the amount of debt in excess of the assets by exercising this put. This put can also be replicated through a portfolio consisting of shares and cash. In bot</w:t>
      </w:r>
      <w:r>
        <w:rPr>
          <w:rFonts w:ascii="Cambria" w:eastAsia="Cambria" w:hAnsi="Cambria" w:cs="Cambria"/>
          <w:sz w:val="20"/>
        </w:rPr>
        <w:t>h cases, the chain of those hedging operations constitutes a Capital Structure Arbitrage, where bond investors can buy equity derivatives or sell equity positions to hedge against the credit default.</w:t>
      </w:r>
    </w:p>
    <w:p w:rsidR="00EE13F6" w:rsidRDefault="002E5BC4">
      <w:pPr>
        <w:spacing w:after="3" w:line="252" w:lineRule="auto"/>
        <w:ind w:left="530" w:right="1014" w:firstLine="289"/>
        <w:jc w:val="both"/>
      </w:pPr>
      <w:r>
        <w:rPr>
          <w:rFonts w:ascii="Cambria" w:eastAsia="Cambria" w:hAnsi="Cambria" w:cs="Cambria"/>
          <w:sz w:val="20"/>
        </w:rPr>
        <w:t xml:space="preserve">Because the corporations are borrowing money, they have </w:t>
      </w:r>
      <w:r>
        <w:rPr>
          <w:rFonts w:ascii="Cambria" w:eastAsia="Cambria" w:hAnsi="Cambria" w:cs="Cambria"/>
          <w:sz w:val="20"/>
        </w:rPr>
        <w:t xml:space="preserve">then to compensate bond holders by a premium allowing them to buy a put option from an option market-maker, or to replicate the put option with a hedging portfolio. Thus, corporate firms find themselves on the worst side of the bid-ask quotation interval. </w:t>
      </w:r>
      <w:r>
        <w:rPr>
          <w:rFonts w:ascii="Cambria" w:eastAsia="Cambria" w:hAnsi="Cambria" w:cs="Cambria"/>
          <w:sz w:val="20"/>
        </w:rPr>
        <w:t xml:space="preserve">The market-maker selling the relevant option has to factor, in its selling price, the cascading effects of the FTT on its replication portfolio. Corporations will then support the possible increase in the asking price of the equity share price volatility, </w:t>
      </w:r>
      <w:r>
        <w:rPr>
          <w:rFonts w:ascii="Cambria" w:eastAsia="Cambria" w:hAnsi="Cambria" w:cs="Cambria"/>
          <w:sz w:val="20"/>
        </w:rPr>
        <w:t>triggered by the introduction of the FTT.</w:t>
      </w:r>
    </w:p>
    <w:p w:rsidR="00EE13F6" w:rsidRDefault="002E5BC4">
      <w:pPr>
        <w:spacing w:after="3" w:line="252" w:lineRule="auto"/>
        <w:ind w:left="530" w:right="1014" w:firstLine="289"/>
        <w:jc w:val="both"/>
      </w:pPr>
      <w:r>
        <w:rPr>
          <w:rFonts w:ascii="Cambria" w:eastAsia="Cambria" w:hAnsi="Cambria" w:cs="Cambria"/>
          <w:sz w:val="20"/>
        </w:rPr>
        <w:t xml:space="preserve">Furthermore, because the bond maturities are generally greater than the option maturities, it happens that the option market to consider is quite illiquid. This is particularly the case for deep ”out of the money” </w:t>
      </w:r>
      <w:r>
        <w:rPr>
          <w:rFonts w:ascii="Cambria" w:eastAsia="Cambria" w:hAnsi="Cambria" w:cs="Cambria"/>
          <w:sz w:val="20"/>
        </w:rPr>
        <w:t>put options which should be privileged by the investors because of their low costs. Then according to the results of chapter I, the impact on the implied volatility</w:t>
      </w:r>
    </w:p>
    <w:p w:rsidR="00EE13F6" w:rsidRDefault="002E5BC4">
      <w:pPr>
        <w:spacing w:after="43"/>
      </w:pPr>
      <w:r>
        <w:rPr>
          <w:noProof/>
        </w:rPr>
        <mc:AlternateContent>
          <mc:Choice Requires="wpg">
            <w:drawing>
              <wp:inline distT="0" distB="0" distL="0" distR="0">
                <wp:extent cx="2377402" cy="5055"/>
                <wp:effectExtent l="0" t="0" r="0" b="0"/>
                <wp:docPr id="182443" name="Group 182443"/>
                <wp:cNvGraphicFramePr/>
                <a:graphic xmlns:a="http://schemas.openxmlformats.org/drawingml/2006/main">
                  <a:graphicData uri="http://schemas.microsoft.com/office/word/2010/wordprocessingGroup">
                    <wpg:wgp>
                      <wpg:cNvGrpSpPr/>
                      <wpg:grpSpPr>
                        <a:xfrm>
                          <a:off x="0" y="0"/>
                          <a:ext cx="2377402" cy="5055"/>
                          <a:chOff x="0" y="0"/>
                          <a:chExt cx="2377402" cy="5055"/>
                        </a:xfrm>
                      </wpg:grpSpPr>
                      <wps:wsp>
                        <wps:cNvPr id="11784" name="Shape 11784"/>
                        <wps:cNvSpPr/>
                        <wps:spPr>
                          <a:xfrm>
                            <a:off x="0" y="0"/>
                            <a:ext cx="2377402" cy="0"/>
                          </a:xfrm>
                          <a:custGeom>
                            <a:avLst/>
                            <a:gdLst/>
                            <a:ahLst/>
                            <a:cxnLst/>
                            <a:rect l="0" t="0" r="0" b="0"/>
                            <a:pathLst>
                              <a:path w="2377402">
                                <a:moveTo>
                                  <a:pt x="0" y="0"/>
                                </a:moveTo>
                                <a:lnTo>
                                  <a:pt x="237740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5D6575" id="Group 182443" o:spid="_x0000_s1026" style="width:187.2pt;height:.4pt;mso-position-horizontal-relative:char;mso-position-vertical-relative:line" coordsize="237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">
                <v:shape id="Shape 11784" o:spid="_x0000_s1027" style="position:absolute;width:23774;height:0;visibility:visible;mso-wrap-style:square;v-text-anchor:top" coordsize="2377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MYA&#10;AADeAAAADwAAAGRycy9kb3ducmV2LnhtbERP32vCMBB+F/Y/hBP2Ipo6xlaqUaYgjDGFOVF8O5tr&#10;U2wupcm0++/NYODbfXw/bzrvbC0u1PrKsYLxKAFBnDtdcalg970apiB8QNZYOyYFv+RhPnvoTTHT&#10;7spfdNmGUsQQ9hkqMCE0mZQ+N2TRj1xDHLnCtRZDhG0pdYvXGG5r+ZQkL9JixbHBYENLQ/l5+2MV&#10;nDf7j6JIFwtz+lzjsWsGg/ywUeqx371NQATqwl38737Xcf74NX2Gv3fiD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nMYAAADeAAAADwAAAAAAAAAAAAAAAACYAgAAZHJz&#10;L2Rvd25yZXYueG1sUEsFBgAAAAAEAAQA9QAAAIsDAAAAAA==&#10;" path="m,l2377402,e" filled="f" strokeweight=".14042mm">
                  <v:stroke miterlimit="83231f" joinstyle="miter"/>
                  <v:path arrowok="t" textboxrect="0,0,2377402,0"/>
                </v:shape>
                <w10:anchorlock/>
              </v:group>
            </w:pict>
          </mc:Fallback>
        </mc:AlternateContent>
      </w:r>
    </w:p>
    <w:p w:rsidR="00EE13F6" w:rsidRDefault="002E5BC4">
      <w:pPr>
        <w:spacing w:after="0"/>
        <w:ind w:left="248" w:hanging="10"/>
      </w:pPr>
      <w:r>
        <w:rPr>
          <w:rFonts w:ascii="Cambria" w:eastAsia="Cambria" w:hAnsi="Cambria" w:cs="Cambria"/>
          <w:sz w:val="12"/>
        </w:rPr>
        <w:t>∗</w:t>
      </w:r>
    </w:p>
    <w:p w:rsidR="00EE13F6" w:rsidRDefault="002E5BC4">
      <w:pPr>
        <w:spacing w:after="5" w:line="254" w:lineRule="auto"/>
        <w:ind w:left="-15" w:firstLine="332"/>
      </w:pPr>
      <w:r>
        <w:rPr>
          <w:rFonts w:ascii="Cambria" w:eastAsia="Cambria" w:hAnsi="Cambria" w:cs="Cambria"/>
          <w:sz w:val="18"/>
        </w:rPr>
        <w:t>I thank Martine Carr´e-Tallon, Ren´e A¨ıd, Jeroˆme Mathis and participants to Doctorant</w:t>
      </w:r>
      <w:r>
        <w:rPr>
          <w:rFonts w:ascii="Cambria" w:eastAsia="Cambria" w:hAnsi="Cambria" w:cs="Cambria"/>
          <w:sz w:val="18"/>
        </w:rPr>
        <w:t>s Workshop (Paris Dauphine, June 2016) for useful comments.</w:t>
      </w:r>
    </w:p>
    <w:p w:rsidR="00EE13F6" w:rsidRDefault="002E5BC4">
      <w:pPr>
        <w:spacing w:after="0"/>
        <w:ind w:left="248" w:hanging="10"/>
      </w:pPr>
      <w:r>
        <w:rPr>
          <w:rFonts w:ascii="Cambria" w:eastAsia="Cambria" w:hAnsi="Cambria" w:cs="Cambria"/>
          <w:sz w:val="12"/>
        </w:rPr>
        <w:t>†</w:t>
      </w:r>
    </w:p>
    <w:p w:rsidR="00EE13F6" w:rsidRDefault="002E5BC4">
      <w:pPr>
        <w:spacing w:after="18"/>
        <w:ind w:left="10" w:right="468" w:hanging="10"/>
        <w:jc w:val="right"/>
      </w:pPr>
      <w:r>
        <w:rPr>
          <w:rFonts w:ascii="Cambria" w:eastAsia="Cambria" w:hAnsi="Cambria" w:cs="Cambria"/>
          <w:sz w:val="18"/>
        </w:rPr>
        <w:t>Address: Universit´e Paris-Dauphine, PSL Research University, LEDa, Place du Mar´echal de Lattre de Tassigny,</w:t>
      </w:r>
    </w:p>
    <w:p w:rsidR="00EE13F6" w:rsidRDefault="002E5BC4">
      <w:pPr>
        <w:spacing w:after="5" w:line="254" w:lineRule="auto"/>
        <w:ind w:left="-5" w:hanging="10"/>
      </w:pPr>
      <w:r>
        <w:rPr>
          <w:rFonts w:ascii="Cambria" w:eastAsia="Cambria" w:hAnsi="Cambria" w:cs="Cambria"/>
          <w:sz w:val="18"/>
        </w:rPr>
        <w:t xml:space="preserve">75775 Paris Cedex 16, France. E-mail: </w:t>
      </w:r>
      <w:r>
        <w:rPr>
          <w:sz w:val="18"/>
        </w:rPr>
        <w:t>fraichot@yahoo.com</w:t>
      </w:r>
    </w:p>
    <w:p w:rsidR="00EE13F6" w:rsidRDefault="002E5BC4">
      <w:pPr>
        <w:spacing w:after="3" w:line="252" w:lineRule="auto"/>
        <w:ind w:left="530" w:right="1014"/>
        <w:jc w:val="both"/>
      </w:pPr>
      <w:r>
        <w:rPr>
          <w:rFonts w:ascii="Cambria" w:eastAsia="Cambria" w:hAnsi="Cambria" w:cs="Cambria"/>
          <w:sz w:val="20"/>
        </w:rPr>
        <w:t>of options sold, is maximal</w:t>
      </w:r>
      <w:r>
        <w:rPr>
          <w:rFonts w:ascii="Cambria" w:eastAsia="Cambria" w:hAnsi="Cambria" w:cs="Cambria"/>
          <w:sz w:val="20"/>
        </w:rPr>
        <w:t xml:space="preserve"> and corresponds to the case of the ”frozen inventory” described in chapter I.</w:t>
      </w:r>
    </w:p>
    <w:p w:rsidR="00EE13F6" w:rsidRDefault="002E5BC4">
      <w:pPr>
        <w:spacing w:after="3" w:line="252" w:lineRule="auto"/>
        <w:ind w:left="530" w:right="1014" w:firstLine="289"/>
        <w:jc w:val="both"/>
      </w:pPr>
      <w:r>
        <w:rPr>
          <w:rFonts w:ascii="Cambria" w:eastAsia="Cambria" w:hAnsi="Cambria" w:cs="Cambria"/>
          <w:sz w:val="20"/>
        </w:rPr>
        <w:lastRenderedPageBreak/>
        <w:t>In the worst case of illiquidity where no market-makers exist for such underlying cash instruments and maturities, the investor would have to improvise itself has an option mark</w:t>
      </w:r>
      <w:r>
        <w:rPr>
          <w:rFonts w:ascii="Cambria" w:eastAsia="Cambria" w:hAnsi="Cambria" w:cs="Cambria"/>
          <w:sz w:val="20"/>
        </w:rPr>
        <w:t>et-maker, building up a replication portfolio and bearing the costs generated by the FTT, equivalent to the ones it would support for a ”frozen Inventory”.</w:t>
      </w:r>
    </w:p>
    <w:p w:rsidR="00EE13F6" w:rsidRDefault="002E5BC4">
      <w:pPr>
        <w:spacing w:after="3" w:line="252" w:lineRule="auto"/>
        <w:ind w:left="530" w:right="1014" w:firstLine="289"/>
        <w:jc w:val="both"/>
      </w:pPr>
      <w:r>
        <w:rPr>
          <w:rFonts w:ascii="Cambria" w:eastAsia="Cambria" w:hAnsi="Cambria" w:cs="Cambria"/>
          <w:sz w:val="20"/>
        </w:rPr>
        <w:t>Consequently, we derive the FTT impact on the Credit Derivatives market, by mimicking a capital stru</w:t>
      </w:r>
      <w:r>
        <w:rPr>
          <w:rFonts w:ascii="Cambria" w:eastAsia="Cambria" w:hAnsi="Cambria" w:cs="Cambria"/>
          <w:sz w:val="20"/>
        </w:rPr>
        <w:t>cture arbitrage program which consists of hedging the credit risk by either a put option or selling shares. We consider a structural model of corporate’s default, based upon the results of the literature, and the practice of credit derivatives Capital mark</w:t>
      </w:r>
      <w:r>
        <w:rPr>
          <w:rFonts w:ascii="Cambria" w:eastAsia="Cambria" w:hAnsi="Cambria" w:cs="Cambria"/>
          <w:sz w:val="20"/>
        </w:rPr>
        <w:t>ets. In this framework, the corporation default is triggered by the level of the assets falling below a predetermined threshold. This threshold is based upon the level of the outstanding debt. The corporation default probability increases with the asset vo</w:t>
      </w:r>
      <w:r>
        <w:rPr>
          <w:rFonts w:ascii="Cambria" w:eastAsia="Cambria" w:hAnsi="Cambria" w:cs="Cambria"/>
          <w:sz w:val="20"/>
        </w:rPr>
        <w:t>latility, which can be itself derived from the equity share price volatility.</w:t>
      </w:r>
    </w:p>
    <w:p w:rsidR="00EE13F6" w:rsidRDefault="002E5BC4">
      <w:pPr>
        <w:spacing w:after="3" w:line="252" w:lineRule="auto"/>
        <w:ind w:left="530" w:right="1014" w:firstLine="289"/>
        <w:jc w:val="both"/>
      </w:pPr>
      <w:r>
        <w:rPr>
          <w:rFonts w:ascii="Cambria" w:eastAsia="Cambria" w:hAnsi="Cambria" w:cs="Cambria"/>
          <w:sz w:val="20"/>
        </w:rPr>
        <w:t>We use the results of chapter I about the cascading effects of the FTT and the subsequent increase in the asking price of the implied volatility for options. We first consider an oversimplified structural model such as the Merton model, which belongs to th</w:t>
      </w:r>
      <w:r>
        <w:rPr>
          <w:rFonts w:ascii="Cambria" w:eastAsia="Cambria" w:hAnsi="Cambria" w:cs="Cambria"/>
          <w:sz w:val="20"/>
        </w:rPr>
        <w:t xml:space="preserve">e first generation of structural models. Sampling 3 European corporations, we first evidence that even the calibration to capital markets data of would predict an increase in the capital costs amounting to a multiple of what is currently considered by the </w:t>
      </w:r>
      <w:r>
        <w:rPr>
          <w:rFonts w:ascii="Cambria" w:eastAsia="Cambria" w:hAnsi="Cambria" w:cs="Cambria"/>
          <w:sz w:val="20"/>
        </w:rPr>
        <w:t>EEC so far, as the real impact (9 bp).</w:t>
      </w:r>
    </w:p>
    <w:p w:rsidR="00EE13F6" w:rsidRDefault="002E5BC4">
      <w:pPr>
        <w:spacing w:after="3" w:line="252" w:lineRule="auto"/>
        <w:ind w:left="530" w:right="1014" w:firstLine="289"/>
        <w:jc w:val="both"/>
      </w:pPr>
      <w:r>
        <w:rPr>
          <w:rFonts w:ascii="Cambria" w:eastAsia="Cambria" w:hAnsi="Cambria" w:cs="Cambria"/>
          <w:sz w:val="20"/>
        </w:rPr>
        <w:t xml:space="preserve">We then consider, CreditGrades </w:t>
      </w:r>
      <w:r>
        <w:rPr>
          <w:rFonts w:ascii="Cambria" w:eastAsia="Cambria" w:hAnsi="Cambria" w:cs="Cambria"/>
          <w:sz w:val="14"/>
        </w:rPr>
        <w:t xml:space="preserve">R </w:t>
      </w:r>
      <w:r>
        <w:rPr>
          <w:rFonts w:ascii="Cambria" w:eastAsia="Cambria" w:hAnsi="Cambria" w:cs="Cambria"/>
          <w:sz w:val="20"/>
        </w:rPr>
        <w:t>the ”best of breed” structural model used extensively on today’s capital markets, and introduced by JP. MORGAN in 2002. This model is based on a version of the Black-Cox structural mod</w:t>
      </w:r>
      <w:r>
        <w:rPr>
          <w:rFonts w:ascii="Cambria" w:eastAsia="Cambria" w:hAnsi="Cambria" w:cs="Cambria"/>
          <w:sz w:val="20"/>
        </w:rPr>
        <w:t>el which extends and completes the original Merton model. This model, now a market standard, has the advantage of being an ”Off-the-Shelf” product, and calculation engines are easily available.</w:t>
      </w:r>
    </w:p>
    <w:p w:rsidR="00EE13F6" w:rsidRDefault="002E5BC4">
      <w:pPr>
        <w:spacing w:after="3" w:line="252" w:lineRule="auto"/>
        <w:ind w:left="530" w:right="1014" w:firstLine="289"/>
        <w:jc w:val="both"/>
      </w:pPr>
      <w:r>
        <w:rPr>
          <w:rFonts w:ascii="Cambria" w:eastAsia="Cambria" w:hAnsi="Cambria" w:cs="Cambria"/>
          <w:sz w:val="20"/>
        </w:rPr>
        <w:t>We apply and calibrate this model to a sample of 6 European co</w:t>
      </w:r>
      <w:r>
        <w:rPr>
          <w:rFonts w:ascii="Cambria" w:eastAsia="Cambria" w:hAnsi="Cambria" w:cs="Cambria"/>
          <w:sz w:val="20"/>
        </w:rPr>
        <w:t>rporations which extends the sample of 3 corporations we used for the calibration of Merton model. The corporations sampled consist of 3 industrial and 3 financial companies.The calibration is done by observing, for each corporation, the implied volatility</w:t>
      </w:r>
      <w:r>
        <w:rPr>
          <w:rFonts w:ascii="Cambria" w:eastAsia="Cambria" w:hAnsi="Cambria" w:cs="Cambria"/>
          <w:sz w:val="20"/>
        </w:rPr>
        <w:t xml:space="preserve"> levels of the corporation’s assets and the implied volatility of the equity share price, which result from the inversion of the model using the credit spreads observed on the CDS market. The impact of hedging a replication portfolio is then assessed using</w:t>
      </w:r>
      <w:r>
        <w:rPr>
          <w:rFonts w:ascii="Cambria" w:eastAsia="Cambria" w:hAnsi="Cambria" w:cs="Cambria"/>
          <w:sz w:val="20"/>
        </w:rPr>
        <w:t xml:space="preserve"> the results of Chapter I. Then the initial asset volatility and the new asset volatility after the introduction of the FTT are derived from the equity share price volatility using the corporation’s capital structure (balance sheet). The reapplication of t</w:t>
      </w:r>
      <w:r>
        <w:rPr>
          <w:rFonts w:ascii="Cambria" w:eastAsia="Cambria" w:hAnsi="Cambria" w:cs="Cambria"/>
          <w:sz w:val="20"/>
        </w:rPr>
        <w:t>he model gives then the increased credit spread generated by the introduction of the FTT.</w:t>
      </w:r>
    </w:p>
    <w:p w:rsidR="00EE13F6" w:rsidRDefault="002E5BC4">
      <w:pPr>
        <w:spacing w:after="3" w:line="252" w:lineRule="auto"/>
        <w:ind w:left="530" w:right="1014" w:firstLine="289"/>
        <w:jc w:val="both"/>
      </w:pPr>
      <w:r>
        <w:rPr>
          <w:rFonts w:ascii="Cambria" w:eastAsia="Cambria" w:hAnsi="Cambria" w:cs="Cambria"/>
          <w:sz w:val="20"/>
        </w:rPr>
        <w:t>We show that the FTT introduction increases corporate credit spreads by up to 60 percent, and affects more the industrial sector than financial institutions. For an i</w:t>
      </w:r>
      <w:r>
        <w:rPr>
          <w:rFonts w:ascii="Cambria" w:eastAsia="Cambria" w:hAnsi="Cambria" w:cs="Cambria"/>
          <w:sz w:val="20"/>
        </w:rPr>
        <w:t>ndustrial corporation with a 5 year CDS initial spread of 343 basis points per annum, we find an increase of 174 basis points. On this sample, the impact we find is between 5 and 20 times higher than the one computed in a study realized for the EU authorit</w:t>
      </w:r>
      <w:r>
        <w:rPr>
          <w:rFonts w:ascii="Cambria" w:eastAsia="Cambria" w:hAnsi="Cambria" w:cs="Cambria"/>
          <w:sz w:val="20"/>
        </w:rPr>
        <w:t>iesLendvai et al. (2012).</w:t>
      </w:r>
    </w:p>
    <w:p w:rsidR="00EE13F6" w:rsidRDefault="002E5BC4">
      <w:pPr>
        <w:spacing w:after="3" w:line="252" w:lineRule="auto"/>
        <w:ind w:left="530" w:right="1014" w:firstLine="289"/>
        <w:jc w:val="both"/>
      </w:pPr>
      <w:r>
        <w:rPr>
          <w:rFonts w:ascii="Cambria" w:eastAsia="Cambria" w:hAnsi="Cambria" w:cs="Cambria"/>
          <w:sz w:val="20"/>
        </w:rPr>
        <w:t xml:space="preserve">Credit Spread increase generates a price drop in corporate bond prices which is balance sheet specific and increases with the corporate bond tenor. For corporate bonds with a 15 year tenor, the price impact ranges between 3.8 and </w:t>
      </w:r>
      <w:r>
        <w:rPr>
          <w:rFonts w:ascii="Cambria" w:eastAsia="Cambria" w:hAnsi="Cambria" w:cs="Cambria"/>
          <w:sz w:val="20"/>
        </w:rPr>
        <w:t>45 percent.</w:t>
      </w:r>
    </w:p>
    <w:p w:rsidR="00EE13F6" w:rsidRDefault="002E5BC4">
      <w:pPr>
        <w:spacing w:after="301" w:line="252" w:lineRule="auto"/>
        <w:ind w:left="530" w:right="1014" w:firstLine="289"/>
        <w:jc w:val="both"/>
      </w:pPr>
      <w:r>
        <w:rPr>
          <w:rFonts w:ascii="Cambria" w:eastAsia="Cambria" w:hAnsi="Cambria" w:cs="Cambria"/>
          <w:sz w:val="20"/>
        </w:rPr>
        <w:t xml:space="preserve">From an economic policy standpoint, results evidence that the FTT effect will bear heavily on the high yield corporate bond market. The magnitude particularly heavy for industrial firms, suggests that even if the FTT is introduced in all EEC countries, at </w:t>
      </w:r>
      <w:r>
        <w:rPr>
          <w:rFonts w:ascii="Cambria" w:eastAsia="Cambria" w:hAnsi="Cambria" w:cs="Cambria"/>
          <w:sz w:val="20"/>
        </w:rPr>
        <w:t>the same time, and targets financial institutions, its effects go well beyond the EEC borders. For instance, considering the case of ”Arcelor Mittal” corporation, a well known steel mill, the potential drop in its bond price would literally impeach this co</w:t>
      </w:r>
      <w:r>
        <w:rPr>
          <w:rFonts w:ascii="Cambria" w:eastAsia="Cambria" w:hAnsi="Cambria" w:cs="Cambria"/>
          <w:sz w:val="20"/>
        </w:rPr>
        <w:t>mpany to find competitive financing, and could even drive this company into default. This would create a strong distortion in competitiveness as the company’s main competitors are outside the EEC.</w:t>
      </w:r>
    </w:p>
    <w:p w:rsidR="00EE13F6" w:rsidRDefault="002E5BC4">
      <w:pPr>
        <w:spacing w:after="3" w:line="252" w:lineRule="auto"/>
        <w:ind w:left="530" w:right="1014"/>
        <w:jc w:val="both"/>
      </w:pPr>
      <w:r>
        <w:rPr>
          <w:rFonts w:ascii="Cambria" w:eastAsia="Cambria" w:hAnsi="Cambria" w:cs="Cambria"/>
          <w:b/>
          <w:sz w:val="20"/>
        </w:rPr>
        <w:t xml:space="preserve">Keywords: </w:t>
      </w:r>
      <w:r>
        <w:rPr>
          <w:rFonts w:ascii="Cambria" w:eastAsia="Cambria" w:hAnsi="Cambria" w:cs="Cambria"/>
          <w:sz w:val="20"/>
        </w:rPr>
        <w:t>Tax reform, options, volatility, liquidity, credi</w:t>
      </w:r>
      <w:r>
        <w:rPr>
          <w:rFonts w:ascii="Cambria" w:eastAsia="Cambria" w:hAnsi="Cambria" w:cs="Cambria"/>
          <w:sz w:val="20"/>
        </w:rPr>
        <w:t>t spread</w:t>
      </w:r>
    </w:p>
    <w:p w:rsidR="00EE13F6" w:rsidRDefault="002E5BC4">
      <w:pPr>
        <w:spacing w:after="0"/>
        <w:ind w:left="545"/>
      </w:pPr>
      <w:r>
        <w:rPr>
          <w:rFonts w:ascii="Cambria" w:eastAsia="Cambria" w:hAnsi="Cambria" w:cs="Cambria"/>
          <w:b/>
          <w:sz w:val="20"/>
        </w:rPr>
        <w:t>JEL Classifications: G02,G11,G12,H22,H39</w:t>
      </w:r>
    </w:p>
    <w:p w:rsidR="00EE13F6" w:rsidRDefault="002E5BC4">
      <w:pPr>
        <w:pStyle w:val="Heading1"/>
        <w:spacing w:after="279"/>
        <w:ind w:left="-5" w:hanging="10"/>
      </w:pPr>
      <w:r>
        <w:lastRenderedPageBreak/>
        <w:t>Introduction</w:t>
      </w:r>
    </w:p>
    <w:p w:rsidR="00EE13F6" w:rsidRDefault="002E5BC4">
      <w:pPr>
        <w:spacing w:after="130" w:line="264" w:lineRule="auto"/>
        <w:ind w:left="-5" w:right="468" w:hanging="10"/>
        <w:jc w:val="both"/>
      </w:pPr>
      <w:r>
        <w:rPr>
          <w:rFonts w:ascii="Cambria" w:eastAsia="Cambria" w:hAnsi="Cambria" w:cs="Cambria"/>
        </w:rPr>
        <w:t>There is a relatively large number of empirical contributions analyzing the effect of Standard Turnover Excise Tax (STET) on capital costs, however few theoretical studies (based on general equ</w:t>
      </w:r>
      <w:r>
        <w:rPr>
          <w:rFonts w:ascii="Cambria" w:eastAsia="Cambria" w:hAnsi="Cambria" w:cs="Cambria"/>
        </w:rPr>
        <w:t>ilibrium models or other theoretical tools) assess their impact on the real side of the economy. In general terms, the scarce existing literature considers that STET affect the behavior of the real economic variables through the transmission channel of cap</w:t>
      </w:r>
      <w:r>
        <w:rPr>
          <w:rFonts w:ascii="Cambria" w:eastAsia="Cambria" w:hAnsi="Cambria" w:cs="Cambria"/>
        </w:rPr>
        <w:t>ital costs (see EEC study by Lendvai et al. (2012), Anthony et al. (2012), and Oxera (2014)).</w:t>
      </w:r>
    </w:p>
    <w:p w:rsidR="00EE13F6" w:rsidRDefault="002E5BC4">
      <w:pPr>
        <w:spacing w:after="130" w:line="264" w:lineRule="auto"/>
        <w:ind w:left="-5" w:right="468" w:hanging="10"/>
        <w:jc w:val="both"/>
      </w:pPr>
      <w:r>
        <w:rPr>
          <w:rFonts w:ascii="Cambria" w:eastAsia="Cambria" w:hAnsi="Cambria" w:cs="Cambria"/>
        </w:rPr>
        <w:t>This existing literature draws on theoretical general equilibrium models, simulations and empirical analyses that try to determine the impact of STETs on the leve</w:t>
      </w:r>
      <w:r>
        <w:rPr>
          <w:rFonts w:ascii="Cambria" w:eastAsia="Cambria" w:hAnsi="Cambria" w:cs="Cambria"/>
        </w:rPr>
        <w:t>l and volatility of asset prices, capital costs and real investment. Focused on the experience of countries such as the United States (Amihud and Mendelson (1991); Hakkio et al. (1994); Matheson (2003), among others), United Kingdom (Saporta and Kan (1997)</w:t>
      </w:r>
      <w:r>
        <w:rPr>
          <w:rFonts w:ascii="Cambria" w:eastAsia="Cambria" w:hAnsi="Cambria" w:cs="Cambria"/>
        </w:rPr>
        <w:t>, Hawkins and McCrae (2002), Oxera (2007)), or Sweden (Umlauf (1993); Westerholm (2003)), it concludes that financial transaction taxes would be associated with a decrease in the price of assets and an increase in the cost of capital.</w:t>
      </w:r>
    </w:p>
    <w:p w:rsidR="00EE13F6" w:rsidRDefault="002E5BC4">
      <w:pPr>
        <w:spacing w:after="130" w:line="264" w:lineRule="auto"/>
        <w:ind w:left="-5" w:right="468" w:hanging="10"/>
        <w:jc w:val="both"/>
      </w:pPr>
      <w:r>
        <w:rPr>
          <w:rFonts w:ascii="Cambria" w:eastAsia="Cambria" w:hAnsi="Cambria" w:cs="Cambria"/>
        </w:rPr>
        <w:t>Additionally, other r</w:t>
      </w:r>
      <w:r>
        <w:rPr>
          <w:rFonts w:ascii="Cambria" w:eastAsia="Cambria" w:hAnsi="Cambria" w:cs="Cambria"/>
        </w:rPr>
        <w:t>elevant papers covering the same or similar topics would be Habermeier and Kirilenko (2003), Schwert and Seguin (1993), and Kupiec (1996).</w:t>
      </w:r>
    </w:p>
    <w:p w:rsidR="00EE13F6" w:rsidRDefault="002E5BC4">
      <w:pPr>
        <w:spacing w:after="130" w:line="264" w:lineRule="auto"/>
        <w:ind w:left="-5" w:right="468" w:hanging="10"/>
        <w:jc w:val="both"/>
      </w:pPr>
      <w:r>
        <w:rPr>
          <w:rFonts w:ascii="Cambria" w:eastAsia="Cambria" w:hAnsi="Cambria" w:cs="Cambria"/>
        </w:rPr>
        <w:t>However, among the literature, the various studies have focused on the corporate cost of capital through the impact o</w:t>
      </w:r>
      <w:r>
        <w:rPr>
          <w:rFonts w:ascii="Cambria" w:eastAsia="Cambria" w:hAnsi="Cambria" w:cs="Cambria"/>
        </w:rPr>
        <w:t>n the stock market, and we did not find any specific review on the corporate bond market. This is not surprising as generally speaking the corporate bond market is atomized and often illiquid with a difficult price discovery process.</w:t>
      </w:r>
    </w:p>
    <w:p w:rsidR="00EE13F6" w:rsidRDefault="002E5BC4">
      <w:pPr>
        <w:spacing w:after="130" w:line="264" w:lineRule="auto"/>
        <w:ind w:left="-5" w:right="468" w:hanging="10"/>
        <w:jc w:val="both"/>
      </w:pPr>
      <w:r>
        <w:rPr>
          <w:rFonts w:ascii="Cambria" w:eastAsia="Cambria" w:hAnsi="Cambria" w:cs="Cambria"/>
        </w:rPr>
        <w:t>We consider here the i</w:t>
      </w:r>
      <w:r>
        <w:rPr>
          <w:rFonts w:ascii="Cambria" w:eastAsia="Cambria" w:hAnsi="Cambria" w:cs="Cambria"/>
        </w:rPr>
        <w:t>mpact of a STET on the corporate cost of capital in the particular case of the European Financial Transaction Tax (FTT). This FTT is in fact a standard turnover excise tax (STET) that would apply certain rates to the notional value of all transactions rela</w:t>
      </w:r>
      <w:r>
        <w:rPr>
          <w:rFonts w:ascii="Cambria" w:eastAsia="Cambria" w:hAnsi="Cambria" w:cs="Cambria"/>
        </w:rPr>
        <w:t xml:space="preserve">ted to securities and derivatives. This STET would apply to all financial transactions taking place in the European Union (EU) or performed by financial institutions domiciled in the EU. The EU DG (the European Economic Research entity) has found, using a </w:t>
      </w:r>
      <w:r>
        <w:rPr>
          <w:rFonts w:ascii="Cambria" w:eastAsia="Cambria" w:hAnsi="Cambria" w:cs="Cambria"/>
        </w:rPr>
        <w:t>general equilibrium model Lendvai et al. (2012), that the FTT would increase the corporate cost of capital by 9 basis points per annum. Our study retains the exact specification of the FTT, as they are stated in the EU project.</w:t>
      </w:r>
    </w:p>
    <w:p w:rsidR="00EE13F6" w:rsidRDefault="002E5BC4">
      <w:pPr>
        <w:spacing w:after="130" w:line="264" w:lineRule="auto"/>
        <w:ind w:left="-5" w:right="468" w:hanging="10"/>
        <w:jc w:val="both"/>
      </w:pPr>
      <w:r>
        <w:rPr>
          <w:rFonts w:ascii="Cambria" w:eastAsia="Cambria" w:hAnsi="Cambria" w:cs="Cambria"/>
        </w:rPr>
        <w:t>Our approach is new and is b</w:t>
      </w:r>
      <w:r>
        <w:rPr>
          <w:rFonts w:ascii="Cambria" w:eastAsia="Cambria" w:hAnsi="Cambria" w:cs="Cambria"/>
        </w:rPr>
        <w:t>ased on micro-economics characteristics s at the corporate firm level. We consider the possibility that the specifics of a given corporate firm command directly the impact of the FTT in terms of capital costs. Therefore we study a framework where a uniform</w:t>
      </w:r>
      <w:r>
        <w:rPr>
          <w:rFonts w:ascii="Cambria" w:eastAsia="Cambria" w:hAnsi="Cambria" w:cs="Cambria"/>
        </w:rPr>
        <w:t xml:space="preserve"> taxation disposition can induce heterogeneous responses at the micro-economic level.</w:t>
      </w:r>
    </w:p>
    <w:p w:rsidR="00EE13F6" w:rsidRDefault="002E5BC4">
      <w:pPr>
        <w:spacing w:after="130" w:line="264" w:lineRule="auto"/>
        <w:ind w:left="-5" w:right="468" w:hanging="10"/>
        <w:jc w:val="both"/>
      </w:pPr>
      <w:r>
        <w:rPr>
          <w:rFonts w:ascii="Cambria" w:eastAsia="Cambria" w:hAnsi="Cambria" w:cs="Cambria"/>
        </w:rPr>
        <w:t>Instead of choosing empirical studies or using general equilibrium models which consider indices or the corporate sector at the macro-economic level, we aim to find a qua</w:t>
      </w:r>
      <w:r>
        <w:rPr>
          <w:rFonts w:ascii="Cambria" w:eastAsia="Cambria" w:hAnsi="Cambria" w:cs="Cambria"/>
        </w:rPr>
        <w:t>ntitative framework which allows to compute the potential effects of any FTT or STET on the corporate cost of capital project at a micro-economic level. This quantitative evaluation is consistent and based on the current conditions of the credit and equity</w:t>
      </w:r>
      <w:r>
        <w:rPr>
          <w:rFonts w:ascii="Cambria" w:eastAsia="Cambria" w:hAnsi="Cambria" w:cs="Cambria"/>
        </w:rPr>
        <w:t xml:space="preserve"> derivatives market prevailing at the time of the introduction of this new tax. In order to achieve this result, we focus on capital structure arbitrage between various financing instruments issued by the same corporate firm. In particular, we look after t</w:t>
      </w:r>
      <w:r>
        <w:rPr>
          <w:rFonts w:ascii="Cambria" w:eastAsia="Cambria" w:hAnsi="Cambria" w:cs="Cambria"/>
        </w:rPr>
        <w:t>he interconnection between bond, credit and equity derivatives markets, for a given bond issuer.</w:t>
      </w:r>
    </w:p>
    <w:p w:rsidR="00EE13F6" w:rsidRDefault="002E5BC4">
      <w:pPr>
        <w:spacing w:after="130" w:line="264" w:lineRule="auto"/>
        <w:ind w:left="-5" w:right="468" w:hanging="10"/>
        <w:jc w:val="both"/>
      </w:pPr>
      <w:r>
        <w:rPr>
          <w:rFonts w:ascii="Cambria" w:eastAsia="Cambria" w:hAnsi="Cambria" w:cs="Cambria"/>
        </w:rPr>
        <w:lastRenderedPageBreak/>
        <w:t xml:space="preserve">Unlike other reviews, our analysis can be done nearly in real time and updated with the current market conditions prevailing on both equity option markets and </w:t>
      </w:r>
      <w:r>
        <w:rPr>
          <w:rFonts w:ascii="Cambria" w:eastAsia="Cambria" w:hAnsi="Cambria" w:cs="Cambria"/>
        </w:rPr>
        <w:t>credit derivatives markets.</w:t>
      </w:r>
    </w:p>
    <w:p w:rsidR="00EE13F6" w:rsidRDefault="002E5BC4">
      <w:pPr>
        <w:spacing w:after="130" w:line="264" w:lineRule="auto"/>
        <w:ind w:left="-5" w:right="468" w:hanging="10"/>
        <w:jc w:val="both"/>
      </w:pPr>
      <w:r>
        <w:rPr>
          <w:rFonts w:ascii="Cambria" w:eastAsia="Cambria" w:hAnsi="Cambria" w:cs="Cambria"/>
        </w:rPr>
        <w:t>When compared to other approaches based on general equilibrium models, our approach tends to capture the cascading effects of the FTT, especially on the hedging and transaction costs incurred by the economic agents involved in such arbitrage. The arbitrage</w:t>
      </w:r>
      <w:r>
        <w:rPr>
          <w:rFonts w:ascii="Cambria" w:eastAsia="Cambria" w:hAnsi="Cambria" w:cs="Cambria"/>
        </w:rPr>
        <w:t xml:space="preserve"> we consider in particular consists of arbitraging for the same firm, the corporate bond against the equity share, under a risk neutral assumption. This arbitrage can be done either directly or through a put option, the two approaches being equivalent from</w:t>
      </w:r>
      <w:r>
        <w:rPr>
          <w:rFonts w:ascii="Cambria" w:eastAsia="Cambria" w:hAnsi="Cambria" w:cs="Cambria"/>
        </w:rPr>
        <w:t xml:space="preserve"> a valuation standpoint.</w:t>
      </w:r>
    </w:p>
    <w:p w:rsidR="00EE13F6" w:rsidRDefault="002E5BC4">
      <w:pPr>
        <w:spacing w:after="130" w:line="264" w:lineRule="auto"/>
        <w:ind w:left="-5" w:right="468" w:hanging="10"/>
        <w:jc w:val="both"/>
      </w:pPr>
      <w:r>
        <w:rPr>
          <w:rFonts w:ascii="Cambria" w:eastAsia="Cambria" w:hAnsi="Cambria" w:cs="Cambria"/>
        </w:rPr>
        <w:t xml:space="preserve">Since the mid-1990’s, credit and equity derivatives markets have expanded at a fast pace and are largely used worldwide. The pricing methodology of such instruments is well known nowadays. It is a common practice know to arbitrage </w:t>
      </w:r>
      <w:r>
        <w:rPr>
          <w:rFonts w:ascii="Cambria" w:eastAsia="Cambria" w:hAnsi="Cambria" w:cs="Cambria"/>
        </w:rPr>
        <w:t>credit and equity derivatives in order to derive a possible profit in case of incorrect pricing. Both credit derivatives and equity derivatives instruments are related to the balance sheet structure of the corporate firm as well as the implied volatility o</w:t>
      </w:r>
      <w:r>
        <w:rPr>
          <w:rFonts w:ascii="Cambria" w:eastAsia="Cambria" w:hAnsi="Cambria" w:cs="Cambria"/>
        </w:rPr>
        <w:t>bserved in the relevant capital markets.</w:t>
      </w:r>
    </w:p>
    <w:p w:rsidR="00EE13F6" w:rsidRDefault="002E5BC4">
      <w:pPr>
        <w:spacing w:after="130" w:line="264" w:lineRule="auto"/>
        <w:ind w:left="-5" w:right="468" w:hanging="10"/>
        <w:jc w:val="both"/>
      </w:pPr>
      <w:r>
        <w:rPr>
          <w:rFonts w:ascii="Cambria" w:eastAsia="Cambria" w:hAnsi="Cambria" w:cs="Cambria"/>
        </w:rPr>
        <w:t>First, we consider the corporate bond market, through its connection to the credit default swap (CDS) and equity derivative markets. Credit default swaps and corporate bond markets can be arbitrated one against each</w:t>
      </w:r>
      <w:r>
        <w:rPr>
          <w:rFonts w:ascii="Cambria" w:eastAsia="Cambria" w:hAnsi="Cambria" w:cs="Cambria"/>
        </w:rPr>
        <w:t xml:space="preserve"> other through basis arbitrage. This arbitrage consists in taking advantage of the possible differences between the values of the CDS embedded into the corporate bond price and the CDS traded in the CDS market. We estimate the impact of the FTT in terms of</w:t>
      </w:r>
      <w:r>
        <w:rPr>
          <w:rFonts w:ascii="Cambria" w:eastAsia="Cambria" w:hAnsi="Cambria" w:cs="Cambria"/>
        </w:rPr>
        <w:t xml:space="preserve"> bond prices.</w:t>
      </w:r>
    </w:p>
    <w:p w:rsidR="00EE13F6" w:rsidRDefault="002E5BC4">
      <w:pPr>
        <w:spacing w:after="130" w:line="264" w:lineRule="auto"/>
        <w:ind w:left="-5" w:right="468" w:hanging="10"/>
        <w:jc w:val="both"/>
      </w:pPr>
      <w:r>
        <w:rPr>
          <w:rFonts w:ascii="Cambria" w:eastAsia="Cambria" w:hAnsi="Cambria" w:cs="Cambria"/>
        </w:rPr>
        <w:t>Second, we study the connection between the credit default swap (CDS) market and the equity option markets through capital structure arbitrage. This arbitrage consists in taking advantage of the relative value differences between different fi</w:t>
      </w:r>
      <w:r>
        <w:rPr>
          <w:rFonts w:ascii="Cambria" w:eastAsia="Cambria" w:hAnsi="Cambria" w:cs="Cambria"/>
        </w:rPr>
        <w:t>nancing instruments of the same corporate firm, and finds its justification in the Modigliani-Miller proposition. However, our approach considers that this arbitrage is strongly dependent upon the presence of transaction costs. We evidence the possible sta</w:t>
      </w:r>
      <w:r>
        <w:rPr>
          <w:rFonts w:ascii="Cambria" w:eastAsia="Cambria" w:hAnsi="Cambria" w:cs="Cambria"/>
        </w:rPr>
        <w:t>tic hedging of an agent selling credit default protection (short CDS) by an exotic put option.</w:t>
      </w:r>
    </w:p>
    <w:p w:rsidR="00EE13F6" w:rsidRDefault="002E5BC4">
      <w:pPr>
        <w:spacing w:after="130" w:line="264" w:lineRule="auto"/>
        <w:ind w:left="-5" w:right="468" w:hanging="10"/>
        <w:jc w:val="both"/>
      </w:pPr>
      <w:r>
        <w:rPr>
          <w:rFonts w:ascii="Cambria" w:eastAsia="Cambria" w:hAnsi="Cambria" w:cs="Cambria"/>
        </w:rPr>
        <w:t>We consider then a credit protection seller hedging its corporate credit risk either by a put or a dynamic replication of a put. This put for hedging costs consi</w:t>
      </w:r>
      <w:r>
        <w:rPr>
          <w:rFonts w:ascii="Cambria" w:eastAsia="Cambria" w:hAnsi="Cambria" w:cs="Cambria"/>
        </w:rPr>
        <w:t>deration should be at a very low strike price, and consequently deeply ”out of the money”. It should also have a maturity equivalent to the corporate bond tenor and be specific to the corporate company. These characteristics suggest that such option market</w:t>
      </w:r>
      <w:r>
        <w:rPr>
          <w:rFonts w:ascii="Cambria" w:eastAsia="Cambria" w:hAnsi="Cambria" w:cs="Cambria"/>
        </w:rPr>
        <w:t xml:space="preserve"> would be highly illiquid, or not existing at all leaving no other choice than to replicate the put and support the effects of the FTT. We then apply the results of Chapter I, measuring the impact of the FTT in terms of transaction costs on implied volatil</w:t>
      </w:r>
      <w:r>
        <w:rPr>
          <w:rFonts w:ascii="Cambria" w:eastAsia="Cambria" w:hAnsi="Cambria" w:cs="Cambria"/>
        </w:rPr>
        <w:t>ity. Those costs are equivalent to the costs that an option market-maker selling a put would factor in its quoted volatility, on the sell side. We derive the effects on the CDS markets and finally on the corporate bond markets.</w:t>
      </w:r>
    </w:p>
    <w:p w:rsidR="00EE13F6" w:rsidRDefault="002E5BC4">
      <w:pPr>
        <w:spacing w:after="130" w:line="264" w:lineRule="auto"/>
        <w:ind w:left="-5" w:right="468" w:hanging="10"/>
        <w:jc w:val="both"/>
      </w:pPr>
      <w:r>
        <w:rPr>
          <w:rFonts w:ascii="Cambria" w:eastAsia="Cambria" w:hAnsi="Cambria" w:cs="Cambria"/>
        </w:rPr>
        <w:t>We further review the effect</w:t>
      </w:r>
      <w:r>
        <w:rPr>
          <w:rFonts w:ascii="Cambria" w:eastAsia="Cambria" w:hAnsi="Cambria" w:cs="Cambria"/>
        </w:rPr>
        <w:t xml:space="preserve"> of the FTT using structural models of the corporate firm. In such models, the bankruptcy occurs whenever the level of assets falls a predetermined threshold. Considering the diffusion process followed by the value of corporate assets, it is then possible </w:t>
      </w:r>
      <w:r>
        <w:rPr>
          <w:rFonts w:ascii="Cambria" w:eastAsia="Cambria" w:hAnsi="Cambria" w:cs="Cambria"/>
        </w:rPr>
        <w:t>to derive the probability of corporate default, and finally, under a given assumption for the recovery rate, the value of the CDS spread insuring bond holders against corporate default.</w:t>
      </w:r>
    </w:p>
    <w:p w:rsidR="00EE13F6" w:rsidRDefault="002E5BC4">
      <w:pPr>
        <w:spacing w:after="130" w:line="264" w:lineRule="auto"/>
        <w:ind w:left="-5" w:right="468" w:hanging="10"/>
        <w:jc w:val="both"/>
      </w:pPr>
      <w:r>
        <w:rPr>
          <w:rFonts w:ascii="Cambria" w:eastAsia="Cambria" w:hAnsi="Cambria" w:cs="Cambria"/>
        </w:rPr>
        <w:t xml:space="preserve">Using CreditGrades </w:t>
      </w:r>
      <w:r>
        <w:rPr>
          <w:rFonts w:ascii="Cambria" w:eastAsia="Cambria" w:hAnsi="Cambria" w:cs="Cambria"/>
          <w:sz w:val="16"/>
        </w:rPr>
        <w:t xml:space="preserve">R </w:t>
      </w:r>
      <w:r>
        <w:rPr>
          <w:rFonts w:ascii="Cambria" w:eastAsia="Cambria" w:hAnsi="Cambria" w:cs="Cambria"/>
        </w:rPr>
        <w:t>, which is a standard structural models used ofte</w:t>
      </w:r>
      <w:r>
        <w:rPr>
          <w:rFonts w:ascii="Cambria" w:eastAsia="Cambria" w:hAnsi="Cambria" w:cs="Cambria"/>
        </w:rPr>
        <w:t>nly in capital markets, we conclude that the response to the FTT is going to be indeed, heterogeneous and will depend mainly upon the corporate balance sheet structure, as well as initial conditions prevailing on the credit derivatives market. The impact w</w:t>
      </w:r>
      <w:r>
        <w:rPr>
          <w:rFonts w:ascii="Cambria" w:eastAsia="Cambria" w:hAnsi="Cambria" w:cs="Cambria"/>
        </w:rPr>
        <w:t xml:space="preserve">ill be lower on highly leveraged corporate firms than on corporates </w:t>
      </w:r>
      <w:r>
        <w:rPr>
          <w:rFonts w:ascii="Cambria" w:eastAsia="Cambria" w:hAnsi="Cambria" w:cs="Cambria"/>
        </w:rPr>
        <w:lastRenderedPageBreak/>
        <w:t>with a low leverage, and it will increase with corporate debt maturity. The impact will be higher for companies with a bad rating and high credit spreads. Numerically, the range of the pos</w:t>
      </w:r>
      <w:r>
        <w:rPr>
          <w:rFonts w:ascii="Cambria" w:eastAsia="Cambria" w:hAnsi="Cambria" w:cs="Cambria"/>
        </w:rPr>
        <w:t>sible responses to the FTT is very wide. It translates immediately in a wide range of price impacts on the corporate bond market. We forecast potential drops in the corporate bond market value comprised between 3 and 80 percent depending upon the corporate</w:t>
      </w:r>
      <w:r>
        <w:rPr>
          <w:rFonts w:ascii="Cambria" w:eastAsia="Cambria" w:hAnsi="Cambria" w:cs="Cambria"/>
        </w:rPr>
        <w:t xml:space="preserve"> balance sheet structure and the bond maturity. Especially, the impact of the FTT on the high yield corporate bond market appears as huge and leading potentially to a turmoil of this market and a corresponding very high surge on the corporate costs of borr</w:t>
      </w:r>
      <w:r>
        <w:rPr>
          <w:rFonts w:ascii="Cambria" w:eastAsia="Cambria" w:hAnsi="Cambria" w:cs="Cambria"/>
        </w:rPr>
        <w:t>owing, for this sector.</w:t>
      </w:r>
    </w:p>
    <w:p w:rsidR="00EE13F6" w:rsidRDefault="002E5BC4">
      <w:pPr>
        <w:spacing w:after="130" w:line="264" w:lineRule="auto"/>
        <w:ind w:left="-5" w:right="468" w:hanging="10"/>
        <w:jc w:val="both"/>
      </w:pPr>
      <w:r>
        <w:rPr>
          <w:rFonts w:ascii="Cambria" w:eastAsia="Cambria" w:hAnsi="Cambria" w:cs="Cambria"/>
        </w:rPr>
        <w:t>Our results differ largely from the review done by the the European Union Research Entity which concludes to a 9 basis points per annum increase in the capital costs. Our study concludes to more radical effects in some particular ca</w:t>
      </w:r>
      <w:r>
        <w:rPr>
          <w:rFonts w:ascii="Cambria" w:eastAsia="Cambria" w:hAnsi="Cambria" w:cs="Cambria"/>
        </w:rPr>
        <w:t>ses than the other reviews based upon empirical or general equilibrium (Saporta and Kan (1997), Hawkins and McCrae (2002), Oxera (2007)).</w:t>
      </w:r>
    </w:p>
    <w:p w:rsidR="00EE13F6" w:rsidRDefault="002E5BC4">
      <w:pPr>
        <w:spacing w:after="130" w:line="264" w:lineRule="auto"/>
        <w:ind w:left="-5" w:right="468" w:hanging="10"/>
        <w:jc w:val="both"/>
      </w:pPr>
      <w:r>
        <w:rPr>
          <w:rFonts w:ascii="Cambria" w:eastAsia="Cambria" w:hAnsi="Cambria" w:cs="Cambria"/>
        </w:rPr>
        <w:t>The magnitude of the drawdown on the corporate bond market, would be particularly heavy for industrial firms. It sugge</w:t>
      </w:r>
      <w:r>
        <w:rPr>
          <w:rFonts w:ascii="Cambria" w:eastAsia="Cambria" w:hAnsi="Cambria" w:cs="Cambria"/>
        </w:rPr>
        <w:t xml:space="preserve">sts that even if the FTT is introduced in all the EU and targets financial institutions, its effects go well beyond the EU borders. For instance, considering the case of ”Arcelor Mittal” corporation, a well known steel mill, the potential drop in its bond </w:t>
      </w:r>
      <w:r>
        <w:rPr>
          <w:rFonts w:ascii="Cambria" w:eastAsia="Cambria" w:hAnsi="Cambria" w:cs="Cambria"/>
        </w:rPr>
        <w:t>price would literally impeach this company to find competitive financing. This would create a strong distortion in competitiveness, potentially threatening its existence as the company’s main competitors are outside the EU.</w:t>
      </w:r>
    </w:p>
    <w:p w:rsidR="00EE13F6" w:rsidRDefault="002E5BC4">
      <w:pPr>
        <w:spacing w:after="1391" w:line="264" w:lineRule="auto"/>
        <w:ind w:left="-5" w:right="468" w:hanging="10"/>
        <w:jc w:val="both"/>
      </w:pPr>
      <w:r>
        <w:rPr>
          <w:rFonts w:ascii="Cambria" w:eastAsia="Cambria" w:hAnsi="Cambria" w:cs="Cambria"/>
        </w:rPr>
        <w:t>Our paper is organized as follow</w:t>
      </w:r>
      <w:r>
        <w:rPr>
          <w:rFonts w:ascii="Cambria" w:eastAsia="Cambria" w:hAnsi="Cambria" w:cs="Cambria"/>
        </w:rPr>
        <w:t>s. Section 1 is devoted to the connection between bond, and credit derivatives markets. Section 2 considers simple capital structure arbitrage strategies and gives a possible estimation of the impact of a FTT on credit spreads. through the description of s</w:t>
      </w:r>
      <w:r>
        <w:rPr>
          <w:rFonts w:ascii="Cambria" w:eastAsia="Cambria" w:hAnsi="Cambria" w:cs="Cambria"/>
        </w:rPr>
        <w:t>imple arbitrages. Section 3 considers the existence of structural models which link equity derivatives and credit derivatives, and review a possible calibration of such models in order to estimate the global effect of the FTT on the credit markets. The fin</w:t>
      </w:r>
      <w:r>
        <w:rPr>
          <w:rFonts w:ascii="Cambria" w:eastAsia="Cambria" w:hAnsi="Cambria" w:cs="Cambria"/>
        </w:rPr>
        <w:t>al impact on the corporate bond market taking into account both bond-credit and credit-equity derivative arbitrage, is then computed. Section 4 concludes.</w:t>
      </w:r>
    </w:p>
    <w:p w:rsidR="00EE13F6" w:rsidRDefault="002E5BC4">
      <w:pPr>
        <w:pStyle w:val="Heading1"/>
        <w:tabs>
          <w:tab w:val="center" w:pos="4922"/>
        </w:tabs>
        <w:spacing w:after="316"/>
        <w:ind w:left="-15" w:firstLine="0"/>
      </w:pPr>
      <w:r>
        <w:t>1</w:t>
      </w:r>
      <w:r>
        <w:tab/>
        <w:t>Interconnection Between Bond and Credit Derivatives Markets</w:t>
      </w:r>
    </w:p>
    <w:p w:rsidR="00EE13F6" w:rsidRDefault="002E5BC4">
      <w:pPr>
        <w:pStyle w:val="Heading2"/>
        <w:tabs>
          <w:tab w:val="center" w:pos="3523"/>
        </w:tabs>
        <w:ind w:left="-15" w:firstLine="0"/>
      </w:pPr>
      <w:r>
        <w:t>1.1</w:t>
      </w:r>
      <w:r>
        <w:tab/>
        <w:t xml:space="preserve">Credit Default Swaps and Corporate </w:t>
      </w:r>
      <w:r>
        <w:t>Bond prices</w:t>
      </w:r>
    </w:p>
    <w:p w:rsidR="00EE13F6" w:rsidRDefault="002E5BC4">
      <w:pPr>
        <w:spacing w:after="130" w:line="264" w:lineRule="auto"/>
        <w:ind w:left="-5" w:right="468" w:hanging="10"/>
        <w:jc w:val="both"/>
      </w:pPr>
      <w:r>
        <w:rPr>
          <w:rFonts w:ascii="Cambria" w:eastAsia="Cambria" w:hAnsi="Cambria" w:cs="Cambria"/>
        </w:rPr>
        <w:t>Credit Default Swaps (CDS) are instruments which have been introduced recently (about 2000) and which allow investors to mitigate the credit risk they bear when subscribing to corporate bonds. Alternatively, such instruments allow economic agen</w:t>
      </w:r>
      <w:r>
        <w:rPr>
          <w:rFonts w:ascii="Cambria" w:eastAsia="Cambria" w:hAnsi="Cambria" w:cs="Cambria"/>
        </w:rPr>
        <w:t>ts to take directional positions on the future evolution of the credit worthiness of such corporate bonds, in order to benefit from the right anticipation (increase or decrease) of the credit quality of such bonds.</w:t>
      </w:r>
    </w:p>
    <w:p w:rsidR="00EE13F6" w:rsidRDefault="002E5BC4">
      <w:pPr>
        <w:spacing w:after="130" w:line="264" w:lineRule="auto"/>
        <w:ind w:left="-5" w:right="468" w:hanging="10"/>
        <w:jc w:val="both"/>
      </w:pPr>
      <w:r>
        <w:rPr>
          <w:rFonts w:ascii="Cambria" w:eastAsia="Cambria" w:hAnsi="Cambria" w:cs="Cambria"/>
        </w:rPr>
        <w:t>By design, a CDS on a given corporate bon</w:t>
      </w:r>
      <w:r>
        <w:rPr>
          <w:rFonts w:ascii="Cambria" w:eastAsia="Cambria" w:hAnsi="Cambria" w:cs="Cambria"/>
        </w:rPr>
        <w:t xml:space="preserve">d is an insurance contract which provides its buyer with protection against adverse credit default even such as bankruptcy, defaut on debt, debt restructuring, </w:t>
      </w:r>
      <w:r>
        <w:rPr>
          <w:rFonts w:ascii="Cambria" w:eastAsia="Cambria" w:hAnsi="Cambria" w:cs="Cambria"/>
        </w:rPr>
        <w:lastRenderedPageBreak/>
        <w:t>and others negative credit events. In other words, the price of the corporate bond plus the valu</w:t>
      </w:r>
      <w:r>
        <w:rPr>
          <w:rFonts w:ascii="Cambria" w:eastAsia="Cambria" w:hAnsi="Cambria" w:cs="Cambria"/>
        </w:rPr>
        <w:t>e of the CDS should be strictly equal to the value of a credit risk free bond.</w:t>
      </w:r>
    </w:p>
    <w:p w:rsidR="00EE13F6" w:rsidRDefault="002E5BC4">
      <w:pPr>
        <w:spacing w:after="479" w:line="264" w:lineRule="auto"/>
        <w:ind w:left="-5" w:right="468" w:hanging="10"/>
        <w:jc w:val="both"/>
      </w:pPr>
      <w:r>
        <w:rPr>
          <w:rFonts w:ascii="Cambria" w:eastAsia="Cambria" w:hAnsi="Cambria" w:cs="Cambria"/>
        </w:rPr>
        <w:t>This writes:</w:t>
      </w:r>
    </w:p>
    <w:p w:rsidR="00EE13F6" w:rsidRDefault="002E5BC4">
      <w:pPr>
        <w:tabs>
          <w:tab w:val="center" w:pos="4670"/>
          <w:tab w:val="center" w:pos="9221"/>
        </w:tabs>
        <w:spacing w:after="105" w:line="265" w:lineRule="auto"/>
      </w:pPr>
      <w:r>
        <w:tab/>
      </w:r>
      <w:r>
        <w:rPr>
          <w:rFonts w:ascii="Cambria" w:eastAsia="Cambria" w:hAnsi="Cambria" w:cs="Cambria"/>
          <w:i/>
        </w:rPr>
        <w:t>P</w:t>
      </w:r>
      <w:r>
        <w:rPr>
          <w:rFonts w:ascii="Cambria" w:eastAsia="Cambria" w:hAnsi="Cambria" w:cs="Cambria"/>
          <w:i/>
          <w:sz w:val="16"/>
        </w:rPr>
        <w:t xml:space="preserve">c </w:t>
      </w:r>
      <w:r>
        <w:rPr>
          <w:rFonts w:ascii="Cambria" w:eastAsia="Cambria" w:hAnsi="Cambria" w:cs="Cambria"/>
        </w:rPr>
        <w:t xml:space="preserve">= </w:t>
      </w:r>
      <w:r>
        <w:rPr>
          <w:rFonts w:ascii="Cambria" w:eastAsia="Cambria" w:hAnsi="Cambria" w:cs="Cambria"/>
          <w:i/>
        </w:rPr>
        <w:t>P</w:t>
      </w:r>
      <w:r>
        <w:rPr>
          <w:rFonts w:ascii="Cambria" w:eastAsia="Cambria" w:hAnsi="Cambria" w:cs="Cambria"/>
          <w:i/>
          <w:sz w:val="16"/>
        </w:rPr>
        <w:t>R</w:t>
      </w:r>
      <w:r>
        <w:rPr>
          <w:rFonts w:ascii="Cambria" w:eastAsia="Cambria" w:hAnsi="Cambria" w:cs="Cambria"/>
          <w:i/>
          <w:sz w:val="12"/>
        </w:rPr>
        <w:t xml:space="preserve">f </w:t>
      </w:r>
      <w:r>
        <w:rPr>
          <w:rFonts w:ascii="Cambria" w:eastAsia="Cambria" w:hAnsi="Cambria" w:cs="Cambria"/>
        </w:rPr>
        <w:t>−</w:t>
      </w:r>
      <w:r>
        <w:rPr>
          <w:rFonts w:ascii="Cambria" w:eastAsia="Cambria" w:hAnsi="Cambria" w:cs="Cambria"/>
        </w:rPr>
        <w:t xml:space="preserve"> </w:t>
      </w:r>
      <w:r>
        <w:rPr>
          <w:rFonts w:ascii="Cambria" w:eastAsia="Cambria" w:hAnsi="Cambria" w:cs="Cambria"/>
          <w:i/>
        </w:rPr>
        <w:t>U</w:t>
      </w:r>
      <w:r>
        <w:rPr>
          <w:rFonts w:ascii="Cambria" w:eastAsia="Cambria" w:hAnsi="Cambria" w:cs="Cambria"/>
          <w:i/>
          <w:sz w:val="16"/>
        </w:rPr>
        <w:t>F</w:t>
      </w:r>
      <w:r>
        <w:rPr>
          <w:rFonts w:ascii="Cambria" w:eastAsia="Cambria" w:hAnsi="Cambria" w:cs="Cambria"/>
          <w:i/>
          <w:sz w:val="12"/>
        </w:rPr>
        <w:t>c</w:t>
      </w:r>
      <w:r>
        <w:rPr>
          <w:rFonts w:ascii="Cambria" w:eastAsia="Cambria" w:hAnsi="Cambria" w:cs="Cambria"/>
          <w:i/>
          <w:sz w:val="12"/>
        </w:rPr>
        <w:tab/>
      </w:r>
      <w:r>
        <w:rPr>
          <w:rFonts w:ascii="Cambria" w:eastAsia="Cambria" w:hAnsi="Cambria" w:cs="Cambria"/>
        </w:rPr>
        <w:t>(1)</w:t>
      </w:r>
    </w:p>
    <w:p w:rsidR="00EE13F6" w:rsidRDefault="002E5BC4">
      <w:pPr>
        <w:spacing w:after="130" w:line="264" w:lineRule="auto"/>
        <w:ind w:left="-5" w:right="468" w:hanging="10"/>
        <w:jc w:val="both"/>
      </w:pPr>
      <w:r>
        <w:rPr>
          <w:rFonts w:ascii="Cambria" w:eastAsia="Cambria" w:hAnsi="Cambria" w:cs="Cambria"/>
        </w:rPr>
        <w:t xml:space="preserve">Assuming the credit risk free and the corporate credit curve are both flat, and that both CDS and the corporate bond are issued at the same time, the value of the CDS contract is well known since the founding work of Hull and White or Duffie and Singleton </w:t>
      </w:r>
      <w:r>
        <w:rPr>
          <w:rFonts w:ascii="Cambria" w:eastAsia="Cambria" w:hAnsi="Cambria" w:cs="Cambria"/>
        </w:rPr>
        <w:t>Duffie and Singleton (1999). The CDS is valued as an insurance product where the net present value of premium effectively paid must be equal to the contingent payment to the insured party in case the credit default occurs.</w:t>
      </w:r>
    </w:p>
    <w:p w:rsidR="00EE13F6" w:rsidRDefault="002E5BC4">
      <w:pPr>
        <w:spacing w:after="287" w:line="264" w:lineRule="auto"/>
        <w:ind w:left="-5" w:right="468" w:hanging="10"/>
        <w:jc w:val="both"/>
      </w:pPr>
      <w:r>
        <w:rPr>
          <w:rFonts w:ascii="Cambria" w:eastAsia="Cambria" w:hAnsi="Cambria" w:cs="Cambria"/>
        </w:rPr>
        <w:t xml:space="preserve">Let’s designate this ”upfront” value (that the insured can choose to pay at the trade inception, hence its name) by </w:t>
      </w:r>
      <w:r>
        <w:rPr>
          <w:rFonts w:ascii="Cambria" w:eastAsia="Cambria" w:hAnsi="Cambria" w:cs="Cambria"/>
          <w:i/>
        </w:rPr>
        <w:t>UF</w:t>
      </w:r>
      <w:r>
        <w:rPr>
          <w:rFonts w:ascii="Cambria" w:eastAsia="Cambria" w:hAnsi="Cambria" w:cs="Cambria"/>
          <w:i/>
          <w:vertAlign w:val="subscript"/>
        </w:rPr>
        <w:t>c</w:t>
      </w:r>
      <w:r>
        <w:rPr>
          <w:rFonts w:ascii="Cambria" w:eastAsia="Cambria" w:hAnsi="Cambria" w:cs="Cambria"/>
        </w:rPr>
        <w:t>. For a notional value of 1 dollar, the upfront value is given by (choosing the expression of the expectation of the contingent payment)</w:t>
      </w:r>
    </w:p>
    <w:p w:rsidR="00EE13F6" w:rsidRDefault="002E5BC4">
      <w:pPr>
        <w:tabs>
          <w:tab w:val="center" w:pos="4731"/>
          <w:tab w:val="center" w:pos="9221"/>
        </w:tabs>
        <w:spacing w:after="10" w:line="265" w:lineRule="auto"/>
      </w:pPr>
      <w:r>
        <w:tab/>
      </w:r>
      <w:r>
        <w:rPr>
          <w:noProof/>
        </w:rPr>
        <w:drawing>
          <wp:inline distT="0" distB="0" distL="0" distR="0">
            <wp:extent cx="2282952" cy="347472"/>
            <wp:effectExtent l="0" t="0" r="0" b="0"/>
            <wp:docPr id="221918" name="Picture 221918"/>
            <wp:cNvGraphicFramePr/>
            <a:graphic xmlns:a="http://schemas.openxmlformats.org/drawingml/2006/main">
              <a:graphicData uri="http://schemas.openxmlformats.org/drawingml/2006/picture">
                <pic:pic xmlns:pic="http://schemas.openxmlformats.org/drawingml/2006/picture">
                  <pic:nvPicPr>
                    <pic:cNvPr id="221918" name="Picture 221918"/>
                    <pic:cNvPicPr/>
                  </pic:nvPicPr>
                  <pic:blipFill>
                    <a:blip r:embed="rId135"/>
                    <a:stretch>
                      <a:fillRect/>
                    </a:stretch>
                  </pic:blipFill>
                  <pic:spPr>
                    <a:xfrm>
                      <a:off x="0" y="0"/>
                      <a:ext cx="2282952" cy="347472"/>
                    </a:xfrm>
                    <a:prstGeom prst="rect">
                      <a:avLst/>
                    </a:prstGeom>
                  </pic:spPr>
                </pic:pic>
              </a:graphicData>
            </a:graphic>
          </wp:inline>
        </w:drawing>
      </w:r>
      <w:r>
        <w:rPr>
          <w:rFonts w:ascii="Cambria" w:eastAsia="Cambria" w:hAnsi="Cambria" w:cs="Cambria"/>
        </w:rPr>
        <w:tab/>
        <w:t>(2)</w:t>
      </w:r>
    </w:p>
    <w:p w:rsidR="00EE13F6" w:rsidRDefault="002E5BC4">
      <w:pPr>
        <w:spacing w:after="165" w:line="264" w:lineRule="auto"/>
        <w:ind w:left="-5" w:right="468" w:hanging="10"/>
        <w:jc w:val="both"/>
      </w:pPr>
      <w:r>
        <w:rPr>
          <w:rFonts w:ascii="Cambria" w:eastAsia="Cambria" w:hAnsi="Cambria" w:cs="Cambria"/>
        </w:rPr>
        <w:t>Where :</w:t>
      </w:r>
    </w:p>
    <w:p w:rsidR="00EE13F6" w:rsidRDefault="002E5BC4">
      <w:pPr>
        <w:spacing w:after="177" w:line="264" w:lineRule="auto"/>
        <w:ind w:left="-5" w:right="468" w:hanging="10"/>
        <w:jc w:val="both"/>
      </w:pPr>
      <w:r>
        <w:rPr>
          <w:rFonts w:ascii="Cambria" w:eastAsia="Cambria" w:hAnsi="Cambria" w:cs="Cambria"/>
        </w:rPr>
        <w:t>-</w:t>
      </w:r>
      <w:r>
        <w:rPr>
          <w:rFonts w:ascii="Cambria" w:eastAsia="Cambria" w:hAnsi="Cambria" w:cs="Cambria"/>
          <w:i/>
        </w:rPr>
        <w:t>D</w:t>
      </w:r>
      <w:r>
        <w:rPr>
          <w:rFonts w:ascii="Cambria" w:eastAsia="Cambria" w:hAnsi="Cambria" w:cs="Cambria"/>
          <w:i/>
          <w:vertAlign w:val="subscript"/>
        </w:rPr>
        <w:t>F</w:t>
      </w:r>
      <w:r>
        <w:rPr>
          <w:rFonts w:ascii="Cambria" w:eastAsia="Cambria" w:hAnsi="Cambria" w:cs="Cambria"/>
        </w:rPr>
        <w:t>(</w:t>
      </w:r>
      <w:r>
        <w:rPr>
          <w:rFonts w:ascii="Cambria" w:eastAsia="Cambria" w:hAnsi="Cambria" w:cs="Cambria"/>
          <w:i/>
        </w:rPr>
        <w:t>t</w:t>
      </w:r>
      <w:r>
        <w:rPr>
          <w:rFonts w:ascii="Cambria" w:eastAsia="Cambria" w:hAnsi="Cambria" w:cs="Cambria"/>
        </w:rPr>
        <w:t>) designates the discount factor for 1 dollar received at time t</w:t>
      </w:r>
    </w:p>
    <w:p w:rsidR="00EE13F6" w:rsidRDefault="002E5BC4">
      <w:pPr>
        <w:spacing w:after="170" w:line="264" w:lineRule="auto"/>
        <w:ind w:left="-5" w:right="468" w:hanging="10"/>
        <w:jc w:val="both"/>
      </w:pPr>
      <w:r>
        <w:rPr>
          <w:rFonts w:ascii="Cambria" w:eastAsia="Cambria" w:hAnsi="Cambria" w:cs="Cambria"/>
        </w:rPr>
        <w:t>-</w:t>
      </w:r>
      <w:r>
        <w:rPr>
          <w:rFonts w:ascii="Cambria" w:eastAsia="Cambria" w:hAnsi="Cambria" w:cs="Cambria"/>
          <w:i/>
        </w:rPr>
        <w:t>q</w:t>
      </w:r>
      <w:r>
        <w:rPr>
          <w:rFonts w:ascii="Cambria" w:eastAsia="Cambria" w:hAnsi="Cambria" w:cs="Cambria"/>
        </w:rPr>
        <w:t>(</w:t>
      </w:r>
      <w:r>
        <w:rPr>
          <w:rFonts w:ascii="Cambria" w:eastAsia="Cambria" w:hAnsi="Cambria" w:cs="Cambria"/>
          <w:i/>
        </w:rPr>
        <w:t>t</w:t>
      </w:r>
      <w:r>
        <w:rPr>
          <w:rFonts w:ascii="Cambria" w:eastAsia="Cambria" w:hAnsi="Cambria" w:cs="Cambria"/>
        </w:rPr>
        <w:t>) designates the default probability density</w:t>
      </w:r>
    </w:p>
    <w:p w:rsidR="00EE13F6" w:rsidRDefault="002E5BC4">
      <w:pPr>
        <w:spacing w:after="170" w:line="264" w:lineRule="auto"/>
        <w:ind w:left="-5" w:right="468" w:hanging="10"/>
        <w:jc w:val="both"/>
      </w:pPr>
      <w:r>
        <w:rPr>
          <w:rFonts w:ascii="Cambria" w:eastAsia="Cambria" w:hAnsi="Cambria" w:cs="Cambria"/>
        </w:rPr>
        <w:t>-</w:t>
      </w:r>
      <w:r>
        <w:rPr>
          <w:rFonts w:ascii="Cambria" w:eastAsia="Cambria" w:hAnsi="Cambria" w:cs="Cambria"/>
          <w:i/>
        </w:rPr>
        <w:t xml:space="preserve">R </w:t>
      </w:r>
      <w:r>
        <w:rPr>
          <w:rFonts w:ascii="Cambria" w:eastAsia="Cambria" w:hAnsi="Cambria" w:cs="Cambria"/>
        </w:rPr>
        <w:t>designates the expectation of the recovery rate on debt in case of bankruptcy.</w:t>
      </w:r>
    </w:p>
    <w:p w:rsidR="00EE13F6" w:rsidRDefault="002E5BC4">
      <w:pPr>
        <w:spacing w:after="130" w:line="264" w:lineRule="auto"/>
        <w:ind w:left="-5" w:right="468" w:hanging="10"/>
        <w:jc w:val="both"/>
      </w:pPr>
      <w:r>
        <w:rPr>
          <w:rFonts w:ascii="Cambria" w:eastAsia="Cambria" w:hAnsi="Cambria" w:cs="Cambria"/>
        </w:rPr>
        <w:t>-</w:t>
      </w:r>
      <w:r>
        <w:rPr>
          <w:rFonts w:ascii="Cambria" w:eastAsia="Cambria" w:hAnsi="Cambria" w:cs="Cambria"/>
          <w:i/>
        </w:rPr>
        <w:t>A</w:t>
      </w:r>
      <w:r>
        <w:rPr>
          <w:rFonts w:ascii="Cambria" w:eastAsia="Cambria" w:hAnsi="Cambria" w:cs="Cambria"/>
        </w:rPr>
        <w:t>(</w:t>
      </w:r>
      <w:r>
        <w:rPr>
          <w:rFonts w:ascii="Cambria" w:eastAsia="Cambria" w:hAnsi="Cambria" w:cs="Cambria"/>
          <w:i/>
        </w:rPr>
        <w:t>t</w:t>
      </w:r>
      <w:r>
        <w:rPr>
          <w:rFonts w:ascii="Cambria" w:eastAsia="Cambria" w:hAnsi="Cambria" w:cs="Cambria"/>
        </w:rPr>
        <w:t>) designates the accrued interest on</w:t>
      </w:r>
      <w:r>
        <w:rPr>
          <w:rFonts w:ascii="Cambria" w:eastAsia="Cambria" w:hAnsi="Cambria" w:cs="Cambria"/>
        </w:rPr>
        <w:t xml:space="preserve"> the bond at time t</w:t>
      </w:r>
    </w:p>
    <w:p w:rsidR="00EE13F6" w:rsidRDefault="002E5BC4">
      <w:pPr>
        <w:spacing w:after="130" w:line="264" w:lineRule="auto"/>
        <w:ind w:left="-5" w:right="468" w:hanging="10"/>
        <w:jc w:val="both"/>
      </w:pPr>
      <w:r>
        <w:rPr>
          <w:rFonts w:ascii="Cambria" w:eastAsia="Cambria" w:hAnsi="Cambria" w:cs="Cambria"/>
        </w:rPr>
        <w:t>Furthermore, Equation (1) can be extended when the yield curve is not flat.</w:t>
      </w:r>
    </w:p>
    <w:p w:rsidR="00EE13F6" w:rsidRDefault="002E5BC4">
      <w:pPr>
        <w:spacing w:after="467" w:line="264" w:lineRule="auto"/>
        <w:ind w:left="-5" w:right="468" w:hanging="10"/>
        <w:jc w:val="both"/>
      </w:pPr>
      <w:r>
        <w:rPr>
          <w:rFonts w:ascii="Cambria" w:eastAsia="Cambria" w:hAnsi="Cambria" w:cs="Cambria"/>
        </w:rPr>
        <w:t>Equation (1) means that any dollar variation of the upfront value of the CDS is going to increase or decrease by the same amount the market value of the corpora</w:t>
      </w:r>
      <w:r>
        <w:rPr>
          <w:rFonts w:ascii="Cambria" w:eastAsia="Cambria" w:hAnsi="Cambria" w:cs="Cambria"/>
        </w:rPr>
        <w:t>te bond. In particular any increase in the credit spread is going to increase the upfront value of credit protection and decrease by the same amount the value of the corporate bond.</w:t>
      </w:r>
    </w:p>
    <w:p w:rsidR="00EE13F6" w:rsidRDefault="002E5BC4">
      <w:pPr>
        <w:pStyle w:val="Heading2"/>
        <w:ind w:left="608" w:right="106" w:hanging="623"/>
      </w:pPr>
      <w:r>
        <w:t>1.2</w:t>
      </w:r>
      <w:r>
        <w:tab/>
        <w:t xml:space="preserve">Bond Basis Arbitrage Against Credit Derivatives in the Context of the </w:t>
      </w:r>
      <w:r>
        <w:t>FTT Introduction</w:t>
      </w:r>
    </w:p>
    <w:p w:rsidR="00EE13F6" w:rsidRDefault="002E5BC4">
      <w:pPr>
        <w:spacing w:after="130" w:line="264" w:lineRule="auto"/>
        <w:ind w:left="-5" w:right="468" w:hanging="10"/>
        <w:jc w:val="both"/>
      </w:pPr>
      <w:r>
        <w:rPr>
          <w:rFonts w:ascii="Cambria" w:eastAsia="Cambria" w:hAnsi="Cambria" w:cs="Cambria"/>
        </w:rPr>
        <w:t>Equation (1) links the respective prices of the risk free rate bond, and the upfront value of the CDS and corporate bond. It allows the possible arbitrage between corporate bond and risk free bond prices as well as CDS prices. The possibil</w:t>
      </w:r>
      <w:r>
        <w:rPr>
          <w:rFonts w:ascii="Cambria" w:eastAsia="Cambria" w:hAnsi="Cambria" w:cs="Cambria"/>
        </w:rPr>
        <w:t>ity of an arbitrage occurs every time, the respective market prices or expected transaction prices observed on the market are such that equation (1) does not hold. It can happen, for instance, when the price of the corporate bond is below its theoretical p</w:t>
      </w:r>
      <w:r>
        <w:rPr>
          <w:rFonts w:ascii="Cambria" w:eastAsia="Cambria" w:hAnsi="Cambria" w:cs="Cambria"/>
        </w:rPr>
        <w:t>rice built up from the observation of the risk free bond price and the CDS price.</w:t>
      </w:r>
    </w:p>
    <w:p w:rsidR="00EE13F6" w:rsidRDefault="002E5BC4">
      <w:pPr>
        <w:spacing w:after="130" w:line="264" w:lineRule="auto"/>
        <w:ind w:left="-5" w:right="468" w:hanging="10"/>
        <w:jc w:val="both"/>
      </w:pPr>
      <w:r>
        <w:rPr>
          <w:rFonts w:ascii="Cambria" w:eastAsia="Cambria" w:hAnsi="Cambria" w:cs="Cambria"/>
        </w:rPr>
        <w:t>In the case of a floating rate bond, it happens when the spread of the corporate bond which includes in its spread an implicit credit default protection, does not correspond to the spread of the CDS, after deduction of possible transaction costs. Those cos</w:t>
      </w:r>
      <w:r>
        <w:rPr>
          <w:rFonts w:ascii="Cambria" w:eastAsia="Cambria" w:hAnsi="Cambria" w:cs="Cambria"/>
        </w:rPr>
        <w:t xml:space="preserve">ts consist generally of bid-ask spreads on the </w:t>
      </w:r>
      <w:r>
        <w:rPr>
          <w:rFonts w:ascii="Cambria" w:eastAsia="Cambria" w:hAnsi="Cambria" w:cs="Cambria"/>
        </w:rPr>
        <w:lastRenderedPageBreak/>
        <w:t>respective prices of both bonds and CDS. The difference between the bond credit spread and the CDS spread is called the ”basis”.</w:t>
      </w:r>
    </w:p>
    <w:p w:rsidR="00EE13F6" w:rsidRDefault="002E5BC4">
      <w:pPr>
        <w:spacing w:after="166" w:line="264" w:lineRule="auto"/>
        <w:ind w:left="-5" w:right="468" w:hanging="10"/>
        <w:jc w:val="both"/>
      </w:pPr>
      <w:r>
        <w:rPr>
          <w:rFonts w:ascii="Cambria" w:eastAsia="Cambria" w:hAnsi="Cambria" w:cs="Cambria"/>
        </w:rPr>
        <w:t>For instance, buying the corporate bond price, selling the government bond and s</w:t>
      </w:r>
      <w:r>
        <w:rPr>
          <w:rFonts w:ascii="Cambria" w:eastAsia="Cambria" w:hAnsi="Cambria" w:cs="Cambria"/>
        </w:rPr>
        <w:t>elling protection trough a CDS would constitute such an arbitrage in the case where the bond price would be lower than its theoretical value. Assuming:</w:t>
      </w:r>
    </w:p>
    <w:p w:rsidR="00EE13F6" w:rsidRDefault="002E5BC4">
      <w:pPr>
        <w:spacing w:after="184" w:line="264" w:lineRule="auto"/>
        <w:ind w:left="-5" w:right="468" w:hanging="10"/>
        <w:jc w:val="both"/>
      </w:pPr>
      <w:r>
        <w:rPr>
          <w:rFonts w:ascii="Cambria" w:eastAsia="Cambria" w:hAnsi="Cambria" w:cs="Cambria"/>
          <w:i/>
        </w:rPr>
        <w:t>P</w:t>
      </w:r>
      <w:r>
        <w:rPr>
          <w:rFonts w:ascii="Cambria" w:eastAsia="Cambria" w:hAnsi="Cambria" w:cs="Cambria"/>
          <w:i/>
          <w:vertAlign w:val="subscript"/>
        </w:rPr>
        <w:t>R</w:t>
      </w:r>
      <w:r>
        <w:rPr>
          <w:rFonts w:ascii="Cambria" w:eastAsia="Cambria" w:hAnsi="Cambria" w:cs="Cambria"/>
          <w:i/>
          <w:sz w:val="18"/>
          <w:vertAlign w:val="subscript"/>
        </w:rPr>
        <w:t xml:space="preserve">fb </w:t>
      </w:r>
      <w:r>
        <w:rPr>
          <w:rFonts w:ascii="Cambria" w:eastAsia="Cambria" w:hAnsi="Cambria" w:cs="Cambria"/>
        </w:rPr>
        <w:t>is the bid price of a risk free bond</w:t>
      </w:r>
    </w:p>
    <w:p w:rsidR="00EE13F6" w:rsidRDefault="002E5BC4">
      <w:pPr>
        <w:spacing w:after="167" w:line="264" w:lineRule="auto"/>
        <w:ind w:left="-5" w:right="468" w:hanging="10"/>
        <w:jc w:val="both"/>
      </w:pPr>
      <w:r>
        <w:rPr>
          <w:rFonts w:ascii="Cambria" w:eastAsia="Cambria" w:hAnsi="Cambria" w:cs="Cambria"/>
          <w:i/>
        </w:rPr>
        <w:t>U</w:t>
      </w:r>
      <w:r>
        <w:rPr>
          <w:rFonts w:ascii="Cambria" w:eastAsia="Cambria" w:hAnsi="Cambria" w:cs="Cambria"/>
          <w:i/>
          <w:vertAlign w:val="subscript"/>
        </w:rPr>
        <w:t>F</w:t>
      </w:r>
      <w:r>
        <w:rPr>
          <w:rFonts w:ascii="Cambria" w:eastAsia="Cambria" w:hAnsi="Cambria" w:cs="Cambria"/>
          <w:i/>
          <w:sz w:val="18"/>
          <w:vertAlign w:val="subscript"/>
        </w:rPr>
        <w:t xml:space="preserve">cb </w:t>
      </w:r>
      <w:r>
        <w:rPr>
          <w:rFonts w:ascii="Cambria" w:eastAsia="Cambria" w:hAnsi="Cambria" w:cs="Cambria"/>
        </w:rPr>
        <w:t>is the corresponding bid upfront value of the CDS</w:t>
      </w:r>
    </w:p>
    <w:p w:rsidR="00EE13F6" w:rsidRDefault="002E5BC4">
      <w:pPr>
        <w:spacing w:after="130" w:line="264" w:lineRule="auto"/>
        <w:ind w:left="-5" w:right="468" w:hanging="10"/>
        <w:jc w:val="both"/>
      </w:pPr>
      <w:r>
        <w:rPr>
          <w:rFonts w:ascii="Cambria" w:eastAsia="Cambria" w:hAnsi="Cambria" w:cs="Cambria"/>
          <w:i/>
        </w:rPr>
        <w:t>P</w:t>
      </w:r>
      <w:r>
        <w:rPr>
          <w:rFonts w:ascii="Cambria" w:eastAsia="Cambria" w:hAnsi="Cambria" w:cs="Cambria"/>
          <w:i/>
          <w:vertAlign w:val="subscript"/>
        </w:rPr>
        <w:t xml:space="preserve">cb </w:t>
      </w:r>
      <w:r>
        <w:rPr>
          <w:rFonts w:ascii="Cambria" w:eastAsia="Cambria" w:hAnsi="Cambria" w:cs="Cambria"/>
        </w:rPr>
        <w:t>is the bid price of the corporate bond observed on the secondary bond market.</w:t>
      </w:r>
    </w:p>
    <w:p w:rsidR="00EE13F6" w:rsidRDefault="002E5BC4">
      <w:pPr>
        <w:spacing w:after="130" w:line="264" w:lineRule="auto"/>
        <w:ind w:left="-5" w:right="468" w:hanging="10"/>
        <w:jc w:val="both"/>
      </w:pPr>
      <w:r>
        <w:rPr>
          <w:rFonts w:ascii="Cambria" w:eastAsia="Cambria" w:hAnsi="Cambria" w:cs="Cambria"/>
        </w:rPr>
        <w:t>We are interested in the bid price of the corporate bond</w:t>
      </w:r>
    </w:p>
    <w:p w:rsidR="00EE13F6" w:rsidRDefault="002E5BC4">
      <w:pPr>
        <w:spacing w:after="421" w:line="320" w:lineRule="auto"/>
        <w:ind w:left="-5" w:right="468" w:hanging="10"/>
        <w:jc w:val="both"/>
      </w:pPr>
      <w:r>
        <w:rPr>
          <w:rFonts w:ascii="Cambria" w:eastAsia="Cambria" w:hAnsi="Cambria" w:cs="Cambria"/>
        </w:rPr>
        <w:t>The arbitrage consists of buying a corporate bond, funding the purchase through a repo, buying credit default protection,</w:t>
      </w:r>
      <w:r>
        <w:rPr>
          <w:rFonts w:ascii="Cambria" w:eastAsia="Cambria" w:hAnsi="Cambria" w:cs="Cambria"/>
        </w:rPr>
        <w:t xml:space="preserve"> and finally selling the risk free into the market. a- Before the introduction the FTT the cash flow (CF) of such arbitrage writes.</w:t>
      </w:r>
    </w:p>
    <w:p w:rsidR="00EE13F6" w:rsidRDefault="002E5BC4">
      <w:pPr>
        <w:spacing w:after="284" w:line="265" w:lineRule="auto"/>
        <w:ind w:left="10" w:right="493" w:hanging="10"/>
        <w:jc w:val="center"/>
      </w:pPr>
      <w:r>
        <w:rPr>
          <w:rFonts w:ascii="Cambria" w:eastAsia="Cambria" w:hAnsi="Cambria" w:cs="Cambria"/>
          <w:i/>
        </w:rPr>
        <w:t xml:space="preserve">CF </w:t>
      </w:r>
      <w:r>
        <w:rPr>
          <w:rFonts w:ascii="Cambria" w:eastAsia="Cambria" w:hAnsi="Cambria" w:cs="Cambria"/>
        </w:rPr>
        <w:t xml:space="preserve">= </w:t>
      </w:r>
      <w:r>
        <w:rPr>
          <w:rFonts w:ascii="Cambria" w:eastAsia="Cambria" w:hAnsi="Cambria" w:cs="Cambria"/>
          <w:i/>
        </w:rPr>
        <w:t>P</w:t>
      </w:r>
      <w:r>
        <w:rPr>
          <w:rFonts w:ascii="Cambria" w:eastAsia="Cambria" w:hAnsi="Cambria" w:cs="Cambria"/>
          <w:i/>
          <w:sz w:val="16"/>
        </w:rPr>
        <w:t>R</w:t>
      </w:r>
      <w:r>
        <w:rPr>
          <w:rFonts w:ascii="Cambria" w:eastAsia="Cambria" w:hAnsi="Cambria" w:cs="Cambria"/>
          <w:i/>
          <w:sz w:val="12"/>
        </w:rPr>
        <w:t xml:space="preserve">fb </w:t>
      </w:r>
      <w:r>
        <w:rPr>
          <w:rFonts w:ascii="Cambria" w:eastAsia="Cambria" w:hAnsi="Cambria" w:cs="Cambria"/>
        </w:rPr>
        <w:t>−</w:t>
      </w:r>
      <w:r>
        <w:rPr>
          <w:rFonts w:ascii="Cambria" w:eastAsia="Cambria" w:hAnsi="Cambria" w:cs="Cambria"/>
        </w:rPr>
        <w:t xml:space="preserve"> </w:t>
      </w:r>
      <w:r>
        <w:rPr>
          <w:rFonts w:ascii="Cambria" w:eastAsia="Cambria" w:hAnsi="Cambria" w:cs="Cambria"/>
          <w:i/>
        </w:rPr>
        <w:t>U</w:t>
      </w:r>
      <w:r>
        <w:rPr>
          <w:rFonts w:ascii="Cambria" w:eastAsia="Cambria" w:hAnsi="Cambria" w:cs="Cambria"/>
          <w:i/>
          <w:sz w:val="16"/>
        </w:rPr>
        <w:t>F</w:t>
      </w:r>
      <w:r>
        <w:rPr>
          <w:rFonts w:ascii="Cambria" w:eastAsia="Cambria" w:hAnsi="Cambria" w:cs="Cambria"/>
          <w:i/>
          <w:sz w:val="12"/>
        </w:rPr>
        <w:t xml:space="preserve">cb </w:t>
      </w:r>
      <w:r>
        <w:rPr>
          <w:rFonts w:ascii="Cambria" w:eastAsia="Cambria" w:hAnsi="Cambria" w:cs="Cambria"/>
        </w:rPr>
        <w:t>−</w:t>
      </w:r>
      <w:r>
        <w:rPr>
          <w:rFonts w:ascii="Cambria" w:eastAsia="Cambria" w:hAnsi="Cambria" w:cs="Cambria"/>
        </w:rPr>
        <w:t xml:space="preserve"> </w:t>
      </w:r>
      <w:r>
        <w:rPr>
          <w:rFonts w:ascii="Cambria" w:eastAsia="Cambria" w:hAnsi="Cambria" w:cs="Cambria"/>
          <w:i/>
        </w:rPr>
        <w:t>P</w:t>
      </w:r>
      <w:r>
        <w:rPr>
          <w:rFonts w:ascii="Cambria" w:eastAsia="Cambria" w:hAnsi="Cambria" w:cs="Cambria"/>
          <w:i/>
          <w:sz w:val="16"/>
        </w:rPr>
        <w:t>cb</w:t>
      </w:r>
    </w:p>
    <w:p w:rsidR="00EE13F6" w:rsidRDefault="002E5BC4">
      <w:pPr>
        <w:spacing w:after="508" w:line="264" w:lineRule="auto"/>
        <w:ind w:left="-5" w:right="468" w:hanging="10"/>
        <w:jc w:val="both"/>
      </w:pPr>
      <w:r>
        <w:rPr>
          <w:rFonts w:ascii="Cambria" w:eastAsia="Cambria" w:hAnsi="Cambria" w:cs="Cambria"/>
        </w:rPr>
        <w:t>The corporate cash bond price insuring the breakeven (</w:t>
      </w:r>
      <w:r>
        <w:rPr>
          <w:rFonts w:ascii="Cambria" w:eastAsia="Cambria" w:hAnsi="Cambria" w:cs="Cambria"/>
          <w:i/>
        </w:rPr>
        <w:t xml:space="preserve">CF </w:t>
      </w:r>
      <w:r>
        <w:rPr>
          <w:rFonts w:ascii="Cambria" w:eastAsia="Cambria" w:hAnsi="Cambria" w:cs="Cambria"/>
        </w:rPr>
        <w:t>= 0) of the arbitrage is:</w:t>
      </w:r>
    </w:p>
    <w:p w:rsidR="00EE13F6" w:rsidRDefault="002E5BC4">
      <w:pPr>
        <w:spacing w:after="255"/>
        <w:ind w:right="503"/>
        <w:jc w:val="center"/>
      </w:pPr>
      <w:r>
        <w:rPr>
          <w:rFonts w:ascii="Cambria" w:eastAsia="Cambria" w:hAnsi="Cambria" w:cs="Cambria"/>
          <w:i/>
        </w:rPr>
        <w:t>P</w:t>
      </w:r>
      <w:r>
        <w:rPr>
          <w:rFonts w:ascii="Cambria" w:eastAsia="Cambria" w:hAnsi="Cambria" w:cs="Cambria"/>
          <w:i/>
          <w:sz w:val="16"/>
        </w:rPr>
        <w:t xml:space="preserve">cb </w:t>
      </w:r>
      <w:r>
        <w:rPr>
          <w:rFonts w:ascii="Cambria" w:eastAsia="Cambria" w:hAnsi="Cambria" w:cs="Cambria"/>
        </w:rPr>
        <w:t xml:space="preserve">= </w:t>
      </w:r>
      <w:r>
        <w:rPr>
          <w:rFonts w:ascii="Cambria" w:eastAsia="Cambria" w:hAnsi="Cambria" w:cs="Cambria"/>
          <w:i/>
        </w:rPr>
        <w:t>P</w:t>
      </w:r>
      <w:r>
        <w:rPr>
          <w:rFonts w:ascii="Cambria" w:eastAsia="Cambria" w:hAnsi="Cambria" w:cs="Cambria"/>
          <w:i/>
          <w:sz w:val="16"/>
        </w:rPr>
        <w:t>R</w:t>
      </w:r>
      <w:r>
        <w:rPr>
          <w:rFonts w:ascii="Cambria" w:eastAsia="Cambria" w:hAnsi="Cambria" w:cs="Cambria"/>
          <w:i/>
          <w:sz w:val="16"/>
          <w:vertAlign w:val="subscript"/>
        </w:rPr>
        <w:t xml:space="preserve">fb </w:t>
      </w:r>
      <w:r>
        <w:rPr>
          <w:rFonts w:ascii="Cambria" w:eastAsia="Cambria" w:hAnsi="Cambria" w:cs="Cambria"/>
        </w:rPr>
        <w:t>−</w:t>
      </w:r>
      <w:r>
        <w:rPr>
          <w:rFonts w:ascii="Cambria" w:eastAsia="Cambria" w:hAnsi="Cambria" w:cs="Cambria"/>
        </w:rPr>
        <w:t xml:space="preserve"> </w:t>
      </w:r>
      <w:r>
        <w:rPr>
          <w:rFonts w:ascii="Cambria" w:eastAsia="Cambria" w:hAnsi="Cambria" w:cs="Cambria"/>
          <w:i/>
        </w:rPr>
        <w:t>U</w:t>
      </w:r>
      <w:r>
        <w:rPr>
          <w:rFonts w:ascii="Cambria" w:eastAsia="Cambria" w:hAnsi="Cambria" w:cs="Cambria"/>
          <w:i/>
          <w:sz w:val="16"/>
        </w:rPr>
        <w:t>F</w:t>
      </w:r>
      <w:r>
        <w:rPr>
          <w:rFonts w:ascii="Cambria" w:eastAsia="Cambria" w:hAnsi="Cambria" w:cs="Cambria"/>
          <w:i/>
          <w:sz w:val="16"/>
          <w:vertAlign w:val="subscript"/>
        </w:rPr>
        <w:t>cb</w:t>
      </w:r>
    </w:p>
    <w:p w:rsidR="00EE13F6" w:rsidRDefault="002E5BC4">
      <w:pPr>
        <w:spacing w:after="171" w:line="252" w:lineRule="auto"/>
        <w:ind w:left="-5" w:right="468" w:hanging="10"/>
      </w:pPr>
      <w:r>
        <w:rPr>
          <w:rFonts w:ascii="Cambria" w:eastAsia="Cambria" w:hAnsi="Cambria" w:cs="Cambria"/>
        </w:rPr>
        <w:t>After the FTT is introduced, additional transaction costs in the arbitrage have to be considered. The buyer of the corporate bond (counterpart A) executes 3 different transactions with opposing counterparts:</w:t>
      </w:r>
    </w:p>
    <w:p w:rsidR="00EE13F6" w:rsidRDefault="002E5BC4">
      <w:pPr>
        <w:spacing w:after="130" w:line="264" w:lineRule="auto"/>
        <w:ind w:left="-5" w:right="468" w:hanging="10"/>
        <w:jc w:val="both"/>
      </w:pPr>
      <w:r>
        <w:rPr>
          <w:rFonts w:ascii="Cambria" w:eastAsia="Cambria" w:hAnsi="Cambria" w:cs="Cambria"/>
        </w:rPr>
        <w:t>- 2 bond transactions consisting respectively in</w:t>
      </w:r>
      <w:r>
        <w:rPr>
          <w:rFonts w:ascii="Cambria" w:eastAsia="Cambria" w:hAnsi="Cambria" w:cs="Cambria"/>
        </w:rPr>
        <w:t xml:space="preserve"> the purchase of the corporate bond and the sale of the risk free bond. - 1 transaction consisting of buying credit protection.</w:t>
      </w:r>
    </w:p>
    <w:p w:rsidR="00EE13F6" w:rsidRDefault="002E5BC4">
      <w:pPr>
        <w:spacing w:after="130" w:line="264" w:lineRule="auto"/>
        <w:ind w:left="-5" w:right="468" w:hanging="10"/>
        <w:jc w:val="both"/>
      </w:pPr>
      <w:r>
        <w:rPr>
          <w:rFonts w:ascii="Cambria" w:eastAsia="Cambria" w:hAnsi="Cambria" w:cs="Cambria"/>
        </w:rPr>
        <w:t xml:space="preserve">The opposing counterparts (counterpart B) mirror those trades and execute symmetrically the same kind of transactions, the sign </w:t>
      </w:r>
      <w:r>
        <w:rPr>
          <w:rFonts w:ascii="Cambria" w:eastAsia="Cambria" w:hAnsi="Cambria" w:cs="Cambria"/>
        </w:rPr>
        <w:t>being changed.</w:t>
      </w:r>
    </w:p>
    <w:p w:rsidR="00EE13F6" w:rsidRDefault="002E5BC4">
      <w:pPr>
        <w:spacing w:after="130" w:line="264" w:lineRule="auto"/>
        <w:ind w:left="-5" w:right="468" w:hanging="10"/>
        <w:jc w:val="both"/>
      </w:pPr>
      <w:r>
        <w:rPr>
          <w:rFonts w:ascii="Cambria" w:eastAsia="Cambria" w:hAnsi="Cambria" w:cs="Cambria"/>
        </w:rPr>
        <w:t xml:space="preserve">Under the FTT regime bond transactions are taxed for their amount at the rate of the 0.1 percent, whereas the CDS transaction, as a derivative, will be subject to a tax levied at a rate of 0.01 percent on its nominal amount </w:t>
      </w:r>
      <w:r>
        <w:rPr>
          <w:rFonts w:ascii="Cambria" w:eastAsia="Cambria" w:hAnsi="Cambria" w:cs="Cambria"/>
          <w:i/>
        </w:rPr>
        <w:t>N</w:t>
      </w:r>
      <w:r>
        <w:rPr>
          <w:rFonts w:ascii="Cambria" w:eastAsia="Cambria" w:hAnsi="Cambria" w:cs="Cambria"/>
        </w:rPr>
        <w:t>.</w:t>
      </w:r>
    </w:p>
    <w:p w:rsidR="00EE13F6" w:rsidRDefault="002E5BC4">
      <w:pPr>
        <w:spacing w:after="130" w:line="264" w:lineRule="auto"/>
        <w:ind w:left="-5" w:right="468" w:hanging="10"/>
        <w:jc w:val="both"/>
      </w:pPr>
      <w:r>
        <w:rPr>
          <w:rFonts w:ascii="Cambria" w:eastAsia="Cambria" w:hAnsi="Cambria" w:cs="Cambria"/>
        </w:rPr>
        <w:t>We assume that</w:t>
      </w:r>
      <w:r>
        <w:rPr>
          <w:rFonts w:ascii="Cambria" w:eastAsia="Cambria" w:hAnsi="Cambria" w:cs="Cambria"/>
        </w:rPr>
        <w:t xml:space="preserve"> all counterparts are passing their transaction costs in their quoted price.</w:t>
      </w:r>
    </w:p>
    <w:p w:rsidR="00EE13F6" w:rsidRDefault="002E5BC4">
      <w:pPr>
        <w:spacing w:after="130" w:line="316" w:lineRule="auto"/>
        <w:ind w:left="-5" w:right="468" w:hanging="10"/>
        <w:jc w:val="both"/>
      </w:pPr>
      <w:r>
        <w:rPr>
          <w:rFonts w:ascii="Cambria" w:eastAsia="Cambria" w:hAnsi="Cambria" w:cs="Cambria"/>
        </w:rPr>
        <w:t>Consequently, the new bid-price quoted by counterpart B at which counterpart A sells the risk free bond is (1−</w:t>
      </w:r>
      <w:r>
        <w:rPr>
          <w:rFonts w:ascii="Cambria" w:eastAsia="Cambria" w:hAnsi="Cambria" w:cs="Cambria"/>
          <w:i/>
        </w:rPr>
        <w:t>t</w:t>
      </w:r>
      <w:r>
        <w:rPr>
          <w:rFonts w:ascii="Cambria" w:eastAsia="Cambria" w:hAnsi="Cambria" w:cs="Cambria"/>
        </w:rPr>
        <w:t>)</w:t>
      </w:r>
      <w:r>
        <w:rPr>
          <w:rFonts w:ascii="Cambria" w:eastAsia="Cambria" w:hAnsi="Cambria" w:cs="Cambria"/>
          <w:i/>
        </w:rPr>
        <w:t>P</w:t>
      </w:r>
      <w:r>
        <w:rPr>
          <w:rFonts w:ascii="Cambria" w:eastAsia="Cambria" w:hAnsi="Cambria" w:cs="Cambria"/>
          <w:i/>
          <w:vertAlign w:val="subscript"/>
        </w:rPr>
        <w:t>Rf</w:t>
      </w:r>
      <w:r>
        <w:rPr>
          <w:rFonts w:ascii="Cambria" w:eastAsia="Cambria" w:hAnsi="Cambria" w:cs="Cambria"/>
          <w:i/>
          <w:sz w:val="18"/>
          <w:vertAlign w:val="subscript"/>
        </w:rPr>
        <w:t xml:space="preserve">b </w:t>
      </w:r>
      <w:r>
        <w:rPr>
          <w:rFonts w:ascii="Cambria" w:eastAsia="Cambria" w:hAnsi="Cambria" w:cs="Cambria"/>
        </w:rPr>
        <w:t xml:space="preserve">and the sale is itself subject to the FTT rate of </w:t>
      </w:r>
      <w:r>
        <w:rPr>
          <w:rFonts w:ascii="Cambria" w:eastAsia="Cambria" w:hAnsi="Cambria" w:cs="Cambria"/>
          <w:i/>
        </w:rPr>
        <w:t xml:space="preserve">t </w:t>
      </w:r>
      <w:r>
        <w:rPr>
          <w:rFonts w:ascii="Cambria" w:eastAsia="Cambria" w:hAnsi="Cambria" w:cs="Cambria"/>
        </w:rPr>
        <w:t>leading to</w:t>
      </w:r>
      <w:r>
        <w:rPr>
          <w:rFonts w:ascii="Cambria" w:eastAsia="Cambria" w:hAnsi="Cambria" w:cs="Cambria"/>
        </w:rPr>
        <w:t xml:space="preserve"> proceeds amounting to (1 − </w:t>
      </w:r>
      <w:r>
        <w:rPr>
          <w:rFonts w:ascii="Cambria" w:eastAsia="Cambria" w:hAnsi="Cambria" w:cs="Cambria"/>
          <w:i/>
        </w:rPr>
        <w:t>t</w:t>
      </w:r>
      <w:r>
        <w:rPr>
          <w:rFonts w:ascii="Cambria" w:eastAsia="Cambria" w:hAnsi="Cambria" w:cs="Cambria"/>
        </w:rPr>
        <w:t>)</w:t>
      </w:r>
      <w:r>
        <w:rPr>
          <w:rFonts w:ascii="Cambria" w:eastAsia="Cambria" w:hAnsi="Cambria" w:cs="Cambria"/>
          <w:vertAlign w:val="superscript"/>
        </w:rPr>
        <w:t>2</w:t>
      </w:r>
      <w:r>
        <w:rPr>
          <w:rFonts w:ascii="Cambria" w:eastAsia="Cambria" w:hAnsi="Cambria" w:cs="Cambria"/>
          <w:i/>
        </w:rPr>
        <w:t>P</w:t>
      </w:r>
      <w:r>
        <w:rPr>
          <w:rFonts w:ascii="Cambria" w:eastAsia="Cambria" w:hAnsi="Cambria" w:cs="Cambria"/>
          <w:i/>
          <w:vertAlign w:val="subscript"/>
        </w:rPr>
        <w:t>R</w:t>
      </w:r>
      <w:r>
        <w:rPr>
          <w:rFonts w:ascii="Cambria" w:eastAsia="Cambria" w:hAnsi="Cambria" w:cs="Cambria"/>
          <w:i/>
          <w:sz w:val="18"/>
          <w:vertAlign w:val="subscript"/>
        </w:rPr>
        <w:t>fb</w:t>
      </w:r>
      <w:r>
        <w:rPr>
          <w:rFonts w:ascii="Cambria" w:eastAsia="Cambria" w:hAnsi="Cambria" w:cs="Cambria"/>
        </w:rPr>
        <w:t>.</w:t>
      </w:r>
    </w:p>
    <w:p w:rsidR="00EE13F6" w:rsidRDefault="002E5BC4">
      <w:pPr>
        <w:spacing w:after="0" w:line="416" w:lineRule="auto"/>
        <w:ind w:left="-5" w:right="4018" w:hanging="10"/>
        <w:jc w:val="both"/>
      </w:pPr>
      <w:r>
        <w:rPr>
          <w:rFonts w:ascii="Cambria" w:eastAsia="Cambria" w:hAnsi="Cambria" w:cs="Cambria"/>
        </w:rPr>
        <w:t xml:space="preserve">The new asking price for the counterpart B is (1 + </w:t>
      </w:r>
      <w:r>
        <w:rPr>
          <w:rFonts w:ascii="Cambria" w:eastAsia="Cambria" w:hAnsi="Cambria" w:cs="Cambria"/>
          <w:i/>
        </w:rPr>
        <w:t>t</w:t>
      </w:r>
      <w:r>
        <w:rPr>
          <w:rFonts w:ascii="Cambria" w:eastAsia="Cambria" w:hAnsi="Cambria" w:cs="Cambria"/>
        </w:rPr>
        <w:t>)</w:t>
      </w:r>
      <w:r>
        <w:rPr>
          <w:rFonts w:ascii="Cambria" w:eastAsia="Cambria" w:hAnsi="Cambria" w:cs="Cambria"/>
          <w:vertAlign w:val="superscript"/>
        </w:rPr>
        <w:t>2</w:t>
      </w:r>
      <w:r>
        <w:rPr>
          <w:rFonts w:ascii="Cambria" w:eastAsia="Cambria" w:hAnsi="Cambria" w:cs="Cambria"/>
          <w:i/>
        </w:rPr>
        <w:t>P</w:t>
      </w:r>
      <w:r>
        <w:rPr>
          <w:rFonts w:ascii="Cambria" w:eastAsia="Cambria" w:hAnsi="Cambria" w:cs="Cambria"/>
          <w:i/>
          <w:vertAlign w:val="subscript"/>
        </w:rPr>
        <w:t xml:space="preserve">cb </w:t>
      </w:r>
      <w:r>
        <w:rPr>
          <w:rFonts w:ascii="Cambria" w:eastAsia="Cambria" w:hAnsi="Cambria" w:cs="Cambria"/>
        </w:rPr>
        <w:t>The new breakeven price is:</w:t>
      </w:r>
    </w:p>
    <w:p w:rsidR="00EE13F6" w:rsidRDefault="002E5BC4">
      <w:pPr>
        <w:tabs>
          <w:tab w:val="center" w:pos="4703"/>
          <w:tab w:val="center" w:pos="9221"/>
        </w:tabs>
        <w:spacing w:after="272" w:line="265" w:lineRule="auto"/>
      </w:pPr>
      <w:r>
        <w:lastRenderedPageBreak/>
        <w:tab/>
      </w:r>
      <w:r>
        <w:rPr>
          <w:noProof/>
        </w:rPr>
        <w:drawing>
          <wp:inline distT="0" distB="0" distL="0" distR="0">
            <wp:extent cx="2435352" cy="344424"/>
            <wp:effectExtent l="0" t="0" r="0" b="0"/>
            <wp:docPr id="221919" name="Picture 221919"/>
            <wp:cNvGraphicFramePr/>
            <a:graphic xmlns:a="http://schemas.openxmlformats.org/drawingml/2006/main">
              <a:graphicData uri="http://schemas.openxmlformats.org/drawingml/2006/picture">
                <pic:pic xmlns:pic="http://schemas.openxmlformats.org/drawingml/2006/picture">
                  <pic:nvPicPr>
                    <pic:cNvPr id="221919" name="Picture 221919"/>
                    <pic:cNvPicPr/>
                  </pic:nvPicPr>
                  <pic:blipFill>
                    <a:blip r:embed="rId136"/>
                    <a:stretch>
                      <a:fillRect/>
                    </a:stretch>
                  </pic:blipFill>
                  <pic:spPr>
                    <a:xfrm>
                      <a:off x="0" y="0"/>
                      <a:ext cx="2435352" cy="344424"/>
                    </a:xfrm>
                    <a:prstGeom prst="rect">
                      <a:avLst/>
                    </a:prstGeom>
                  </pic:spPr>
                </pic:pic>
              </a:graphicData>
            </a:graphic>
          </wp:inline>
        </w:drawing>
      </w:r>
      <w:r>
        <w:rPr>
          <w:rFonts w:ascii="Cambria" w:eastAsia="Cambria" w:hAnsi="Cambria" w:cs="Cambria"/>
        </w:rPr>
        <w:tab/>
        <w:t>(3)</w:t>
      </w:r>
    </w:p>
    <w:p w:rsidR="00EE13F6" w:rsidRDefault="002E5BC4">
      <w:pPr>
        <w:spacing w:after="130" w:line="264" w:lineRule="auto"/>
        <w:ind w:left="-5" w:right="468" w:hanging="10"/>
        <w:jc w:val="both"/>
      </w:pPr>
      <w:r>
        <w:rPr>
          <w:rFonts w:ascii="Cambria" w:eastAsia="Cambria" w:hAnsi="Cambria" w:cs="Cambria"/>
        </w:rPr>
        <w:t>We can see immediately that the introduction of the FTT generates an additional cost of 0.4 percent. In order to be break-even, the basis arbitrage will then have to consider is going to increase the basis between the CDS upfront value and the corporate ca</w:t>
      </w:r>
      <w:r>
        <w:rPr>
          <w:rFonts w:ascii="Cambria" w:eastAsia="Cambria" w:hAnsi="Cambria" w:cs="Cambria"/>
        </w:rPr>
        <w:t>sh bond by 0.4 percent.</w:t>
      </w:r>
    </w:p>
    <w:p w:rsidR="00EE13F6" w:rsidRDefault="002E5BC4">
      <w:pPr>
        <w:spacing w:after="585" w:line="264" w:lineRule="auto"/>
        <w:ind w:left="-5" w:right="468" w:hanging="10"/>
        <w:jc w:val="both"/>
      </w:pPr>
      <w:r>
        <w:rPr>
          <w:rFonts w:ascii="Cambria" w:eastAsia="Cambria" w:hAnsi="Cambria" w:cs="Cambria"/>
        </w:rPr>
        <w:t xml:space="preserve">Finally, corporate firms on the secondary market will have to lower their offering price by 0.4 percent of the notional value to accommodate for the introduction of the FTT. This price impact will then be transmitted to the primary </w:t>
      </w:r>
      <w:r>
        <w:rPr>
          <w:rFonts w:ascii="Cambria" w:eastAsia="Cambria" w:hAnsi="Cambria" w:cs="Cambria"/>
        </w:rPr>
        <w:t>market. This price impact does not consider the possible reaction of the CDS spread and the upfront value of the CDS to the introduction of the FTT.</w:t>
      </w:r>
    </w:p>
    <w:p w:rsidR="00EE13F6" w:rsidRDefault="002E5BC4">
      <w:pPr>
        <w:pStyle w:val="Heading1"/>
        <w:tabs>
          <w:tab w:val="center" w:pos="4823"/>
        </w:tabs>
        <w:spacing w:after="316"/>
        <w:ind w:left="-15" w:firstLine="0"/>
      </w:pPr>
      <w:r>
        <w:t>2</w:t>
      </w:r>
      <w:r>
        <w:tab/>
        <w:t>Arbitrage between Credit Derivatives and Equity Derivatives</w:t>
      </w:r>
    </w:p>
    <w:p w:rsidR="00EE13F6" w:rsidRDefault="002E5BC4">
      <w:pPr>
        <w:pStyle w:val="Heading2"/>
        <w:tabs>
          <w:tab w:val="center" w:pos="4292"/>
        </w:tabs>
        <w:ind w:left="-15" w:firstLine="0"/>
      </w:pPr>
      <w:r>
        <w:t>2.1</w:t>
      </w:r>
      <w:r>
        <w:tab/>
        <w:t xml:space="preserve">Theoretical Static Hedging of a CDS with </w:t>
      </w:r>
      <w:r>
        <w:t>Put Equity Options</w:t>
      </w:r>
    </w:p>
    <w:p w:rsidR="00EE13F6" w:rsidRDefault="002E5BC4">
      <w:pPr>
        <w:spacing w:after="130" w:line="264" w:lineRule="auto"/>
        <w:ind w:left="-5" w:right="468" w:hanging="10"/>
        <w:jc w:val="both"/>
      </w:pPr>
      <w:r>
        <w:rPr>
          <w:rFonts w:ascii="Cambria" w:eastAsia="Cambria" w:hAnsi="Cambria" w:cs="Cambria"/>
        </w:rPr>
        <w:t>”Convertible arbitrage” strategies consist in trading a convertible bond, either against the equity or a discount bond of the same corporate issuer. This concept has been further extended into the concept of ”capital structure arbitrage”, now a market stan</w:t>
      </w:r>
      <w:r>
        <w:rPr>
          <w:rFonts w:ascii="Cambria" w:eastAsia="Cambria" w:hAnsi="Cambria" w:cs="Cambria"/>
        </w:rPr>
        <w:t>dard, which consists in arbitraging various financing instruments of the same corporation. The justification for this arbitrage is explicit in Modigliani-Miller’s work.</w:t>
      </w:r>
    </w:p>
    <w:p w:rsidR="00EE13F6" w:rsidRDefault="002E5BC4">
      <w:pPr>
        <w:spacing w:after="130" w:line="264" w:lineRule="auto"/>
        <w:ind w:left="-5" w:right="468" w:hanging="10"/>
        <w:jc w:val="both"/>
      </w:pPr>
      <w:r>
        <w:rPr>
          <w:rFonts w:ascii="Cambria" w:eastAsia="Cambria" w:hAnsi="Cambria" w:cs="Cambria"/>
        </w:rPr>
        <w:t>As a consequence of the developments of capital markets, and also because of the Modigl</w:t>
      </w:r>
      <w:r>
        <w:rPr>
          <w:rFonts w:ascii="Cambria" w:eastAsia="Cambria" w:hAnsi="Cambria" w:cs="Cambria"/>
        </w:rPr>
        <w:t xml:space="preserve">ianiMiller’s justification, equity derivatives, credit derivatives and corporate bond markets are all interconnected. Equity volatility and corporate credit spreads can be arbitrated against each other. This arbitrage can be used for hedging purposes. For </w:t>
      </w:r>
      <w:r>
        <w:rPr>
          <w:rFonts w:ascii="Cambria" w:eastAsia="Cambria" w:hAnsi="Cambria" w:cs="Cambria"/>
        </w:rPr>
        <w:t xml:space="preserve">instance, economic agents insuring the credit risk on a specific issuer through a credit default swap (CDS), might hedge their exposure by buying a put on the corporate equity share. The put option will have to match exactly the CDS maturity. It is always </w:t>
      </w:r>
      <w:r>
        <w:rPr>
          <w:rFonts w:ascii="Cambria" w:eastAsia="Cambria" w:hAnsi="Cambria" w:cs="Cambria"/>
        </w:rPr>
        <w:t xml:space="preserve">possible to build up a natural or na¨ıve hedge against corporate Default by considering plain vanilla or exotic options such as binary or barrier options written directly on the corporate stock. Such exotic options are preferred because they are generally </w:t>
      </w:r>
      <w:r>
        <w:rPr>
          <w:rFonts w:ascii="Cambria" w:eastAsia="Cambria" w:hAnsi="Cambria" w:cs="Cambria"/>
        </w:rPr>
        <w:t>cheaper than plain vanilla options.</w:t>
      </w:r>
    </w:p>
    <w:p w:rsidR="00EE13F6" w:rsidRDefault="002E5BC4">
      <w:pPr>
        <w:spacing w:after="130" w:line="264" w:lineRule="auto"/>
        <w:ind w:left="-5" w:right="468" w:hanging="10"/>
        <w:jc w:val="both"/>
      </w:pPr>
      <w:r>
        <w:rPr>
          <w:rFonts w:ascii="Cambria" w:eastAsia="Cambria" w:hAnsi="Cambria" w:cs="Cambria"/>
        </w:rPr>
        <w:t>It is now a trend in today’s market that the CDS liquidity is dwindling down due to a tighter regulation. In this context, the hedging of CDS through equity options tends to develop at a fast pace.</w:t>
      </w:r>
    </w:p>
    <w:p w:rsidR="00EE13F6" w:rsidRDefault="002E5BC4">
      <w:pPr>
        <w:spacing w:after="130" w:line="264" w:lineRule="auto"/>
        <w:ind w:left="-5" w:right="468" w:hanging="10"/>
        <w:jc w:val="both"/>
      </w:pPr>
      <w:r>
        <w:rPr>
          <w:rFonts w:ascii="Cambria" w:eastAsia="Cambria" w:hAnsi="Cambria" w:cs="Cambria"/>
        </w:rPr>
        <w:t xml:space="preserve">It might happen, that </w:t>
      </w:r>
      <w:r>
        <w:rPr>
          <w:rFonts w:ascii="Cambria" w:eastAsia="Cambria" w:hAnsi="Cambria" w:cs="Cambria"/>
        </w:rPr>
        <w:t xml:space="preserve">there is not enough liquidity on the put option market for long dated maturities and out of the Money options. In this case, it is always possible to get the same protection level as the one provided by the put, by using a replicating portfolio consisting </w:t>
      </w:r>
      <w:r>
        <w:rPr>
          <w:rFonts w:ascii="Cambria" w:eastAsia="Cambria" w:hAnsi="Cambria" w:cs="Cambria"/>
        </w:rPr>
        <w:t xml:space="preserve">of short positions on the shares. By doing so, the agent willing to hedge will expose himself to the cascading effects of the FTT. He will support the transaction costs on the replicating portfolio, as well as the FTT on the replicating portfolio funding, </w:t>
      </w:r>
      <w:r>
        <w:rPr>
          <w:rFonts w:ascii="Cambria" w:eastAsia="Cambria" w:hAnsi="Cambria" w:cs="Cambria"/>
        </w:rPr>
        <w:t>as the FTT affects also the repurchase transactions.</w:t>
      </w:r>
    </w:p>
    <w:p w:rsidR="00EE13F6" w:rsidRDefault="002E5BC4">
      <w:pPr>
        <w:spacing w:after="130" w:line="264" w:lineRule="auto"/>
        <w:ind w:left="-5" w:right="468" w:hanging="10"/>
        <w:jc w:val="both"/>
      </w:pPr>
      <w:r>
        <w:rPr>
          <w:rFonts w:ascii="Cambria" w:eastAsia="Cambria" w:hAnsi="Cambria" w:cs="Cambria"/>
        </w:rPr>
        <w:t>Consequently, the occurrence of default and the fall of the firm’s stock value below a certain threshold are highly correlated.</w:t>
      </w:r>
    </w:p>
    <w:p w:rsidR="00EE13F6" w:rsidRDefault="002E5BC4">
      <w:pPr>
        <w:spacing w:after="139" w:line="257" w:lineRule="auto"/>
        <w:ind w:left="-5" w:right="361" w:hanging="10"/>
      </w:pPr>
      <w:r>
        <w:rPr>
          <w:rFonts w:ascii="Cambria" w:eastAsia="Cambria" w:hAnsi="Cambria" w:cs="Cambria"/>
          <w:b/>
        </w:rPr>
        <w:t>Proposition 1: Existence of Self-Financed Hedging Strategies against Credit</w:t>
      </w:r>
      <w:r>
        <w:rPr>
          <w:rFonts w:ascii="Cambria" w:eastAsia="Cambria" w:hAnsi="Cambria" w:cs="Cambria"/>
          <w:b/>
        </w:rPr>
        <w:t xml:space="preserve"> Risk using Equity Options.</w:t>
      </w:r>
    </w:p>
    <w:p w:rsidR="00EE13F6" w:rsidRDefault="002E5BC4">
      <w:pPr>
        <w:spacing w:after="165" w:line="257" w:lineRule="auto"/>
        <w:ind w:left="-5" w:right="361" w:hanging="10"/>
      </w:pPr>
      <w:r>
        <w:rPr>
          <w:rFonts w:ascii="Cambria" w:eastAsia="Cambria" w:hAnsi="Cambria" w:cs="Cambria"/>
          <w:b/>
        </w:rPr>
        <w:lastRenderedPageBreak/>
        <w:t>Hypothesis</w:t>
      </w:r>
    </w:p>
    <w:p w:rsidR="00EE13F6" w:rsidRDefault="002E5BC4" w:rsidP="002E5BC4">
      <w:pPr>
        <w:numPr>
          <w:ilvl w:val="0"/>
          <w:numId w:val="29"/>
        </w:numPr>
        <w:spacing w:after="155" w:line="264" w:lineRule="auto"/>
        <w:ind w:right="468" w:hanging="418"/>
        <w:jc w:val="both"/>
      </w:pPr>
      <w:r>
        <w:rPr>
          <w:rFonts w:ascii="Cambria" w:eastAsia="Cambria" w:hAnsi="Cambria" w:cs="Cambria"/>
        </w:rPr>
        <w:t xml:space="preserve">Let us assume an economic agent </w:t>
      </w:r>
      <w:r>
        <w:rPr>
          <w:rFonts w:ascii="Cambria" w:eastAsia="Cambria" w:hAnsi="Cambria" w:cs="Cambria"/>
          <w:i/>
        </w:rPr>
        <w:t xml:space="preserve">A </w:t>
      </w:r>
      <w:r>
        <w:rPr>
          <w:rFonts w:ascii="Cambria" w:eastAsia="Cambria" w:hAnsi="Cambria" w:cs="Cambria"/>
        </w:rPr>
        <w:t xml:space="preserve">which sells credit protection against the default of a corporation </w:t>
      </w:r>
      <w:r>
        <w:rPr>
          <w:rFonts w:ascii="Cambria" w:eastAsia="Cambria" w:hAnsi="Cambria" w:cs="Cambria"/>
          <w:i/>
        </w:rPr>
        <w:t>F</w:t>
      </w:r>
      <w:r>
        <w:rPr>
          <w:rFonts w:ascii="Cambria" w:eastAsia="Cambria" w:hAnsi="Cambria" w:cs="Cambria"/>
        </w:rPr>
        <w:t>, through a credit default swap (</w:t>
      </w:r>
      <w:r>
        <w:rPr>
          <w:rFonts w:ascii="Cambria" w:eastAsia="Cambria" w:hAnsi="Cambria" w:cs="Cambria"/>
          <w:i/>
        </w:rPr>
        <w:t>CDS</w:t>
      </w:r>
      <w:r>
        <w:rPr>
          <w:rFonts w:ascii="Cambria" w:eastAsia="Cambria" w:hAnsi="Cambria" w:cs="Cambria"/>
        </w:rPr>
        <w:t xml:space="preserve">) for a notional amount of </w:t>
      </w:r>
      <w:r>
        <w:rPr>
          <w:rFonts w:ascii="Cambria" w:eastAsia="Cambria" w:hAnsi="Cambria" w:cs="Cambria"/>
          <w:i/>
        </w:rPr>
        <w:t>M</w:t>
      </w:r>
      <w:r>
        <w:rPr>
          <w:rFonts w:ascii="Cambria" w:eastAsia="Cambria" w:hAnsi="Cambria" w:cs="Cambria"/>
        </w:rPr>
        <w:t xml:space="preserve">, a spread of </w:t>
      </w:r>
      <w:r>
        <w:rPr>
          <w:rFonts w:ascii="Cambria" w:eastAsia="Cambria" w:hAnsi="Cambria" w:cs="Cambria"/>
          <w:i/>
        </w:rPr>
        <w:t>s</w:t>
      </w:r>
      <w:r>
        <w:rPr>
          <w:rFonts w:ascii="Cambria" w:eastAsia="Cambria" w:hAnsi="Cambria" w:cs="Cambria"/>
          <w:vertAlign w:val="superscript"/>
        </w:rPr>
        <w:t>∗</w:t>
      </w:r>
      <w:r>
        <w:rPr>
          <w:rFonts w:ascii="Cambria" w:eastAsia="Cambria" w:hAnsi="Cambria" w:cs="Cambria"/>
        </w:rPr>
        <w:t xml:space="preserve">. </w:t>
      </w:r>
      <w:r>
        <w:rPr>
          <w:rFonts w:ascii="Cambria" w:eastAsia="Cambria" w:hAnsi="Cambria" w:cs="Cambria"/>
          <w:i/>
        </w:rPr>
        <w:t xml:space="preserve">T </w:t>
      </w:r>
      <w:r>
        <w:rPr>
          <w:rFonts w:ascii="Cambria" w:eastAsia="Cambria" w:hAnsi="Cambria" w:cs="Cambria"/>
        </w:rPr>
        <w:t>the duration of the credit prot</w:t>
      </w:r>
      <w:r>
        <w:rPr>
          <w:rFonts w:ascii="Cambria" w:eastAsia="Cambria" w:hAnsi="Cambria" w:cs="Cambria"/>
        </w:rPr>
        <w:t>ection is expressed in years.</w:t>
      </w:r>
    </w:p>
    <w:p w:rsidR="00EE13F6" w:rsidRDefault="002E5BC4" w:rsidP="002E5BC4">
      <w:pPr>
        <w:numPr>
          <w:ilvl w:val="0"/>
          <w:numId w:val="29"/>
        </w:numPr>
        <w:spacing w:after="130" w:line="264" w:lineRule="auto"/>
        <w:ind w:right="468" w:hanging="418"/>
        <w:jc w:val="both"/>
      </w:pPr>
      <w:r>
        <w:rPr>
          <w:rFonts w:ascii="Cambria" w:eastAsia="Cambria" w:hAnsi="Cambria" w:cs="Cambria"/>
        </w:rPr>
        <w:t xml:space="preserve">The recovery rate of the debt </w:t>
      </w:r>
      <w:r>
        <w:rPr>
          <w:rFonts w:ascii="Cambria" w:eastAsia="Cambria" w:hAnsi="Cambria" w:cs="Cambria"/>
          <w:i/>
        </w:rPr>
        <w:t xml:space="preserve">R </w:t>
      </w:r>
      <w:r>
        <w:rPr>
          <w:rFonts w:ascii="Cambria" w:eastAsia="Cambria" w:hAnsi="Cambria" w:cs="Cambria"/>
        </w:rPr>
        <w:t xml:space="preserve">is assumed to be known and constant. The upfront value of the CDS is </w:t>
      </w:r>
      <w:r>
        <w:rPr>
          <w:rFonts w:ascii="Cambria" w:eastAsia="Cambria" w:hAnsi="Cambria" w:cs="Cambria"/>
          <w:i/>
        </w:rPr>
        <w:t>UF</w:t>
      </w:r>
      <w:r>
        <w:rPr>
          <w:rFonts w:ascii="Cambria" w:eastAsia="Cambria" w:hAnsi="Cambria" w:cs="Cambria"/>
          <w:i/>
          <w:vertAlign w:val="subscript"/>
        </w:rPr>
        <w:t>c</w:t>
      </w:r>
      <w:r>
        <w:rPr>
          <w:rFonts w:ascii="Cambria" w:eastAsia="Cambria" w:hAnsi="Cambria" w:cs="Cambria"/>
        </w:rPr>
        <w:t>. The corporation is assumed to have issues equity shares which are traded actively. The value of the underlying equity at</w:t>
      </w:r>
      <w:r>
        <w:rPr>
          <w:rFonts w:ascii="Cambria" w:eastAsia="Cambria" w:hAnsi="Cambria" w:cs="Cambria"/>
        </w:rPr>
        <w:t xml:space="preserve"> hedge inception is </w:t>
      </w:r>
      <w:r>
        <w:rPr>
          <w:rFonts w:ascii="Cambria" w:eastAsia="Cambria" w:hAnsi="Cambria" w:cs="Cambria"/>
          <w:i/>
        </w:rPr>
        <w:t>S</w:t>
      </w:r>
      <w:r>
        <w:rPr>
          <w:rFonts w:ascii="Cambria" w:eastAsia="Cambria" w:hAnsi="Cambria" w:cs="Cambria"/>
          <w:vertAlign w:val="subscript"/>
        </w:rPr>
        <w:t>0</w:t>
      </w:r>
      <w:r>
        <w:rPr>
          <w:rFonts w:ascii="Cambria" w:eastAsia="Cambria" w:hAnsi="Cambria" w:cs="Cambria"/>
        </w:rPr>
        <w:t>.</w:t>
      </w:r>
    </w:p>
    <w:p w:rsidR="00EE13F6" w:rsidRDefault="002E5BC4" w:rsidP="002E5BC4">
      <w:pPr>
        <w:numPr>
          <w:ilvl w:val="0"/>
          <w:numId w:val="29"/>
        </w:numPr>
        <w:spacing w:after="130" w:line="264" w:lineRule="auto"/>
        <w:ind w:right="468" w:hanging="418"/>
        <w:jc w:val="both"/>
      </w:pPr>
      <w:r>
        <w:rPr>
          <w:rFonts w:ascii="Cambria" w:eastAsia="Cambria" w:hAnsi="Cambria" w:cs="Cambria"/>
        </w:rPr>
        <w:t>The credit protection applies to the non recoverable part of the debt, i.e the portion of debt inexcess of the liquidation value of corporate assets. This means that a corporate bond holder having bought credit protection will recover its capital and accru</w:t>
      </w:r>
      <w:r>
        <w:rPr>
          <w:rFonts w:ascii="Cambria" w:eastAsia="Cambria" w:hAnsi="Cambria" w:cs="Cambria"/>
        </w:rPr>
        <w:t>ed interest by redeeming its bond to the credit protection seller.</w:t>
      </w:r>
    </w:p>
    <w:p w:rsidR="00EE13F6" w:rsidRDefault="002E5BC4" w:rsidP="002E5BC4">
      <w:pPr>
        <w:numPr>
          <w:ilvl w:val="0"/>
          <w:numId w:val="29"/>
        </w:numPr>
        <w:spacing w:after="130" w:line="264" w:lineRule="auto"/>
        <w:ind w:right="468" w:hanging="418"/>
        <w:jc w:val="both"/>
      </w:pPr>
      <w:r>
        <w:rPr>
          <w:rFonts w:ascii="Cambria" w:eastAsia="Cambria" w:hAnsi="Cambria" w:cs="Cambria"/>
        </w:rPr>
        <w:t>It is expected that in case of bankruptcy, the stock value will be ”close” to nil.</w:t>
      </w:r>
    </w:p>
    <w:p w:rsidR="00EE13F6" w:rsidRDefault="002E5BC4" w:rsidP="002E5BC4">
      <w:pPr>
        <w:numPr>
          <w:ilvl w:val="0"/>
          <w:numId w:val="29"/>
        </w:numPr>
        <w:spacing w:after="130" w:line="264" w:lineRule="auto"/>
        <w:ind w:right="468" w:hanging="418"/>
        <w:jc w:val="both"/>
      </w:pPr>
      <w:r>
        <w:rPr>
          <w:rFonts w:ascii="Cambria" w:eastAsia="Cambria" w:hAnsi="Cambria" w:cs="Cambria"/>
        </w:rPr>
        <w:t>The inception of the hedge is a a time where the company is not in bankruptcy.</w:t>
      </w:r>
    </w:p>
    <w:p w:rsidR="00EE13F6" w:rsidRDefault="002E5BC4">
      <w:pPr>
        <w:spacing w:after="139" w:line="257" w:lineRule="auto"/>
        <w:ind w:left="-5" w:right="361" w:hanging="10"/>
      </w:pPr>
      <w:r>
        <w:rPr>
          <w:rFonts w:ascii="Cambria" w:eastAsia="Cambria" w:hAnsi="Cambria" w:cs="Cambria"/>
          <w:b/>
        </w:rPr>
        <w:t>Conclusion</w:t>
      </w:r>
    </w:p>
    <w:p w:rsidR="00EE13F6" w:rsidRDefault="002E5BC4" w:rsidP="002E5BC4">
      <w:pPr>
        <w:numPr>
          <w:ilvl w:val="0"/>
          <w:numId w:val="29"/>
        </w:numPr>
        <w:spacing w:after="167" w:line="264" w:lineRule="auto"/>
        <w:ind w:right="468" w:hanging="418"/>
        <w:jc w:val="both"/>
      </w:pPr>
      <w:r>
        <w:rPr>
          <w:rFonts w:ascii="Cambria" w:eastAsia="Cambria" w:hAnsi="Cambria" w:cs="Cambria"/>
        </w:rPr>
        <w:t>There exists a s</w:t>
      </w:r>
      <w:r>
        <w:rPr>
          <w:rFonts w:ascii="Cambria" w:eastAsia="Cambria" w:hAnsi="Cambria" w:cs="Cambria"/>
        </w:rPr>
        <w:t>elf-financed hedging strategy consisting of buying American binary put equityoptions to hedge against the cost of credit risk.</w:t>
      </w:r>
    </w:p>
    <w:p w:rsidR="00EE13F6" w:rsidRDefault="002E5BC4">
      <w:pPr>
        <w:spacing w:after="176" w:line="264" w:lineRule="auto"/>
        <w:ind w:left="-5" w:right="468" w:hanging="10"/>
        <w:jc w:val="both"/>
      </w:pPr>
      <w:r>
        <w:rPr>
          <w:rFonts w:ascii="Cambria" w:eastAsia="Cambria" w:hAnsi="Cambria" w:cs="Cambria"/>
        </w:rPr>
        <w:t xml:space="preserve">This means that </w:t>
      </w:r>
      <w:r>
        <w:rPr>
          <w:rFonts w:ascii="Cambria" w:eastAsia="Cambria" w:hAnsi="Cambria" w:cs="Cambria"/>
          <w:i/>
        </w:rPr>
        <w:t xml:space="preserve">NB </w:t>
      </w:r>
      <w:r>
        <w:rPr>
          <w:rFonts w:ascii="Cambria" w:eastAsia="Cambria" w:hAnsi="Cambria" w:cs="Cambria"/>
        </w:rPr>
        <w:t xml:space="preserve">= </w:t>
      </w:r>
      <w:r>
        <w:rPr>
          <w:rFonts w:ascii="Cambria" w:eastAsia="Cambria" w:hAnsi="Cambria" w:cs="Cambria"/>
          <w:i/>
        </w:rPr>
        <w:t>UF</w:t>
      </w:r>
      <w:r>
        <w:rPr>
          <w:rFonts w:ascii="Cambria" w:eastAsia="Cambria" w:hAnsi="Cambria" w:cs="Cambria"/>
          <w:i/>
          <w:vertAlign w:val="subscript"/>
        </w:rPr>
        <w:t>c</w:t>
      </w:r>
    </w:p>
    <w:p w:rsidR="00EE13F6" w:rsidRDefault="002E5BC4" w:rsidP="002E5BC4">
      <w:pPr>
        <w:numPr>
          <w:ilvl w:val="0"/>
          <w:numId w:val="29"/>
        </w:numPr>
        <w:spacing w:after="428" w:line="264" w:lineRule="auto"/>
        <w:ind w:right="468" w:hanging="418"/>
        <w:jc w:val="both"/>
      </w:pPr>
      <w:r>
        <w:rPr>
          <w:rFonts w:ascii="Cambria" w:eastAsia="Cambria" w:hAnsi="Cambria" w:cs="Cambria"/>
        </w:rPr>
        <w:t xml:space="preserve">The pay-out </w:t>
      </w:r>
      <w:r>
        <w:rPr>
          <w:rFonts w:ascii="Cambria" w:eastAsia="Cambria" w:hAnsi="Cambria" w:cs="Cambria"/>
          <w:i/>
        </w:rPr>
        <w:t xml:space="preserve">B </w:t>
      </w:r>
      <w:r>
        <w:rPr>
          <w:rFonts w:ascii="Cambria" w:eastAsia="Cambria" w:hAnsi="Cambria" w:cs="Cambria"/>
        </w:rPr>
        <w:t xml:space="preserve">of each American option and the number </w:t>
      </w:r>
      <w:r>
        <w:rPr>
          <w:rFonts w:ascii="Cambria" w:eastAsia="Cambria" w:hAnsi="Cambria" w:cs="Cambria"/>
          <w:i/>
        </w:rPr>
        <w:t xml:space="preserve">N </w:t>
      </w:r>
      <w:r>
        <w:rPr>
          <w:rFonts w:ascii="Cambria" w:eastAsia="Cambria" w:hAnsi="Cambria" w:cs="Cambria"/>
        </w:rPr>
        <w:t>of options purchased are linked by the relationship:</w:t>
      </w:r>
    </w:p>
    <w:p w:rsidR="00EE13F6" w:rsidRDefault="002E5BC4">
      <w:pPr>
        <w:spacing w:after="300" w:line="265" w:lineRule="auto"/>
        <w:ind w:left="10" w:right="483" w:hanging="10"/>
        <w:jc w:val="center"/>
      </w:pPr>
      <w:r>
        <w:rPr>
          <w:rFonts w:ascii="Cambria" w:eastAsia="Cambria" w:hAnsi="Cambria" w:cs="Cambria"/>
          <w:i/>
        </w:rPr>
        <w:t xml:space="preserve">NB </w:t>
      </w:r>
      <w:r>
        <w:rPr>
          <w:rFonts w:ascii="Cambria" w:eastAsia="Cambria" w:hAnsi="Cambria" w:cs="Cambria"/>
        </w:rPr>
        <w:t xml:space="preserve">= </w:t>
      </w:r>
      <w:r>
        <w:rPr>
          <w:rFonts w:ascii="Cambria" w:eastAsia="Cambria" w:hAnsi="Cambria" w:cs="Cambria"/>
          <w:i/>
        </w:rPr>
        <w:t>M</w:t>
      </w:r>
      <w:r>
        <w:rPr>
          <w:rFonts w:ascii="Cambria" w:eastAsia="Cambria" w:hAnsi="Cambria" w:cs="Cambria"/>
        </w:rPr>
        <w:t xml:space="preserve">(1 − </w:t>
      </w:r>
      <w:r>
        <w:rPr>
          <w:rFonts w:ascii="Cambria" w:eastAsia="Cambria" w:hAnsi="Cambria" w:cs="Cambria"/>
          <w:i/>
        </w:rPr>
        <w:t>R</w:t>
      </w:r>
      <w:r>
        <w:rPr>
          <w:rFonts w:ascii="Cambria" w:eastAsia="Cambria" w:hAnsi="Cambria" w:cs="Cambria"/>
        </w:rPr>
        <w:t>)</w:t>
      </w:r>
    </w:p>
    <w:p w:rsidR="00EE13F6" w:rsidRDefault="002E5BC4">
      <w:pPr>
        <w:spacing w:after="153" w:line="264" w:lineRule="auto"/>
        <w:ind w:left="-5" w:right="468" w:hanging="10"/>
        <w:jc w:val="both"/>
      </w:pPr>
      <w:r>
        <w:rPr>
          <w:rFonts w:ascii="Cambria" w:eastAsia="Cambria" w:hAnsi="Cambria" w:cs="Cambria"/>
        </w:rPr>
        <w:t xml:space="preserve">(vii) The strike price </w:t>
      </w:r>
      <w:r>
        <w:rPr>
          <w:rFonts w:ascii="Cambria" w:eastAsia="Cambria" w:hAnsi="Cambria" w:cs="Cambria"/>
          <w:i/>
        </w:rPr>
        <w:t>K</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is:</w:t>
      </w:r>
    </w:p>
    <w:p w:rsidR="00EE13F6" w:rsidRDefault="002E5BC4">
      <w:pPr>
        <w:tabs>
          <w:tab w:val="center" w:pos="4691"/>
          <w:tab w:val="center" w:pos="9221"/>
        </w:tabs>
        <w:spacing w:after="223" w:line="265" w:lineRule="auto"/>
      </w:pPr>
      <w:r>
        <w:tab/>
      </w:r>
      <w:r>
        <w:rPr>
          <w:noProof/>
        </w:rPr>
        <w:drawing>
          <wp:inline distT="0" distB="0" distL="0" distR="0">
            <wp:extent cx="3407664" cy="347472"/>
            <wp:effectExtent l="0" t="0" r="0" b="0"/>
            <wp:docPr id="221920" name="Picture 221920"/>
            <wp:cNvGraphicFramePr/>
            <a:graphic xmlns:a="http://schemas.openxmlformats.org/drawingml/2006/main">
              <a:graphicData uri="http://schemas.openxmlformats.org/drawingml/2006/picture">
                <pic:pic xmlns:pic="http://schemas.openxmlformats.org/drawingml/2006/picture">
                  <pic:nvPicPr>
                    <pic:cNvPr id="221920" name="Picture 221920"/>
                    <pic:cNvPicPr/>
                  </pic:nvPicPr>
                  <pic:blipFill>
                    <a:blip r:embed="rId137"/>
                    <a:stretch>
                      <a:fillRect/>
                    </a:stretch>
                  </pic:blipFill>
                  <pic:spPr>
                    <a:xfrm>
                      <a:off x="0" y="0"/>
                      <a:ext cx="3407664" cy="347472"/>
                    </a:xfrm>
                    <a:prstGeom prst="rect">
                      <a:avLst/>
                    </a:prstGeom>
                  </pic:spPr>
                </pic:pic>
              </a:graphicData>
            </a:graphic>
          </wp:inline>
        </w:drawing>
      </w:r>
      <w:r>
        <w:rPr>
          <w:rFonts w:ascii="Cambria" w:eastAsia="Cambria" w:hAnsi="Cambria" w:cs="Cambria"/>
        </w:rPr>
        <w:tab/>
        <w:t>(4)</w:t>
      </w:r>
    </w:p>
    <w:p w:rsidR="00EE13F6" w:rsidRDefault="002E5BC4">
      <w:pPr>
        <w:spacing w:after="130" w:line="264" w:lineRule="auto"/>
        <w:ind w:left="-5" w:right="468" w:hanging="10"/>
        <w:jc w:val="both"/>
      </w:pPr>
      <w:r>
        <w:rPr>
          <w:rFonts w:ascii="Cambria" w:eastAsia="Cambria" w:hAnsi="Cambria" w:cs="Cambria"/>
        </w:rPr>
        <w:t>where Φ</w:t>
      </w:r>
      <w:r>
        <w:rPr>
          <w:rFonts w:ascii="Cambria" w:eastAsia="Cambria" w:hAnsi="Cambria" w:cs="Cambria"/>
          <w:vertAlign w:val="superscript"/>
        </w:rPr>
        <w:t>−</w:t>
      </w:r>
      <w:r>
        <w:rPr>
          <w:rFonts w:ascii="Cambria" w:eastAsia="Cambria" w:hAnsi="Cambria" w:cs="Cambria"/>
          <w:vertAlign w:val="superscript"/>
        </w:rPr>
        <w:t xml:space="preserve">1 </w:t>
      </w:r>
      <w:r>
        <w:rPr>
          <w:rFonts w:ascii="Cambria" w:eastAsia="Cambria" w:hAnsi="Cambria" w:cs="Cambria"/>
        </w:rPr>
        <w:t>designates the inverse function of the cumulative distribution of the standardized gaussian distribution (mean=0; standard deviation=1)</w:t>
      </w:r>
    </w:p>
    <w:p w:rsidR="00EE13F6" w:rsidRDefault="002E5BC4">
      <w:pPr>
        <w:spacing w:after="172" w:line="257" w:lineRule="auto"/>
        <w:ind w:left="-5" w:right="361" w:hanging="10"/>
      </w:pPr>
      <w:r>
        <w:rPr>
          <w:rFonts w:ascii="Cambria" w:eastAsia="Cambria" w:hAnsi="Cambria" w:cs="Cambria"/>
          <w:b/>
        </w:rPr>
        <w:t>Proof</w:t>
      </w:r>
    </w:p>
    <w:p w:rsidR="00EE13F6" w:rsidRDefault="002E5BC4">
      <w:pPr>
        <w:spacing w:after="238" w:line="264" w:lineRule="auto"/>
        <w:ind w:left="-5" w:right="468" w:hanging="10"/>
        <w:jc w:val="both"/>
      </w:pPr>
      <w:r>
        <w:rPr>
          <w:rFonts w:ascii="Cambria" w:eastAsia="Cambria" w:hAnsi="Cambria" w:cs="Cambria"/>
        </w:rPr>
        <w:t>Because we are ”far” from bankruptcy (</w:t>
      </w:r>
      <w:r>
        <w:rPr>
          <w:rFonts w:ascii="Cambria" w:eastAsia="Cambria" w:hAnsi="Cambria" w:cs="Cambria"/>
          <w:i/>
        </w:rPr>
        <w:t>S</w:t>
      </w:r>
      <w:r>
        <w:rPr>
          <w:rFonts w:ascii="Cambria" w:eastAsia="Cambria" w:hAnsi="Cambria" w:cs="Cambria"/>
          <w:vertAlign w:val="subscript"/>
        </w:rPr>
        <w:t xml:space="preserve">0 </w:t>
      </w:r>
      <w:r>
        <w:rPr>
          <w:rFonts w:ascii="Cambria" w:eastAsia="Cambria" w:hAnsi="Cambria" w:cs="Cambria"/>
          <w:i/>
        </w:rPr>
        <w:t>&gt;&gt; K</w:t>
      </w:r>
      <w:r>
        <w:rPr>
          <w:rFonts w:ascii="Cambria" w:eastAsia="Cambria" w:hAnsi="Cambria" w:cs="Cambria"/>
        </w:rPr>
        <w:t>) we can consider that the difference in value between the binary American and the binary European option is insignificant. In any case, because the value of the American Put is in general more than the value of</w:t>
      </w:r>
      <w:r>
        <w:rPr>
          <w:rFonts w:ascii="Cambria" w:eastAsia="Cambria" w:hAnsi="Cambria" w:cs="Cambria"/>
        </w:rPr>
        <w:t xml:space="preserve"> a European Put, using the European Put value as a proxy will lead to a lower bound of the credit protection. </w:t>
      </w:r>
      <w:r>
        <w:rPr>
          <w:rFonts w:ascii="Cambria" w:eastAsia="Cambria" w:hAnsi="Cambria" w:cs="Cambria"/>
          <w:i/>
        </w:rPr>
        <w:t xml:space="preserve">n </w:t>
      </w:r>
      <w:r>
        <w:rPr>
          <w:rFonts w:ascii="Cambria" w:eastAsia="Cambria" w:hAnsi="Cambria" w:cs="Cambria"/>
        </w:rPr>
        <w:t>designates the number of options. The self financing condition imposes that:</w:t>
      </w:r>
    </w:p>
    <w:p w:rsidR="00EE13F6" w:rsidRDefault="002E5BC4">
      <w:pPr>
        <w:spacing w:after="216" w:line="265" w:lineRule="auto"/>
        <w:ind w:left="10" w:right="493" w:hanging="10"/>
        <w:jc w:val="center"/>
      </w:pPr>
      <w:r>
        <w:rPr>
          <w:rFonts w:ascii="Cambria" w:eastAsia="Cambria" w:hAnsi="Cambria" w:cs="Cambria"/>
          <w:i/>
        </w:rPr>
        <w:t>nP</w:t>
      </w:r>
      <w:r>
        <w:rPr>
          <w:rFonts w:ascii="Cambria" w:eastAsia="Cambria" w:hAnsi="Cambria" w:cs="Cambria"/>
        </w:rPr>
        <w:t>(</w:t>
      </w:r>
      <w:r>
        <w:rPr>
          <w:rFonts w:ascii="Cambria" w:eastAsia="Cambria" w:hAnsi="Cambria" w:cs="Cambria"/>
          <w:i/>
        </w:rPr>
        <w:t>K,B</w:t>
      </w:r>
      <w:r>
        <w:rPr>
          <w:rFonts w:ascii="Cambria" w:eastAsia="Cambria" w:hAnsi="Cambria" w:cs="Cambria"/>
        </w:rPr>
        <w:t xml:space="preserve">) = </w:t>
      </w:r>
      <w:r>
        <w:rPr>
          <w:rFonts w:ascii="Cambria" w:eastAsia="Cambria" w:hAnsi="Cambria" w:cs="Cambria"/>
          <w:i/>
        </w:rPr>
        <w:t>UF</w:t>
      </w:r>
      <w:r>
        <w:rPr>
          <w:rFonts w:ascii="Cambria" w:eastAsia="Cambria" w:hAnsi="Cambria" w:cs="Cambria"/>
          <w:i/>
          <w:vertAlign w:val="subscript"/>
        </w:rPr>
        <w:t>c</w:t>
      </w:r>
    </w:p>
    <w:p w:rsidR="00EE13F6" w:rsidRDefault="002E5BC4">
      <w:pPr>
        <w:spacing w:after="224" w:line="264" w:lineRule="auto"/>
        <w:ind w:left="-5" w:right="468" w:hanging="10"/>
        <w:jc w:val="both"/>
      </w:pPr>
      <w:r>
        <w:rPr>
          <w:rFonts w:ascii="Cambria" w:eastAsia="Cambria" w:hAnsi="Cambria" w:cs="Cambria"/>
        </w:rPr>
        <w:t>whereas the static hedging at bankruptcy leads to:</w:t>
      </w:r>
    </w:p>
    <w:p w:rsidR="00EE13F6" w:rsidRDefault="002E5BC4">
      <w:pPr>
        <w:spacing w:after="352" w:line="265" w:lineRule="auto"/>
        <w:ind w:left="10" w:right="483" w:hanging="10"/>
        <w:jc w:val="center"/>
      </w:pPr>
      <w:r>
        <w:rPr>
          <w:rFonts w:ascii="Cambria" w:eastAsia="Cambria" w:hAnsi="Cambria" w:cs="Cambria"/>
          <w:i/>
        </w:rPr>
        <w:t xml:space="preserve">nB </w:t>
      </w:r>
      <w:r>
        <w:rPr>
          <w:rFonts w:ascii="Cambria" w:eastAsia="Cambria" w:hAnsi="Cambria" w:cs="Cambria"/>
        </w:rPr>
        <w:t xml:space="preserve">= </w:t>
      </w:r>
      <w:r>
        <w:rPr>
          <w:rFonts w:ascii="Cambria" w:eastAsia="Cambria" w:hAnsi="Cambria" w:cs="Cambria"/>
          <w:i/>
        </w:rPr>
        <w:t>M</w:t>
      </w:r>
      <w:r>
        <w:rPr>
          <w:rFonts w:ascii="Cambria" w:eastAsia="Cambria" w:hAnsi="Cambria" w:cs="Cambria"/>
        </w:rPr>
        <w:t xml:space="preserve">(1 − </w:t>
      </w:r>
      <w:r>
        <w:rPr>
          <w:rFonts w:ascii="Cambria" w:eastAsia="Cambria" w:hAnsi="Cambria" w:cs="Cambria"/>
          <w:i/>
        </w:rPr>
        <w:t>R</w:t>
      </w:r>
      <w:r>
        <w:rPr>
          <w:rFonts w:ascii="Cambria" w:eastAsia="Cambria" w:hAnsi="Cambria" w:cs="Cambria"/>
        </w:rPr>
        <w:t>)</w:t>
      </w:r>
    </w:p>
    <w:p w:rsidR="00EE13F6" w:rsidRDefault="002E5BC4">
      <w:pPr>
        <w:spacing w:after="453" w:line="264" w:lineRule="auto"/>
        <w:ind w:left="-5" w:right="468" w:hanging="10"/>
        <w:jc w:val="both"/>
      </w:pPr>
      <w:r>
        <w:rPr>
          <w:rFonts w:ascii="Cambria" w:eastAsia="Cambria" w:hAnsi="Cambria" w:cs="Cambria"/>
        </w:rPr>
        <w:lastRenderedPageBreak/>
        <w:t xml:space="preserve">From Black-Scholes, Black and Scholes (1973) we know that the value of the Binary European put paying </w:t>
      </w:r>
      <w:r>
        <w:rPr>
          <w:rFonts w:ascii="Cambria" w:eastAsia="Cambria" w:hAnsi="Cambria" w:cs="Cambria"/>
          <w:i/>
        </w:rPr>
        <w:t xml:space="preserve">B </w:t>
      </w:r>
      <w:r>
        <w:rPr>
          <w:rFonts w:ascii="Cambria" w:eastAsia="Cambria" w:hAnsi="Cambria" w:cs="Cambria"/>
        </w:rPr>
        <w:t xml:space="preserve">and whose strike is </w:t>
      </w:r>
      <w:r>
        <w:rPr>
          <w:rFonts w:ascii="Cambria" w:eastAsia="Cambria" w:hAnsi="Cambria" w:cs="Cambria"/>
          <w:i/>
        </w:rPr>
        <w:t xml:space="preserve">K </w:t>
      </w:r>
      <w:r>
        <w:rPr>
          <w:rFonts w:ascii="Cambria" w:eastAsia="Cambria" w:hAnsi="Cambria" w:cs="Cambria"/>
        </w:rPr>
        <w:t>is</w:t>
      </w:r>
    </w:p>
    <w:p w:rsidR="00EE13F6" w:rsidRDefault="002E5BC4">
      <w:pPr>
        <w:spacing w:after="155" w:line="265" w:lineRule="auto"/>
        <w:ind w:left="10" w:right="483" w:hanging="10"/>
        <w:jc w:val="center"/>
      </w:pPr>
      <w:r>
        <w:rPr>
          <w:rFonts w:ascii="Cambria" w:eastAsia="Cambria" w:hAnsi="Cambria" w:cs="Cambria"/>
          <w:i/>
        </w:rPr>
        <w:t>P</w:t>
      </w:r>
      <w:r>
        <w:rPr>
          <w:rFonts w:ascii="Cambria" w:eastAsia="Cambria" w:hAnsi="Cambria" w:cs="Cambria"/>
        </w:rPr>
        <w:t>(</w:t>
      </w:r>
      <w:r>
        <w:rPr>
          <w:rFonts w:ascii="Cambria" w:eastAsia="Cambria" w:hAnsi="Cambria" w:cs="Cambria"/>
          <w:i/>
        </w:rPr>
        <w:t>K,B</w:t>
      </w:r>
      <w:r>
        <w:rPr>
          <w:rFonts w:ascii="Cambria" w:eastAsia="Cambria" w:hAnsi="Cambria" w:cs="Cambria"/>
        </w:rPr>
        <w:t>) = exp</w:t>
      </w:r>
      <w:r>
        <w:rPr>
          <w:rFonts w:ascii="Cambria" w:eastAsia="Cambria" w:hAnsi="Cambria" w:cs="Cambria"/>
          <w:vertAlign w:val="superscript"/>
        </w:rPr>
        <w:t>−</w:t>
      </w:r>
      <w:r>
        <w:rPr>
          <w:rFonts w:ascii="Cambria" w:eastAsia="Cambria" w:hAnsi="Cambria" w:cs="Cambria"/>
          <w:i/>
          <w:vertAlign w:val="superscript"/>
        </w:rPr>
        <w:t xml:space="preserve">rT </w:t>
      </w:r>
      <w:r>
        <w:rPr>
          <w:rFonts w:ascii="Cambria" w:eastAsia="Cambria" w:hAnsi="Cambria" w:cs="Cambria"/>
          <w:i/>
        </w:rPr>
        <w:t>BN</w:t>
      </w:r>
      <w:r>
        <w:rPr>
          <w:rFonts w:ascii="Cambria" w:eastAsia="Cambria" w:hAnsi="Cambria" w:cs="Cambria"/>
        </w:rPr>
        <w:t>(−</w:t>
      </w:r>
      <w:r>
        <w:rPr>
          <w:rFonts w:ascii="Cambria" w:eastAsia="Cambria" w:hAnsi="Cambria" w:cs="Cambria"/>
          <w:i/>
        </w:rPr>
        <w:t>d</w:t>
      </w:r>
      <w:r>
        <w:rPr>
          <w:rFonts w:ascii="Cambria" w:eastAsia="Cambria" w:hAnsi="Cambria" w:cs="Cambria"/>
        </w:rPr>
        <w:t>2)</w:t>
      </w:r>
    </w:p>
    <w:p w:rsidR="00EE13F6" w:rsidRDefault="002E5BC4">
      <w:pPr>
        <w:spacing w:after="0" w:line="264" w:lineRule="auto"/>
        <w:ind w:left="-5" w:right="468" w:hanging="10"/>
        <w:jc w:val="both"/>
      </w:pPr>
      <w:r>
        <w:rPr>
          <w:rFonts w:ascii="Cambria" w:eastAsia="Cambria" w:hAnsi="Cambria" w:cs="Cambria"/>
        </w:rPr>
        <w:t>with the usual notations such that :</w:t>
      </w:r>
    </w:p>
    <w:p w:rsidR="00EE13F6" w:rsidRDefault="002E5BC4">
      <w:pPr>
        <w:spacing w:after="0"/>
        <w:ind w:left="3160"/>
      </w:pPr>
      <w:r>
        <w:rPr>
          <w:noProof/>
        </w:rPr>
        <w:drawing>
          <wp:inline distT="0" distB="0" distL="0" distR="0">
            <wp:extent cx="1868424" cy="362712"/>
            <wp:effectExtent l="0" t="0" r="0" b="0"/>
            <wp:docPr id="221921" name="Picture 221921"/>
            <wp:cNvGraphicFramePr/>
            <a:graphic xmlns:a="http://schemas.openxmlformats.org/drawingml/2006/main">
              <a:graphicData uri="http://schemas.openxmlformats.org/drawingml/2006/picture">
                <pic:pic xmlns:pic="http://schemas.openxmlformats.org/drawingml/2006/picture">
                  <pic:nvPicPr>
                    <pic:cNvPr id="221921" name="Picture 221921"/>
                    <pic:cNvPicPr/>
                  </pic:nvPicPr>
                  <pic:blipFill>
                    <a:blip r:embed="rId138"/>
                    <a:stretch>
                      <a:fillRect/>
                    </a:stretch>
                  </pic:blipFill>
                  <pic:spPr>
                    <a:xfrm>
                      <a:off x="0" y="0"/>
                      <a:ext cx="1868424" cy="362712"/>
                    </a:xfrm>
                    <a:prstGeom prst="rect">
                      <a:avLst/>
                    </a:prstGeom>
                  </pic:spPr>
                </pic:pic>
              </a:graphicData>
            </a:graphic>
          </wp:inline>
        </w:drawing>
      </w:r>
    </w:p>
    <w:p w:rsidR="00EE13F6" w:rsidRDefault="002E5BC4">
      <w:pPr>
        <w:spacing w:after="0" w:line="264" w:lineRule="auto"/>
        <w:ind w:left="-5" w:right="468" w:hanging="10"/>
        <w:jc w:val="both"/>
      </w:pPr>
      <w:r>
        <w:rPr>
          <w:rFonts w:ascii="Cambria" w:eastAsia="Cambria" w:hAnsi="Cambria" w:cs="Cambria"/>
        </w:rPr>
        <w:t xml:space="preserve">Combining the self-financing and hedging conditions, we eliminate </w:t>
      </w:r>
      <w:r>
        <w:rPr>
          <w:rFonts w:ascii="Cambria" w:eastAsia="Cambria" w:hAnsi="Cambria" w:cs="Cambria"/>
          <w:i/>
        </w:rPr>
        <w:t>n</w:t>
      </w:r>
      <w:r>
        <w:rPr>
          <w:rFonts w:ascii="Cambria" w:eastAsia="Cambria" w:hAnsi="Cambria" w:cs="Cambria"/>
        </w:rPr>
        <w:t>, apply the inverse function of the cumulative distribution and find that:</w:t>
      </w:r>
    </w:p>
    <w:p w:rsidR="00EE13F6" w:rsidRDefault="002E5BC4">
      <w:pPr>
        <w:spacing w:after="339"/>
        <w:ind w:left="1920"/>
      </w:pPr>
      <w:r>
        <w:rPr>
          <w:noProof/>
        </w:rPr>
        <w:drawing>
          <wp:inline distT="0" distB="0" distL="0" distR="0">
            <wp:extent cx="3407664" cy="347472"/>
            <wp:effectExtent l="0" t="0" r="0" b="0"/>
            <wp:docPr id="221922" name="Picture 221922"/>
            <wp:cNvGraphicFramePr/>
            <a:graphic xmlns:a="http://schemas.openxmlformats.org/drawingml/2006/main">
              <a:graphicData uri="http://schemas.openxmlformats.org/drawingml/2006/picture">
                <pic:pic xmlns:pic="http://schemas.openxmlformats.org/drawingml/2006/picture">
                  <pic:nvPicPr>
                    <pic:cNvPr id="221922" name="Picture 221922"/>
                    <pic:cNvPicPr/>
                  </pic:nvPicPr>
                  <pic:blipFill>
                    <a:blip r:embed="rId139"/>
                    <a:stretch>
                      <a:fillRect/>
                    </a:stretch>
                  </pic:blipFill>
                  <pic:spPr>
                    <a:xfrm>
                      <a:off x="0" y="0"/>
                      <a:ext cx="3407664" cy="347472"/>
                    </a:xfrm>
                    <a:prstGeom prst="rect">
                      <a:avLst/>
                    </a:prstGeom>
                  </pic:spPr>
                </pic:pic>
              </a:graphicData>
            </a:graphic>
          </wp:inline>
        </w:drawing>
      </w:r>
    </w:p>
    <w:p w:rsidR="00EE13F6" w:rsidRDefault="002E5BC4">
      <w:pPr>
        <w:spacing w:after="466" w:line="264" w:lineRule="auto"/>
        <w:ind w:left="-5" w:right="468" w:hanging="10"/>
        <w:jc w:val="both"/>
      </w:pPr>
      <w:r>
        <w:rPr>
          <w:rFonts w:ascii="Cambria" w:eastAsia="Cambria" w:hAnsi="Cambria" w:cs="Cambria"/>
        </w:rPr>
        <w:t>which is the expected result.</w:t>
      </w:r>
    </w:p>
    <w:p w:rsidR="00EE13F6" w:rsidRDefault="002E5BC4">
      <w:pPr>
        <w:pStyle w:val="Heading2"/>
        <w:ind w:left="608" w:right="106" w:hanging="623"/>
      </w:pPr>
      <w:r>
        <w:t>2.2 Static Hedging of a CDS with Put Equity Options: Theoretical Impact of the FTT</w:t>
      </w:r>
    </w:p>
    <w:p w:rsidR="00EE13F6" w:rsidRDefault="002E5BC4">
      <w:pPr>
        <w:spacing w:after="130" w:line="264" w:lineRule="auto"/>
        <w:ind w:left="-5" w:right="468" w:hanging="10"/>
        <w:jc w:val="both"/>
      </w:pPr>
      <w:r>
        <w:rPr>
          <w:rFonts w:ascii="Cambria" w:eastAsia="Cambria" w:hAnsi="Cambria" w:cs="Cambria"/>
        </w:rPr>
        <w:t>Once the hedge of the CDS with the binary put equity option is executed, the combined position consisting of selling protection on the CDS and buying the binary put, can be viewed as a contingent instrument, whose value is zero in case of bankruptcy, if w</w:t>
      </w:r>
      <w:r>
        <w:rPr>
          <w:rFonts w:ascii="Cambria" w:eastAsia="Cambria" w:hAnsi="Cambria" w:cs="Cambria"/>
        </w:rPr>
        <w:t>e assume that the equity share price will be close to nil in that case. In other words, the purchase of the Put and the payment of the corresponding premium offsets the obligation to pay the portion of the debt in excess of the recoverable amount on the as</w:t>
      </w:r>
      <w:r>
        <w:rPr>
          <w:rFonts w:ascii="Cambria" w:eastAsia="Cambria" w:hAnsi="Cambria" w:cs="Cambria"/>
        </w:rPr>
        <w:t>sets.</w:t>
      </w:r>
    </w:p>
    <w:p w:rsidR="00EE13F6" w:rsidRDefault="002E5BC4">
      <w:pPr>
        <w:spacing w:after="0" w:line="264" w:lineRule="auto"/>
        <w:ind w:left="-5" w:right="468" w:hanging="10"/>
        <w:jc w:val="both"/>
      </w:pPr>
      <w:r>
        <w:rPr>
          <w:rFonts w:ascii="Cambria" w:eastAsia="Cambria" w:hAnsi="Cambria" w:cs="Cambria"/>
        </w:rPr>
        <w:t>According to the pricing of CDS, the net Present Value of the premium paid must be equal to the contingent payment in case of bankruptcy.</w:t>
      </w:r>
    </w:p>
    <w:tbl>
      <w:tblPr>
        <w:tblStyle w:val="TableGrid"/>
        <w:tblW w:w="9360" w:type="dxa"/>
        <w:tblInd w:w="0" w:type="dxa"/>
        <w:tblCellMar>
          <w:top w:w="0" w:type="dxa"/>
          <w:left w:w="0" w:type="dxa"/>
          <w:bottom w:w="10" w:type="dxa"/>
          <w:right w:w="0" w:type="dxa"/>
        </w:tblCellMar>
        <w:tblLook w:val="04A0" w:firstRow="1" w:lastRow="0" w:firstColumn="1" w:lastColumn="0" w:noHBand="0" w:noVBand="1"/>
      </w:tblPr>
      <w:tblGrid>
        <w:gridCol w:w="9070"/>
        <w:gridCol w:w="290"/>
      </w:tblGrid>
      <w:tr w:rsidR="00EE13F6">
        <w:trPr>
          <w:trHeight w:val="203"/>
        </w:trPr>
        <w:tc>
          <w:tcPr>
            <w:tcW w:w="9081" w:type="dxa"/>
            <w:tcBorders>
              <w:top w:val="nil"/>
              <w:left w:val="nil"/>
              <w:bottom w:val="nil"/>
              <w:right w:val="nil"/>
            </w:tcBorders>
          </w:tcPr>
          <w:p w:rsidR="00EE13F6" w:rsidRDefault="002E5BC4">
            <w:pPr>
              <w:spacing w:after="0"/>
            </w:pPr>
            <w:r>
              <w:rPr>
                <w:rFonts w:ascii="Cambria" w:eastAsia="Cambria" w:hAnsi="Cambria" w:cs="Cambria"/>
              </w:rPr>
              <w:t>This writes:</w:t>
            </w:r>
          </w:p>
        </w:tc>
        <w:tc>
          <w:tcPr>
            <w:tcW w:w="279" w:type="dxa"/>
            <w:tcBorders>
              <w:top w:val="nil"/>
              <w:left w:val="nil"/>
              <w:bottom w:val="nil"/>
              <w:right w:val="nil"/>
            </w:tcBorders>
            <w:vAlign w:val="bottom"/>
          </w:tcPr>
          <w:p w:rsidR="00EE13F6" w:rsidRDefault="00EE13F6"/>
        </w:tc>
      </w:tr>
      <w:tr w:rsidR="00EE13F6">
        <w:trPr>
          <w:trHeight w:val="1022"/>
        </w:trPr>
        <w:tc>
          <w:tcPr>
            <w:tcW w:w="9081" w:type="dxa"/>
            <w:tcBorders>
              <w:top w:val="nil"/>
              <w:left w:val="nil"/>
              <w:bottom w:val="nil"/>
              <w:right w:val="nil"/>
            </w:tcBorders>
          </w:tcPr>
          <w:p w:rsidR="00EE13F6" w:rsidRDefault="002E5BC4">
            <w:pPr>
              <w:spacing w:after="273"/>
              <w:ind w:left="279"/>
              <w:jc w:val="center"/>
            </w:pPr>
            <w:r>
              <w:rPr>
                <w:rFonts w:ascii="Cambria" w:eastAsia="Cambria" w:hAnsi="Cambria" w:cs="Cambria"/>
                <w:i/>
              </w:rPr>
              <w:t>UF</w:t>
            </w:r>
            <w:r>
              <w:rPr>
                <w:rFonts w:ascii="Cambria" w:eastAsia="Cambria" w:hAnsi="Cambria" w:cs="Cambria"/>
                <w:i/>
                <w:vertAlign w:val="subscript"/>
              </w:rPr>
              <w:t>c</w:t>
            </w:r>
            <w:r>
              <w:rPr>
                <w:rFonts w:ascii="Cambria" w:eastAsia="Cambria" w:hAnsi="Cambria" w:cs="Cambria"/>
              </w:rPr>
              <w:t>(</w:t>
            </w:r>
            <w:r>
              <w:rPr>
                <w:rFonts w:ascii="Cambria" w:eastAsia="Cambria" w:hAnsi="Cambria" w:cs="Cambria"/>
                <w:i/>
              </w:rPr>
              <w:t>σ</w:t>
            </w:r>
            <w:r>
              <w:rPr>
                <w:rFonts w:ascii="Cambria" w:eastAsia="Cambria" w:hAnsi="Cambria" w:cs="Cambria"/>
                <w:vertAlign w:val="superscript"/>
              </w:rPr>
              <w:t>0</w:t>
            </w:r>
            <w:r>
              <w:rPr>
                <w:rFonts w:ascii="Cambria" w:eastAsia="Cambria" w:hAnsi="Cambria" w:cs="Cambria"/>
              </w:rPr>
              <w:t xml:space="preserve">) + </w:t>
            </w:r>
            <w:r>
              <w:rPr>
                <w:rFonts w:ascii="Cambria" w:eastAsia="Cambria" w:hAnsi="Cambria" w:cs="Cambria"/>
                <w:i/>
              </w:rPr>
              <w:t>P</w:t>
            </w:r>
            <w:r>
              <w:rPr>
                <w:rFonts w:ascii="Cambria" w:eastAsia="Cambria" w:hAnsi="Cambria" w:cs="Cambria"/>
              </w:rPr>
              <w:t>(</w:t>
            </w:r>
            <w:r>
              <w:rPr>
                <w:rFonts w:ascii="Cambria" w:eastAsia="Cambria" w:hAnsi="Cambria" w:cs="Cambria"/>
                <w:i/>
              </w:rPr>
              <w:t>K,B,σ</w:t>
            </w:r>
            <w:r>
              <w:rPr>
                <w:rFonts w:ascii="Cambria" w:eastAsia="Cambria" w:hAnsi="Cambria" w:cs="Cambria"/>
                <w:vertAlign w:val="superscript"/>
              </w:rPr>
              <w:t>0</w:t>
            </w:r>
            <w:r>
              <w:rPr>
                <w:rFonts w:ascii="Cambria" w:eastAsia="Cambria" w:hAnsi="Cambria" w:cs="Cambria"/>
              </w:rPr>
              <w:t>) = 0</w:t>
            </w:r>
          </w:p>
          <w:p w:rsidR="00EE13F6" w:rsidRDefault="002E5BC4">
            <w:pPr>
              <w:spacing w:after="0"/>
            </w:pPr>
            <w:r>
              <w:rPr>
                <w:rFonts w:ascii="Cambria" w:eastAsia="Cambria" w:hAnsi="Cambria" w:cs="Cambria"/>
              </w:rPr>
              <w:t>and</w:t>
            </w:r>
          </w:p>
        </w:tc>
        <w:tc>
          <w:tcPr>
            <w:tcW w:w="279" w:type="dxa"/>
            <w:tcBorders>
              <w:top w:val="nil"/>
              <w:left w:val="nil"/>
              <w:bottom w:val="nil"/>
              <w:right w:val="nil"/>
            </w:tcBorders>
          </w:tcPr>
          <w:p w:rsidR="00EE13F6" w:rsidRDefault="002E5BC4">
            <w:pPr>
              <w:spacing w:after="0"/>
              <w:jc w:val="both"/>
            </w:pPr>
            <w:r>
              <w:rPr>
                <w:rFonts w:ascii="Cambria" w:eastAsia="Cambria" w:hAnsi="Cambria" w:cs="Cambria"/>
              </w:rPr>
              <w:t>(5)</w:t>
            </w:r>
          </w:p>
        </w:tc>
      </w:tr>
      <w:tr w:rsidR="00EE13F6">
        <w:trPr>
          <w:trHeight w:val="820"/>
        </w:trPr>
        <w:tc>
          <w:tcPr>
            <w:tcW w:w="9081" w:type="dxa"/>
            <w:tcBorders>
              <w:top w:val="nil"/>
              <w:left w:val="nil"/>
              <w:bottom w:val="nil"/>
              <w:right w:val="nil"/>
            </w:tcBorders>
            <w:vAlign w:val="bottom"/>
          </w:tcPr>
          <w:p w:rsidR="00EE13F6" w:rsidRDefault="002E5BC4">
            <w:pPr>
              <w:spacing w:after="110"/>
              <w:ind w:left="279"/>
              <w:jc w:val="center"/>
            </w:pPr>
            <w:r>
              <w:rPr>
                <w:rFonts w:ascii="Cambria" w:eastAsia="Cambria" w:hAnsi="Cambria" w:cs="Cambria"/>
                <w:i/>
              </w:rPr>
              <w:t>UF</w:t>
            </w:r>
            <w:r>
              <w:rPr>
                <w:rFonts w:ascii="Cambria" w:eastAsia="Cambria" w:hAnsi="Cambria" w:cs="Cambria"/>
                <w:i/>
                <w:vertAlign w:val="subscript"/>
              </w:rPr>
              <w:t>c</w:t>
            </w:r>
            <w:r>
              <w:rPr>
                <w:rFonts w:ascii="Cambria" w:eastAsia="Cambria" w:hAnsi="Cambria" w:cs="Cambria"/>
              </w:rPr>
              <w:t>(</w:t>
            </w:r>
            <w:r>
              <w:rPr>
                <w:rFonts w:ascii="Cambria" w:eastAsia="Cambria" w:hAnsi="Cambria" w:cs="Cambria"/>
                <w:i/>
              </w:rPr>
              <w:t>σ</w:t>
            </w:r>
            <w:r>
              <w:rPr>
                <w:rFonts w:ascii="Cambria" w:eastAsia="Cambria" w:hAnsi="Cambria" w:cs="Cambria"/>
              </w:rPr>
              <w:t xml:space="preserve">) + </w:t>
            </w:r>
            <w:r>
              <w:rPr>
                <w:rFonts w:ascii="Cambria" w:eastAsia="Cambria" w:hAnsi="Cambria" w:cs="Cambria"/>
                <w:i/>
              </w:rPr>
              <w:t>P</w:t>
            </w:r>
            <w:r>
              <w:rPr>
                <w:rFonts w:ascii="Cambria" w:eastAsia="Cambria" w:hAnsi="Cambria" w:cs="Cambria"/>
              </w:rPr>
              <w:t>(</w:t>
            </w:r>
            <w:r>
              <w:rPr>
                <w:rFonts w:ascii="Cambria" w:eastAsia="Cambria" w:hAnsi="Cambria" w:cs="Cambria"/>
                <w:i/>
              </w:rPr>
              <w:t>K,B,σ</w:t>
            </w:r>
            <w:r>
              <w:rPr>
                <w:rFonts w:ascii="Cambria" w:eastAsia="Cambria" w:hAnsi="Cambria" w:cs="Cambria"/>
              </w:rPr>
              <w:t>) = 0</w:t>
            </w:r>
          </w:p>
          <w:p w:rsidR="00EE13F6" w:rsidRDefault="002E5BC4">
            <w:pPr>
              <w:spacing w:after="0"/>
            </w:pPr>
            <w:r>
              <w:rPr>
                <w:rFonts w:ascii="Cambria" w:eastAsia="Cambria" w:hAnsi="Cambria" w:cs="Cambria"/>
              </w:rPr>
              <w:t>This leads to:</w:t>
            </w:r>
          </w:p>
        </w:tc>
        <w:tc>
          <w:tcPr>
            <w:tcW w:w="279" w:type="dxa"/>
            <w:tcBorders>
              <w:top w:val="nil"/>
              <w:left w:val="nil"/>
              <w:bottom w:val="nil"/>
              <w:right w:val="nil"/>
            </w:tcBorders>
          </w:tcPr>
          <w:p w:rsidR="00EE13F6" w:rsidRDefault="002E5BC4">
            <w:pPr>
              <w:spacing w:after="0"/>
              <w:jc w:val="both"/>
            </w:pPr>
            <w:r>
              <w:rPr>
                <w:rFonts w:ascii="Cambria" w:eastAsia="Cambria" w:hAnsi="Cambria" w:cs="Cambria"/>
              </w:rPr>
              <w:t>(6)</w:t>
            </w:r>
          </w:p>
        </w:tc>
      </w:tr>
      <w:tr w:rsidR="00EE13F6">
        <w:trPr>
          <w:trHeight w:val="283"/>
        </w:trPr>
        <w:tc>
          <w:tcPr>
            <w:tcW w:w="9081" w:type="dxa"/>
            <w:tcBorders>
              <w:top w:val="nil"/>
              <w:left w:val="nil"/>
              <w:bottom w:val="nil"/>
              <w:right w:val="nil"/>
            </w:tcBorders>
          </w:tcPr>
          <w:p w:rsidR="00EE13F6" w:rsidRDefault="002E5BC4">
            <w:pPr>
              <w:spacing w:after="0"/>
              <w:ind w:left="2197"/>
            </w:pPr>
            <w:r>
              <w:rPr>
                <w:rFonts w:ascii="Cambria" w:eastAsia="Cambria" w:hAnsi="Cambria" w:cs="Cambria"/>
                <w:i/>
              </w:rPr>
              <w:t>UF</w:t>
            </w:r>
            <w:r>
              <w:rPr>
                <w:rFonts w:ascii="Cambria" w:eastAsia="Cambria" w:hAnsi="Cambria" w:cs="Cambria"/>
                <w:i/>
                <w:vertAlign w:val="subscript"/>
              </w:rPr>
              <w:t>c</w:t>
            </w:r>
            <w:r>
              <w:rPr>
                <w:rFonts w:ascii="Cambria" w:eastAsia="Cambria" w:hAnsi="Cambria" w:cs="Cambria"/>
              </w:rPr>
              <w:t>(</w:t>
            </w:r>
            <w:r>
              <w:rPr>
                <w:rFonts w:ascii="Cambria" w:eastAsia="Cambria" w:hAnsi="Cambria" w:cs="Cambria"/>
                <w:i/>
              </w:rPr>
              <w:t>σ</w:t>
            </w:r>
            <w:r>
              <w:rPr>
                <w:rFonts w:ascii="Cambria" w:eastAsia="Cambria" w:hAnsi="Cambria" w:cs="Cambria"/>
                <w:vertAlign w:val="superscript"/>
              </w:rPr>
              <w:t>0</w:t>
            </w:r>
            <w:r>
              <w:rPr>
                <w:rFonts w:ascii="Cambria" w:eastAsia="Cambria" w:hAnsi="Cambria" w:cs="Cambria"/>
              </w:rPr>
              <w:t xml:space="preserve">) − </w:t>
            </w:r>
            <w:r>
              <w:rPr>
                <w:rFonts w:ascii="Cambria" w:eastAsia="Cambria" w:hAnsi="Cambria" w:cs="Cambria"/>
                <w:i/>
              </w:rPr>
              <w:t>UF</w:t>
            </w:r>
            <w:r>
              <w:rPr>
                <w:rFonts w:ascii="Cambria" w:eastAsia="Cambria" w:hAnsi="Cambria" w:cs="Cambria"/>
                <w:i/>
                <w:vertAlign w:val="subscript"/>
              </w:rPr>
              <w:t>c</w:t>
            </w:r>
            <w:r>
              <w:rPr>
                <w:rFonts w:ascii="Cambria" w:eastAsia="Cambria" w:hAnsi="Cambria" w:cs="Cambria"/>
              </w:rPr>
              <w:t>(</w:t>
            </w:r>
            <w:r>
              <w:rPr>
                <w:rFonts w:ascii="Cambria" w:eastAsia="Cambria" w:hAnsi="Cambria" w:cs="Cambria"/>
                <w:i/>
              </w:rPr>
              <w:t>σ</w:t>
            </w:r>
            <w:r>
              <w:rPr>
                <w:rFonts w:ascii="Cambria" w:eastAsia="Cambria" w:hAnsi="Cambria" w:cs="Cambria"/>
              </w:rPr>
              <w:t>) = −</w:t>
            </w:r>
            <w:r>
              <w:rPr>
                <w:rFonts w:ascii="Cambria" w:eastAsia="Cambria" w:hAnsi="Cambria" w:cs="Cambria"/>
                <w:i/>
              </w:rPr>
              <w:t>P</w:t>
            </w:r>
            <w:r>
              <w:rPr>
                <w:rFonts w:ascii="Cambria" w:eastAsia="Cambria" w:hAnsi="Cambria" w:cs="Cambria"/>
              </w:rPr>
              <w:t>(</w:t>
            </w:r>
            <w:r>
              <w:rPr>
                <w:rFonts w:ascii="Cambria" w:eastAsia="Cambria" w:hAnsi="Cambria" w:cs="Cambria"/>
                <w:i/>
              </w:rPr>
              <w:t>K,B,σ</w:t>
            </w:r>
            <w:r>
              <w:rPr>
                <w:rFonts w:ascii="Cambria" w:eastAsia="Cambria" w:hAnsi="Cambria" w:cs="Cambria"/>
                <w:vertAlign w:val="superscript"/>
              </w:rPr>
              <w:t>0</w:t>
            </w:r>
            <w:r>
              <w:rPr>
                <w:rFonts w:ascii="Cambria" w:eastAsia="Cambria" w:hAnsi="Cambria" w:cs="Cambria"/>
              </w:rPr>
              <w:t xml:space="preserve">) + </w:t>
            </w:r>
            <w:r>
              <w:rPr>
                <w:rFonts w:ascii="Cambria" w:eastAsia="Cambria" w:hAnsi="Cambria" w:cs="Cambria"/>
                <w:i/>
              </w:rPr>
              <w:t>P</w:t>
            </w:r>
            <w:r>
              <w:rPr>
                <w:rFonts w:ascii="Cambria" w:eastAsia="Cambria" w:hAnsi="Cambria" w:cs="Cambria"/>
              </w:rPr>
              <w:t>(</w:t>
            </w:r>
            <w:r>
              <w:rPr>
                <w:rFonts w:ascii="Cambria" w:eastAsia="Cambria" w:hAnsi="Cambria" w:cs="Cambria"/>
                <w:i/>
              </w:rPr>
              <w:t>K,B,σ</w:t>
            </w:r>
            <w:r>
              <w:rPr>
                <w:rFonts w:ascii="Cambria" w:eastAsia="Cambria" w:hAnsi="Cambria" w:cs="Cambria"/>
              </w:rPr>
              <w:t>) = 0</w:t>
            </w:r>
          </w:p>
        </w:tc>
        <w:tc>
          <w:tcPr>
            <w:tcW w:w="279" w:type="dxa"/>
            <w:tcBorders>
              <w:top w:val="nil"/>
              <w:left w:val="nil"/>
              <w:bottom w:val="nil"/>
              <w:right w:val="nil"/>
            </w:tcBorders>
          </w:tcPr>
          <w:p w:rsidR="00EE13F6" w:rsidRDefault="002E5BC4">
            <w:pPr>
              <w:spacing w:after="0"/>
              <w:jc w:val="both"/>
            </w:pPr>
            <w:r>
              <w:rPr>
                <w:rFonts w:ascii="Cambria" w:eastAsia="Cambria" w:hAnsi="Cambria" w:cs="Cambria"/>
              </w:rPr>
              <w:t>(7)</w:t>
            </w:r>
          </w:p>
        </w:tc>
      </w:tr>
    </w:tbl>
    <w:p w:rsidR="00EE13F6" w:rsidRDefault="002E5BC4">
      <w:pPr>
        <w:spacing w:after="130" w:line="264" w:lineRule="auto"/>
        <w:ind w:left="-5" w:right="468" w:hanging="10"/>
        <w:jc w:val="both"/>
      </w:pPr>
      <w:r>
        <w:rPr>
          <w:rFonts w:ascii="Cambria" w:eastAsia="Cambria" w:hAnsi="Cambria" w:cs="Cambria"/>
        </w:rPr>
        <w:t>We have then the following proposition</w:t>
      </w:r>
    </w:p>
    <w:p w:rsidR="00EE13F6" w:rsidRDefault="002E5BC4">
      <w:pPr>
        <w:spacing w:after="165" w:line="257" w:lineRule="auto"/>
        <w:ind w:left="-5" w:right="361" w:hanging="10"/>
      </w:pPr>
      <w:r>
        <w:rPr>
          <w:rFonts w:ascii="Cambria" w:eastAsia="Cambria" w:hAnsi="Cambria" w:cs="Cambria"/>
          <w:b/>
        </w:rPr>
        <w:t>Proposition 2:</w:t>
      </w:r>
    </w:p>
    <w:p w:rsidR="00EE13F6" w:rsidRDefault="002E5BC4">
      <w:pPr>
        <w:spacing w:after="0" w:line="324" w:lineRule="auto"/>
        <w:ind w:left="-5" w:right="468" w:hanging="10"/>
        <w:jc w:val="both"/>
      </w:pPr>
      <w:r>
        <w:rPr>
          <w:rFonts w:ascii="Cambria" w:eastAsia="Cambria" w:hAnsi="Cambria" w:cs="Cambria"/>
        </w:rPr>
        <w:t xml:space="preserve">(i) Assuming that am agent sells credit protection on corporate debt for a notional amount </w:t>
      </w:r>
      <w:r>
        <w:rPr>
          <w:rFonts w:ascii="Cambria" w:eastAsia="Cambria" w:hAnsi="Cambria" w:cs="Cambria"/>
          <w:i/>
        </w:rPr>
        <w:t>M</w:t>
      </w:r>
      <w:r>
        <w:rPr>
          <w:rFonts w:ascii="Cambria" w:eastAsia="Cambria" w:hAnsi="Cambria" w:cs="Cambria"/>
        </w:rPr>
        <w:t xml:space="preserve">, and a recovery rate </w:t>
      </w:r>
      <w:r>
        <w:rPr>
          <w:rFonts w:ascii="Cambria" w:eastAsia="Cambria" w:hAnsi="Cambria" w:cs="Cambria"/>
          <w:i/>
        </w:rPr>
        <w:t xml:space="preserve">R </w:t>
      </w:r>
      <w:r>
        <w:rPr>
          <w:rFonts w:ascii="Cambria" w:eastAsia="Cambria" w:hAnsi="Cambria" w:cs="Cambria"/>
        </w:rPr>
        <w:t xml:space="preserve">hedges its risk by buying </w:t>
      </w:r>
      <w:r>
        <w:rPr>
          <w:rFonts w:ascii="Cambria" w:eastAsia="Cambria" w:hAnsi="Cambria" w:cs="Cambria"/>
          <w:i/>
        </w:rPr>
        <w:t xml:space="preserve">n </w:t>
      </w:r>
      <w:r>
        <w:rPr>
          <w:rFonts w:ascii="Cambria" w:eastAsia="Cambria" w:hAnsi="Cambria" w:cs="Cambria"/>
        </w:rPr>
        <w:t xml:space="preserve">units of a Binary American Put </w:t>
      </w:r>
      <w:r>
        <w:rPr>
          <w:rFonts w:ascii="Cambria" w:eastAsia="Cambria" w:hAnsi="Cambria" w:cs="Cambria"/>
          <w:i/>
        </w:rPr>
        <w:t>P</w:t>
      </w:r>
      <w:r>
        <w:rPr>
          <w:rFonts w:ascii="Cambria" w:eastAsia="Cambria" w:hAnsi="Cambria" w:cs="Cambria"/>
        </w:rPr>
        <w:t>(</w:t>
      </w:r>
      <w:r>
        <w:rPr>
          <w:rFonts w:ascii="Cambria" w:eastAsia="Cambria" w:hAnsi="Cambria" w:cs="Cambria"/>
          <w:i/>
        </w:rPr>
        <w:t>K,B</w:t>
      </w:r>
      <w:r>
        <w:rPr>
          <w:rFonts w:ascii="Cambria" w:eastAsia="Cambria" w:hAnsi="Cambria" w:cs="Cambria"/>
        </w:rPr>
        <w:t xml:space="preserve">) paying a fixed amount </w:t>
      </w:r>
      <w:r>
        <w:rPr>
          <w:rFonts w:ascii="Cambria" w:eastAsia="Cambria" w:hAnsi="Cambria" w:cs="Cambria"/>
          <w:i/>
        </w:rPr>
        <w:t xml:space="preserve">B </w:t>
      </w:r>
      <w:r>
        <w:rPr>
          <w:rFonts w:ascii="Cambria" w:eastAsia="Cambria" w:hAnsi="Cambria" w:cs="Cambria"/>
        </w:rPr>
        <w:t xml:space="preserve">and whose strike is </w:t>
      </w:r>
      <w:r>
        <w:rPr>
          <w:rFonts w:ascii="Cambria" w:eastAsia="Cambria" w:hAnsi="Cambria" w:cs="Cambria"/>
          <w:i/>
        </w:rPr>
        <w:t>K</w:t>
      </w:r>
      <w:r>
        <w:rPr>
          <w:rFonts w:ascii="Cambria" w:eastAsia="Cambria" w:hAnsi="Cambria" w:cs="Cambria"/>
        </w:rPr>
        <w:t>. such that:</w:t>
      </w:r>
    </w:p>
    <w:p w:rsidR="00EE13F6" w:rsidRDefault="002E5BC4">
      <w:pPr>
        <w:spacing w:after="279"/>
        <w:ind w:left="1920"/>
      </w:pPr>
      <w:r>
        <w:rPr>
          <w:noProof/>
        </w:rPr>
        <w:lastRenderedPageBreak/>
        <w:drawing>
          <wp:inline distT="0" distB="0" distL="0" distR="0">
            <wp:extent cx="3407664" cy="795528"/>
            <wp:effectExtent l="0" t="0" r="0" b="0"/>
            <wp:docPr id="221923" name="Picture 221923"/>
            <wp:cNvGraphicFramePr/>
            <a:graphic xmlns:a="http://schemas.openxmlformats.org/drawingml/2006/main">
              <a:graphicData uri="http://schemas.openxmlformats.org/drawingml/2006/picture">
                <pic:pic xmlns:pic="http://schemas.openxmlformats.org/drawingml/2006/picture">
                  <pic:nvPicPr>
                    <pic:cNvPr id="221923" name="Picture 221923"/>
                    <pic:cNvPicPr/>
                  </pic:nvPicPr>
                  <pic:blipFill>
                    <a:blip r:embed="rId140"/>
                    <a:stretch>
                      <a:fillRect/>
                    </a:stretch>
                  </pic:blipFill>
                  <pic:spPr>
                    <a:xfrm>
                      <a:off x="0" y="0"/>
                      <a:ext cx="3407664" cy="795528"/>
                    </a:xfrm>
                    <a:prstGeom prst="rect">
                      <a:avLst/>
                    </a:prstGeom>
                  </pic:spPr>
                </pic:pic>
              </a:graphicData>
            </a:graphic>
          </wp:inline>
        </w:drawing>
      </w:r>
    </w:p>
    <w:p w:rsidR="00EE13F6" w:rsidRDefault="002E5BC4">
      <w:pPr>
        <w:spacing w:after="351" w:line="264" w:lineRule="auto"/>
        <w:ind w:left="-5" w:right="468" w:hanging="10"/>
        <w:jc w:val="both"/>
      </w:pPr>
      <w:r>
        <w:rPr>
          <w:rFonts w:ascii="Cambria" w:eastAsia="Cambria" w:hAnsi="Cambria" w:cs="Cambria"/>
        </w:rPr>
        <w:t>Then the CDS spread variation ∆</w:t>
      </w:r>
      <w:r>
        <w:rPr>
          <w:rFonts w:ascii="Cambria" w:eastAsia="Cambria" w:hAnsi="Cambria" w:cs="Cambria"/>
          <w:i/>
        </w:rPr>
        <w:t xml:space="preserve">S </w:t>
      </w:r>
      <w:r>
        <w:rPr>
          <w:rFonts w:ascii="Cambria" w:eastAsia="Cambria" w:hAnsi="Cambria" w:cs="Cambria"/>
        </w:rPr>
        <w:t xml:space="preserve">corresponding to an increase in the equity share price volatility </w:t>
      </w:r>
      <w:r>
        <w:rPr>
          <w:rFonts w:ascii="Cambria" w:eastAsia="Cambria" w:hAnsi="Cambria" w:cs="Cambria"/>
          <w:i/>
        </w:rPr>
        <w:t xml:space="preserve">σ </w:t>
      </w:r>
      <w:r>
        <w:rPr>
          <w:rFonts w:ascii="Cambria" w:eastAsia="Cambria" w:hAnsi="Cambria" w:cs="Cambria"/>
        </w:rPr>
        <w:t>can be approximated by ∆</w:t>
      </w:r>
      <w:r>
        <w:rPr>
          <w:rFonts w:ascii="Cambria" w:eastAsia="Cambria" w:hAnsi="Cambria" w:cs="Cambria"/>
          <w:i/>
        </w:rPr>
        <w:t>S</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which is solution of the follo</w:t>
      </w:r>
      <w:r>
        <w:rPr>
          <w:rFonts w:ascii="Cambria" w:eastAsia="Cambria" w:hAnsi="Cambria" w:cs="Cambria"/>
        </w:rPr>
        <w:t>wing equation:</w:t>
      </w:r>
    </w:p>
    <w:p w:rsidR="00EE13F6" w:rsidRDefault="002E5BC4">
      <w:pPr>
        <w:tabs>
          <w:tab w:val="center" w:pos="4749"/>
          <w:tab w:val="center" w:pos="9221"/>
        </w:tabs>
        <w:spacing w:after="223" w:line="265" w:lineRule="auto"/>
      </w:pPr>
      <w:r>
        <w:tab/>
      </w:r>
      <w:r>
        <w:rPr>
          <w:noProof/>
        </w:rPr>
        <w:drawing>
          <wp:inline distT="0" distB="0" distL="0" distR="0">
            <wp:extent cx="2968752" cy="313944"/>
            <wp:effectExtent l="0" t="0" r="0" b="0"/>
            <wp:docPr id="221924" name="Picture 221924"/>
            <wp:cNvGraphicFramePr/>
            <a:graphic xmlns:a="http://schemas.openxmlformats.org/drawingml/2006/main">
              <a:graphicData uri="http://schemas.openxmlformats.org/drawingml/2006/picture">
                <pic:pic xmlns:pic="http://schemas.openxmlformats.org/drawingml/2006/picture">
                  <pic:nvPicPr>
                    <pic:cNvPr id="221924" name="Picture 221924"/>
                    <pic:cNvPicPr/>
                  </pic:nvPicPr>
                  <pic:blipFill>
                    <a:blip r:embed="rId141"/>
                    <a:stretch>
                      <a:fillRect/>
                    </a:stretch>
                  </pic:blipFill>
                  <pic:spPr>
                    <a:xfrm>
                      <a:off x="0" y="0"/>
                      <a:ext cx="2968752" cy="313944"/>
                    </a:xfrm>
                    <a:prstGeom prst="rect">
                      <a:avLst/>
                    </a:prstGeom>
                  </pic:spPr>
                </pic:pic>
              </a:graphicData>
            </a:graphic>
          </wp:inline>
        </w:drawing>
      </w:r>
      <w:r>
        <w:rPr>
          <w:rFonts w:ascii="Cambria" w:eastAsia="Cambria" w:hAnsi="Cambria" w:cs="Cambria"/>
        </w:rPr>
        <w:tab/>
        <w:t>(8)</w:t>
      </w:r>
    </w:p>
    <w:p w:rsidR="00EE13F6" w:rsidRDefault="002E5BC4">
      <w:pPr>
        <w:spacing w:after="165" w:line="257" w:lineRule="auto"/>
        <w:ind w:left="-5" w:right="361" w:hanging="10"/>
      </w:pPr>
      <w:r>
        <w:rPr>
          <w:rFonts w:ascii="Cambria" w:eastAsia="Cambria" w:hAnsi="Cambria" w:cs="Cambria"/>
          <w:b/>
        </w:rPr>
        <w:t>Proof:</w:t>
      </w:r>
    </w:p>
    <w:p w:rsidR="00EE13F6" w:rsidRDefault="002E5BC4">
      <w:pPr>
        <w:spacing w:after="170" w:line="264" w:lineRule="auto"/>
        <w:ind w:left="-5" w:right="468" w:hanging="10"/>
        <w:jc w:val="both"/>
      </w:pPr>
      <w:r>
        <w:rPr>
          <w:rFonts w:ascii="Cambria" w:eastAsia="Cambria" w:hAnsi="Cambria" w:cs="Cambria"/>
        </w:rPr>
        <w:t>The proof comes directly from equation (4) and a second order development of both ∆</w:t>
      </w:r>
      <w:r>
        <w:rPr>
          <w:rFonts w:ascii="Cambria" w:eastAsia="Cambria" w:hAnsi="Cambria" w:cs="Cambria"/>
          <w:i/>
        </w:rPr>
        <w:t xml:space="preserve">U </w:t>
      </w:r>
      <w:r>
        <w:rPr>
          <w:rFonts w:ascii="Cambria" w:eastAsia="Cambria" w:hAnsi="Cambria" w:cs="Cambria"/>
        </w:rPr>
        <w:t>and ∆</w:t>
      </w:r>
      <w:r>
        <w:rPr>
          <w:rFonts w:ascii="Cambria" w:eastAsia="Cambria" w:hAnsi="Cambria" w:cs="Cambria"/>
          <w:i/>
        </w:rPr>
        <w:t>P</w:t>
      </w:r>
      <w:r>
        <w:rPr>
          <w:rFonts w:ascii="Cambria" w:eastAsia="Cambria" w:hAnsi="Cambria" w:cs="Cambria"/>
        </w:rPr>
        <w:t>.</w:t>
      </w:r>
    </w:p>
    <w:p w:rsidR="00EE13F6" w:rsidRDefault="002E5BC4">
      <w:pPr>
        <w:spacing w:after="465" w:line="264" w:lineRule="auto"/>
        <w:ind w:left="-5" w:right="468" w:hanging="10"/>
        <w:jc w:val="both"/>
      </w:pPr>
      <w:r>
        <w:rPr>
          <w:rFonts w:ascii="Cambria" w:eastAsia="Cambria" w:hAnsi="Cambria" w:cs="Cambria"/>
        </w:rPr>
        <w:t>In equation (6), all terms but ∆</w:t>
      </w:r>
      <w:r>
        <w:rPr>
          <w:rFonts w:ascii="Cambria" w:eastAsia="Cambria" w:hAnsi="Cambria" w:cs="Cambria"/>
          <w:i/>
        </w:rPr>
        <w:t xml:space="preserve">S </w:t>
      </w:r>
      <w:r>
        <w:rPr>
          <w:rFonts w:ascii="Cambria" w:eastAsia="Cambria" w:hAnsi="Cambria" w:cs="Cambria"/>
        </w:rPr>
        <w:t>are known as they measure the sensitivities of respectively the CDS and the Option towards the credit spread and the volatility. Consequently, ∆</w:t>
      </w:r>
      <w:r>
        <w:rPr>
          <w:rFonts w:ascii="Cambria" w:eastAsia="Cambria" w:hAnsi="Cambria" w:cs="Cambria"/>
          <w:i/>
        </w:rPr>
        <w:t xml:space="preserve">S </w:t>
      </w:r>
      <w:r>
        <w:rPr>
          <w:rFonts w:ascii="Cambria" w:eastAsia="Cambria" w:hAnsi="Cambria" w:cs="Cambria"/>
        </w:rPr>
        <w:t>can be computed.</w:t>
      </w:r>
    </w:p>
    <w:p w:rsidR="00EE13F6" w:rsidRDefault="002E5BC4">
      <w:pPr>
        <w:pStyle w:val="Heading2"/>
        <w:tabs>
          <w:tab w:val="center" w:pos="4986"/>
        </w:tabs>
        <w:ind w:left="-15" w:firstLine="0"/>
      </w:pPr>
      <w:r>
        <w:t>2.3</w:t>
      </w:r>
      <w:r>
        <w:tab/>
        <w:t>Numerical illustration of the FTT Impact when CDS is hedged with a Put</w:t>
      </w:r>
    </w:p>
    <w:p w:rsidR="00EE13F6" w:rsidRDefault="002E5BC4">
      <w:pPr>
        <w:spacing w:after="130" w:line="264" w:lineRule="auto"/>
        <w:ind w:left="-5" w:right="468" w:hanging="10"/>
        <w:jc w:val="both"/>
      </w:pPr>
      <w:r>
        <w:rPr>
          <w:rFonts w:ascii="Cambria" w:eastAsia="Cambria" w:hAnsi="Cambria" w:cs="Cambria"/>
        </w:rPr>
        <w:t>The following exam</w:t>
      </w:r>
      <w:r>
        <w:rPr>
          <w:rFonts w:ascii="Cambria" w:eastAsia="Cambria" w:hAnsi="Cambria" w:cs="Cambria"/>
        </w:rPr>
        <w:t>ple illustrates the possible hedging of a CDS position by a put written directly on the stock. This is because, in case of a corporate default, the value of the stock will decrease sharply and tend to zero. Shareholders will only get the residual value rem</w:t>
      </w:r>
      <w:r>
        <w:rPr>
          <w:rFonts w:ascii="Cambria" w:eastAsia="Cambria" w:hAnsi="Cambria" w:cs="Cambria"/>
        </w:rPr>
        <w:t>aining, if any, after all creditors have been paid.</w:t>
      </w:r>
    </w:p>
    <w:p w:rsidR="00EE13F6" w:rsidRDefault="002E5BC4">
      <w:pPr>
        <w:spacing w:after="307" w:line="257" w:lineRule="auto"/>
        <w:ind w:left="-5" w:right="361" w:hanging="10"/>
      </w:pPr>
      <w:r>
        <w:rPr>
          <w:rFonts w:ascii="Cambria" w:eastAsia="Cambria" w:hAnsi="Cambria" w:cs="Cambria"/>
          <w:b/>
        </w:rPr>
        <w:t>Assumptions and Initial Hedge</w:t>
      </w:r>
    </w:p>
    <w:p w:rsidR="00EE13F6" w:rsidRDefault="002E5BC4" w:rsidP="002E5BC4">
      <w:pPr>
        <w:numPr>
          <w:ilvl w:val="0"/>
          <w:numId w:val="30"/>
        </w:numPr>
        <w:spacing w:after="179" w:line="264" w:lineRule="auto"/>
        <w:ind w:left="546" w:right="468" w:hanging="279"/>
        <w:jc w:val="both"/>
      </w:pPr>
      <w:r>
        <w:rPr>
          <w:rFonts w:ascii="Cambria" w:eastAsia="Cambria" w:hAnsi="Cambria" w:cs="Cambria"/>
        </w:rPr>
        <w:t>We consider AXA (Ticker CS. FP) a world known insurance company listed on the Paris Stock Exchange market</w:t>
      </w:r>
    </w:p>
    <w:p w:rsidR="00EE13F6" w:rsidRDefault="002E5BC4" w:rsidP="002E5BC4">
      <w:pPr>
        <w:numPr>
          <w:ilvl w:val="0"/>
          <w:numId w:val="30"/>
        </w:numPr>
        <w:spacing w:after="186" w:line="264" w:lineRule="auto"/>
        <w:ind w:left="546" w:right="468" w:hanging="279"/>
        <w:jc w:val="both"/>
      </w:pPr>
      <w:r>
        <w:rPr>
          <w:rFonts w:ascii="Cambria" w:eastAsia="Cambria" w:hAnsi="Cambria" w:cs="Cambria"/>
        </w:rPr>
        <w:t>On the 30/09/2016, the CDS-spread for a 5-year protection under stan</w:t>
      </w:r>
      <w:r>
        <w:rPr>
          <w:rFonts w:ascii="Cambria" w:eastAsia="Cambria" w:hAnsi="Cambria" w:cs="Cambria"/>
        </w:rPr>
        <w:t>dard default conditions, is 74</w:t>
      </w:r>
      <w:r>
        <w:rPr>
          <w:rFonts w:ascii="Cambria" w:eastAsia="Cambria" w:hAnsi="Cambria" w:cs="Cambria"/>
          <w:i/>
        </w:rPr>
        <w:t>.</w:t>
      </w:r>
      <w:r>
        <w:rPr>
          <w:rFonts w:ascii="Cambria" w:eastAsia="Cambria" w:hAnsi="Cambria" w:cs="Cambria"/>
        </w:rPr>
        <w:t>75 basis points per annum, for a 10 MM Euro notional amount.</w:t>
      </w:r>
    </w:p>
    <w:p w:rsidR="00EE13F6" w:rsidRDefault="002E5BC4" w:rsidP="002E5BC4">
      <w:pPr>
        <w:numPr>
          <w:ilvl w:val="0"/>
          <w:numId w:val="30"/>
        </w:numPr>
        <w:spacing w:after="186" w:line="264" w:lineRule="auto"/>
        <w:ind w:left="546" w:right="468" w:hanging="279"/>
        <w:jc w:val="both"/>
      </w:pPr>
      <w:r>
        <w:rPr>
          <w:rFonts w:ascii="Cambria" w:eastAsia="Cambria" w:hAnsi="Cambria" w:cs="Cambria"/>
        </w:rPr>
        <w:t>The sensitivity of the CDS value toward a 1 basis point variation is 4</w:t>
      </w:r>
      <w:r>
        <w:rPr>
          <w:rFonts w:ascii="Cambria" w:eastAsia="Cambria" w:hAnsi="Cambria" w:cs="Cambria"/>
          <w:i/>
        </w:rPr>
        <w:t>,</w:t>
      </w:r>
      <w:r>
        <w:rPr>
          <w:rFonts w:ascii="Cambria" w:eastAsia="Cambria" w:hAnsi="Cambria" w:cs="Cambria"/>
        </w:rPr>
        <w:t>915 Euro. Upfront cost for the CDS is 318</w:t>
      </w:r>
      <w:r>
        <w:rPr>
          <w:rFonts w:ascii="Cambria" w:eastAsia="Cambria" w:hAnsi="Cambria" w:cs="Cambria"/>
          <w:i/>
        </w:rPr>
        <w:t>,</w:t>
      </w:r>
      <w:r>
        <w:rPr>
          <w:rFonts w:ascii="Cambria" w:eastAsia="Cambria" w:hAnsi="Cambria" w:cs="Cambria"/>
        </w:rPr>
        <w:t>700 Euros assumed to be mid-value.</w:t>
      </w:r>
    </w:p>
    <w:p w:rsidR="00EE13F6" w:rsidRDefault="002E5BC4" w:rsidP="002E5BC4">
      <w:pPr>
        <w:numPr>
          <w:ilvl w:val="0"/>
          <w:numId w:val="30"/>
        </w:numPr>
        <w:spacing w:after="196" w:line="264" w:lineRule="auto"/>
        <w:ind w:left="546" w:right="468" w:hanging="279"/>
        <w:jc w:val="both"/>
      </w:pPr>
      <w:r>
        <w:rPr>
          <w:rFonts w:ascii="Cambria" w:eastAsia="Cambria" w:hAnsi="Cambria" w:cs="Cambria"/>
        </w:rPr>
        <w:t xml:space="preserve">Risk free yield </w:t>
      </w:r>
      <w:r>
        <w:rPr>
          <w:rFonts w:ascii="Cambria" w:eastAsia="Cambria" w:hAnsi="Cambria" w:cs="Cambria"/>
        </w:rPr>
        <w:t>rate is 0</w:t>
      </w:r>
      <w:r>
        <w:rPr>
          <w:rFonts w:ascii="Cambria" w:eastAsia="Cambria" w:hAnsi="Cambria" w:cs="Cambria"/>
          <w:i/>
        </w:rPr>
        <w:t>.</w:t>
      </w:r>
      <w:r>
        <w:rPr>
          <w:rFonts w:ascii="Cambria" w:eastAsia="Cambria" w:hAnsi="Cambria" w:cs="Cambria"/>
        </w:rPr>
        <w:t>5 percent.</w:t>
      </w:r>
    </w:p>
    <w:p w:rsidR="00EE13F6" w:rsidRDefault="002E5BC4" w:rsidP="002E5BC4">
      <w:pPr>
        <w:numPr>
          <w:ilvl w:val="0"/>
          <w:numId w:val="30"/>
        </w:numPr>
        <w:spacing w:after="203" w:line="264" w:lineRule="auto"/>
        <w:ind w:left="546" w:right="468" w:hanging="279"/>
        <w:jc w:val="both"/>
      </w:pPr>
      <w:r>
        <w:rPr>
          <w:rFonts w:ascii="Cambria" w:eastAsia="Cambria" w:hAnsi="Cambria" w:cs="Cambria"/>
        </w:rPr>
        <w:t xml:space="preserve">The stock spot price </w:t>
      </w:r>
      <w:r>
        <w:rPr>
          <w:rFonts w:ascii="Cambria" w:eastAsia="Cambria" w:hAnsi="Cambria" w:cs="Cambria"/>
          <w:i/>
        </w:rPr>
        <w:t>S</w:t>
      </w:r>
      <w:r>
        <w:rPr>
          <w:rFonts w:ascii="Cambria" w:eastAsia="Cambria" w:hAnsi="Cambria" w:cs="Cambria"/>
          <w:vertAlign w:val="subscript"/>
        </w:rPr>
        <w:t xml:space="preserve">0 </w:t>
      </w:r>
      <w:r>
        <w:rPr>
          <w:rFonts w:ascii="Cambria" w:eastAsia="Cambria" w:hAnsi="Cambria" w:cs="Cambria"/>
        </w:rPr>
        <w:t>is 22 Euros constant dividend yield is assumed to be 6</w:t>
      </w:r>
      <w:r>
        <w:rPr>
          <w:rFonts w:ascii="Cambria" w:eastAsia="Cambria" w:hAnsi="Cambria" w:cs="Cambria"/>
          <w:i/>
        </w:rPr>
        <w:t>.</w:t>
      </w:r>
      <w:r>
        <w:rPr>
          <w:rFonts w:ascii="Cambria" w:eastAsia="Cambria" w:hAnsi="Cambria" w:cs="Cambria"/>
        </w:rPr>
        <w:t>5 percent</w:t>
      </w:r>
    </w:p>
    <w:p w:rsidR="00EE13F6" w:rsidRDefault="002E5BC4" w:rsidP="002E5BC4">
      <w:pPr>
        <w:numPr>
          <w:ilvl w:val="0"/>
          <w:numId w:val="30"/>
        </w:numPr>
        <w:spacing w:after="81" w:line="264" w:lineRule="auto"/>
        <w:ind w:left="546" w:right="468" w:hanging="279"/>
        <w:jc w:val="both"/>
      </w:pPr>
      <w:r>
        <w:rPr>
          <w:rFonts w:ascii="Cambria" w:eastAsia="Cambria" w:hAnsi="Cambria" w:cs="Cambria"/>
        </w:rPr>
        <w:t>A possible hedging consists of an American binary put option whose strike K is 4</w:t>
      </w:r>
      <w:r>
        <w:rPr>
          <w:rFonts w:ascii="Cambria" w:eastAsia="Cambria" w:hAnsi="Cambria" w:cs="Cambria"/>
          <w:i/>
        </w:rPr>
        <w:t>.</w:t>
      </w:r>
      <w:r>
        <w:rPr>
          <w:rFonts w:ascii="Cambria" w:eastAsia="Cambria" w:hAnsi="Cambria" w:cs="Cambria"/>
        </w:rPr>
        <w:t xml:space="preserve">0010276 </w:t>
      </w:r>
      <w:r>
        <w:rPr>
          <w:rFonts w:ascii="Cambria" w:eastAsia="Cambria" w:hAnsi="Cambria" w:cs="Cambria"/>
        </w:rPr>
        <w:t>Euros (rounded to 4 Euros) and whose cash pay-out is 4 Euros. In order to cover the part of the debt which is not recoverable in the case of the bankruptcy to 6 MM Euros (computed as (1 − 0</w:t>
      </w:r>
      <w:r>
        <w:rPr>
          <w:rFonts w:ascii="Cambria" w:eastAsia="Cambria" w:hAnsi="Cambria" w:cs="Cambria"/>
          <w:i/>
        </w:rPr>
        <w:t>.</w:t>
      </w:r>
      <w:r>
        <w:rPr>
          <w:rFonts w:ascii="Cambria" w:eastAsia="Cambria" w:hAnsi="Cambria" w:cs="Cambria"/>
        </w:rPr>
        <w:t>4) ∗ 10 MM), we need 6</w:t>
      </w:r>
      <w:r>
        <w:rPr>
          <w:rFonts w:ascii="Cambria" w:eastAsia="Cambria" w:hAnsi="Cambria" w:cs="Cambria"/>
          <w:i/>
        </w:rPr>
        <w:t>,</w:t>
      </w:r>
      <w:r>
        <w:rPr>
          <w:rFonts w:ascii="Cambria" w:eastAsia="Cambria" w:hAnsi="Cambria" w:cs="Cambria"/>
        </w:rPr>
        <w:t>000</w:t>
      </w:r>
      <w:r>
        <w:rPr>
          <w:rFonts w:ascii="Cambria" w:eastAsia="Cambria" w:hAnsi="Cambria" w:cs="Cambria"/>
          <w:i/>
        </w:rPr>
        <w:t>,</w:t>
      </w:r>
      <w:r>
        <w:rPr>
          <w:rFonts w:ascii="Cambria" w:eastAsia="Cambria" w:hAnsi="Cambria" w:cs="Cambria"/>
        </w:rPr>
        <w:t>000</w:t>
      </w:r>
      <w:r>
        <w:rPr>
          <w:rFonts w:ascii="Cambria" w:eastAsia="Cambria" w:hAnsi="Cambria" w:cs="Cambria"/>
          <w:i/>
        </w:rPr>
        <w:t>/</w:t>
      </w:r>
      <w:r>
        <w:rPr>
          <w:rFonts w:ascii="Cambria" w:eastAsia="Cambria" w:hAnsi="Cambria" w:cs="Cambria"/>
        </w:rPr>
        <w:t>4 = 1</w:t>
      </w:r>
      <w:r>
        <w:rPr>
          <w:rFonts w:ascii="Cambria" w:eastAsia="Cambria" w:hAnsi="Cambria" w:cs="Cambria"/>
          <w:i/>
        </w:rPr>
        <w:t>,</w:t>
      </w:r>
      <w:r>
        <w:rPr>
          <w:rFonts w:ascii="Cambria" w:eastAsia="Cambria" w:hAnsi="Cambria" w:cs="Cambria"/>
        </w:rPr>
        <w:t>500</w:t>
      </w:r>
      <w:r>
        <w:rPr>
          <w:rFonts w:ascii="Cambria" w:eastAsia="Cambria" w:hAnsi="Cambria" w:cs="Cambria"/>
          <w:i/>
        </w:rPr>
        <w:t>,</w:t>
      </w:r>
      <w:r>
        <w:rPr>
          <w:rFonts w:ascii="Cambria" w:eastAsia="Cambria" w:hAnsi="Cambria" w:cs="Cambria"/>
        </w:rPr>
        <w:t>000 binary put options.</w:t>
      </w:r>
    </w:p>
    <w:p w:rsidR="00EE13F6" w:rsidRDefault="002E5BC4">
      <w:pPr>
        <w:spacing w:after="275" w:line="264" w:lineRule="auto"/>
        <w:ind w:left="555" w:right="468" w:hanging="10"/>
        <w:jc w:val="both"/>
      </w:pPr>
      <w:r>
        <w:rPr>
          <w:rFonts w:ascii="Cambria" w:eastAsia="Cambria" w:hAnsi="Cambria" w:cs="Cambria"/>
        </w:rPr>
        <w:t>A</w:t>
      </w:r>
      <w:r>
        <w:rPr>
          <w:rFonts w:ascii="Cambria" w:eastAsia="Cambria" w:hAnsi="Cambria" w:cs="Cambria"/>
        </w:rPr>
        <w:t>s we consider to be reasonably far from bankruptcy, we assume that at most, the premium of the American option is going to be no more than the premium of the European put option which is considered then as an acceptable hedge. The European put option premi</w:t>
      </w:r>
      <w:r>
        <w:rPr>
          <w:rFonts w:ascii="Cambria" w:eastAsia="Cambria" w:hAnsi="Cambria" w:cs="Cambria"/>
        </w:rPr>
        <w:t xml:space="preserve">um is 0.2125 Euros, </w:t>
      </w:r>
      <w:r>
        <w:rPr>
          <w:rFonts w:ascii="Cambria" w:eastAsia="Cambria" w:hAnsi="Cambria" w:cs="Cambria"/>
        </w:rPr>
        <w:lastRenderedPageBreak/>
        <w:t>for a volatility of 32.03 percent. The cost of buying those put options is then 318,700 Euros to be compared to the upfront CDS value of Euros 318,700 Euros.</w:t>
      </w:r>
    </w:p>
    <w:p w:rsidR="00EE13F6" w:rsidRDefault="002E5BC4">
      <w:pPr>
        <w:spacing w:after="307" w:line="257" w:lineRule="auto"/>
        <w:ind w:left="-5" w:right="361" w:hanging="10"/>
      </w:pPr>
      <w:r>
        <w:rPr>
          <w:rFonts w:ascii="Cambria" w:eastAsia="Cambria" w:hAnsi="Cambria" w:cs="Cambria"/>
          <w:b/>
        </w:rPr>
        <w:t>Impact of the FTT</w:t>
      </w:r>
    </w:p>
    <w:p w:rsidR="00EE13F6" w:rsidRDefault="002E5BC4" w:rsidP="002E5BC4">
      <w:pPr>
        <w:numPr>
          <w:ilvl w:val="0"/>
          <w:numId w:val="31"/>
        </w:numPr>
        <w:spacing w:after="189" w:line="264" w:lineRule="auto"/>
        <w:ind w:left="546" w:right="468" w:hanging="279"/>
        <w:jc w:val="both"/>
      </w:pPr>
      <w:r>
        <w:rPr>
          <w:rFonts w:ascii="Cambria" w:eastAsia="Cambria" w:hAnsi="Cambria" w:cs="Cambria"/>
        </w:rPr>
        <w:t>We then consider the increase in volatility that the market-</w:t>
      </w:r>
      <w:r>
        <w:rPr>
          <w:rFonts w:ascii="Cambria" w:eastAsia="Cambria" w:hAnsi="Cambria" w:cs="Cambria"/>
        </w:rPr>
        <w:t>maker will have to consider if he applies a 2 percent ∆</w:t>
      </w:r>
      <w:r>
        <w:rPr>
          <w:rFonts w:ascii="Cambria" w:eastAsia="Cambria" w:hAnsi="Cambria" w:cs="Cambria"/>
          <w:i/>
          <w:vertAlign w:val="subscript"/>
        </w:rPr>
        <w:t xml:space="preserve">s </w:t>
      </w:r>
      <w:r>
        <w:rPr>
          <w:rFonts w:ascii="Cambria" w:eastAsia="Cambria" w:hAnsi="Cambria" w:cs="Cambria"/>
        </w:rPr>
        <w:t>hedging rule.</w:t>
      </w:r>
    </w:p>
    <w:p w:rsidR="00EE13F6" w:rsidRDefault="002E5BC4" w:rsidP="002E5BC4">
      <w:pPr>
        <w:numPr>
          <w:ilvl w:val="0"/>
          <w:numId w:val="31"/>
        </w:numPr>
        <w:spacing w:after="179" w:line="264" w:lineRule="auto"/>
        <w:ind w:left="546" w:right="468" w:hanging="279"/>
        <w:jc w:val="both"/>
      </w:pPr>
      <w:r>
        <w:rPr>
          <w:rFonts w:ascii="Cambria" w:eastAsia="Cambria" w:hAnsi="Cambria" w:cs="Cambria"/>
        </w:rPr>
        <w:t>The volatility level is bumped to 37.984 percent. he put premium amounts to 0.42737197 and the total cost of hedging is now 641,058 Euros hence an increase of 322,358 Euros.</w:t>
      </w:r>
    </w:p>
    <w:p w:rsidR="00EE13F6" w:rsidRDefault="002E5BC4" w:rsidP="002E5BC4">
      <w:pPr>
        <w:numPr>
          <w:ilvl w:val="0"/>
          <w:numId w:val="31"/>
        </w:numPr>
        <w:spacing w:after="15" w:line="264" w:lineRule="auto"/>
        <w:ind w:left="546" w:right="468" w:hanging="279"/>
        <w:jc w:val="both"/>
      </w:pPr>
      <w:r>
        <w:rPr>
          <w:rFonts w:ascii="Cambria" w:eastAsia="Cambria" w:hAnsi="Cambria" w:cs="Cambria"/>
        </w:rPr>
        <w:t>Applying th</w:t>
      </w:r>
      <w:r>
        <w:rPr>
          <w:rFonts w:ascii="Cambria" w:eastAsia="Cambria" w:hAnsi="Cambria" w:cs="Cambria"/>
        </w:rPr>
        <w:t>e sensitivity of the CDS toward a 1 basis point variation of 4,915 Euros, and ignoring the second order (convexity) effects, we find this is consistent with an increase of</w:t>
      </w:r>
    </w:p>
    <w:p w:rsidR="00EE13F6" w:rsidRDefault="002E5BC4">
      <w:pPr>
        <w:spacing w:after="130" w:line="264" w:lineRule="auto"/>
        <w:ind w:left="555" w:right="468" w:hanging="10"/>
        <w:jc w:val="both"/>
      </w:pPr>
      <w:r>
        <w:rPr>
          <w:rFonts w:ascii="Cambria" w:eastAsia="Cambria" w:hAnsi="Cambria" w:cs="Cambria"/>
        </w:rPr>
        <w:t>65.58 basis points per annum of the credit spread.</w:t>
      </w:r>
    </w:p>
    <w:p w:rsidR="00EE13F6" w:rsidRDefault="002E5BC4">
      <w:pPr>
        <w:spacing w:after="139" w:line="257" w:lineRule="auto"/>
        <w:ind w:left="-5" w:right="361" w:hanging="10"/>
      </w:pPr>
      <w:r>
        <w:rPr>
          <w:rFonts w:ascii="Cambria" w:eastAsia="Cambria" w:hAnsi="Cambria" w:cs="Cambria"/>
          <w:b/>
        </w:rPr>
        <w:t>Remark:</w:t>
      </w:r>
    </w:p>
    <w:p w:rsidR="00EE13F6" w:rsidRDefault="002E5BC4">
      <w:pPr>
        <w:spacing w:after="130" w:line="264" w:lineRule="auto"/>
        <w:ind w:left="-5" w:right="468" w:hanging="10"/>
        <w:jc w:val="both"/>
      </w:pPr>
      <w:r>
        <w:rPr>
          <w:rFonts w:ascii="Cambria" w:eastAsia="Cambria" w:hAnsi="Cambria" w:cs="Cambria"/>
        </w:rPr>
        <w:t>Such calculation constitutes a ”proxy” and a lower bound of the total impact of the FTT on the 5 years Credit Spread. This is because we have considered that the value of the American put was equal to the value of the European put, whereas generally Europe</w:t>
      </w:r>
      <w:r>
        <w:rPr>
          <w:rFonts w:ascii="Cambria" w:eastAsia="Cambria" w:hAnsi="Cambria" w:cs="Cambria"/>
        </w:rPr>
        <w:t>an put options are cheaper than American ones.</w:t>
      </w:r>
    </w:p>
    <w:p w:rsidR="00EE13F6" w:rsidRDefault="002E5BC4">
      <w:pPr>
        <w:spacing w:after="824" w:line="264" w:lineRule="auto"/>
        <w:ind w:left="-5" w:right="468" w:hanging="10"/>
        <w:jc w:val="both"/>
      </w:pPr>
      <w:r>
        <w:rPr>
          <w:rFonts w:ascii="Cambria" w:eastAsia="Cambria" w:hAnsi="Cambria" w:cs="Cambria"/>
        </w:rPr>
        <w:t xml:space="preserve">However, such calculation of the volatility level allowing the arbitrage between the CDS and the put is still possible, for example using Monte-Carlo simulation. Such approach allow the possibility of factoring in a non constant volatility. Though this is </w:t>
      </w:r>
      <w:r>
        <w:rPr>
          <w:rFonts w:ascii="Cambria" w:eastAsia="Cambria" w:hAnsi="Cambria" w:cs="Cambria"/>
        </w:rPr>
        <w:t>possible, we will then jump, for simplicity reasons, to ”Off the Shelf” calculation models which are widely used by market practitioners.</w:t>
      </w:r>
    </w:p>
    <w:p w:rsidR="00EE13F6" w:rsidRDefault="002E5BC4">
      <w:pPr>
        <w:pStyle w:val="Heading1"/>
        <w:tabs>
          <w:tab w:val="center" w:pos="4259"/>
        </w:tabs>
        <w:spacing w:after="279"/>
        <w:ind w:left="-15" w:firstLine="0"/>
      </w:pPr>
      <w:r>
        <w:t>3</w:t>
      </w:r>
      <w:r>
        <w:tab/>
        <w:t>Capital Structure Arbitrage Using Structural Models</w:t>
      </w:r>
    </w:p>
    <w:p w:rsidR="00EE13F6" w:rsidRDefault="002E5BC4">
      <w:pPr>
        <w:spacing w:after="130" w:line="264" w:lineRule="auto"/>
        <w:ind w:left="-5" w:right="468" w:hanging="10"/>
        <w:jc w:val="both"/>
      </w:pPr>
      <w:r>
        <w:rPr>
          <w:rFonts w:ascii="Cambria" w:eastAsia="Cambria" w:hAnsi="Cambria" w:cs="Cambria"/>
        </w:rPr>
        <w:t>Structural models of the Corporate firm have been pioneered by M</w:t>
      </w:r>
      <w:r>
        <w:rPr>
          <w:rFonts w:ascii="Cambria" w:eastAsia="Cambria" w:hAnsi="Cambria" w:cs="Cambria"/>
        </w:rPr>
        <w:t>odigliani and Miller (1958) and later, by Merton. Following the latter, such models derive the probability of default of the corporation from the level of assets relatively to the existing debt. They take into account the asset volatility which commands di</w:t>
      </w:r>
      <w:r>
        <w:rPr>
          <w:rFonts w:ascii="Cambria" w:eastAsia="Cambria" w:hAnsi="Cambria" w:cs="Cambria"/>
        </w:rPr>
        <w:t>rectly the probability of default. Using then assumptions on the recovery rate of the debt, it is then possible to derive the credit spread on the debt issued by the corporation.</w:t>
      </w:r>
    </w:p>
    <w:p w:rsidR="00EE13F6" w:rsidRDefault="002E5BC4">
      <w:pPr>
        <w:spacing w:after="130" w:line="264" w:lineRule="auto"/>
        <w:ind w:left="-5" w:right="468" w:hanging="10"/>
        <w:jc w:val="both"/>
      </w:pPr>
      <w:r>
        <w:rPr>
          <w:rFonts w:ascii="Cambria" w:eastAsia="Cambria" w:hAnsi="Cambria" w:cs="Cambria"/>
        </w:rPr>
        <w:t xml:space="preserve">Capital Markets are using extensively using such approach to conduct capital </w:t>
      </w:r>
      <w:r>
        <w:rPr>
          <w:rFonts w:ascii="Cambria" w:eastAsia="Cambria" w:hAnsi="Cambria" w:cs="Cambria"/>
        </w:rPr>
        <w:t>structure arbitrage between various financing instruments issued by the same corporate firm, such as equity and corporate bonds. An illustration of such arbitrage, is the convertible arbitrage, which takes advantage of the differences between the convertib</w:t>
      </w:r>
      <w:r>
        <w:rPr>
          <w:rFonts w:ascii="Cambria" w:eastAsia="Cambria" w:hAnsi="Cambria" w:cs="Cambria"/>
        </w:rPr>
        <w:t>le bond price, (in which a call option for the issuer is embedded into the bond) and the equity,</w:t>
      </w:r>
    </w:p>
    <w:p w:rsidR="00EE13F6" w:rsidRDefault="002E5BC4">
      <w:pPr>
        <w:spacing w:after="476" w:line="264" w:lineRule="auto"/>
        <w:ind w:left="-5" w:right="468" w:hanging="10"/>
        <w:jc w:val="both"/>
      </w:pPr>
      <w:r>
        <w:rPr>
          <w:rFonts w:ascii="Cambria" w:eastAsia="Cambria" w:hAnsi="Cambria" w:cs="Cambria"/>
        </w:rPr>
        <w:t>Following the introduction of the Black-Scholes Option framework, Merton has introduced a quantitative model of the firm linking Credit Default, and Equity Der</w:t>
      </w:r>
      <w:r>
        <w:rPr>
          <w:rFonts w:ascii="Cambria" w:eastAsia="Cambria" w:hAnsi="Cambria" w:cs="Cambria"/>
        </w:rPr>
        <w:t>ivatives. This framework has been completed later by Black and Cox and has known several adaptions.</w:t>
      </w:r>
    </w:p>
    <w:p w:rsidR="00EE13F6" w:rsidRDefault="002E5BC4">
      <w:pPr>
        <w:pStyle w:val="Heading2"/>
        <w:tabs>
          <w:tab w:val="center" w:pos="2724"/>
        </w:tabs>
        <w:spacing w:after="295"/>
        <w:ind w:left="-15" w:firstLine="0"/>
      </w:pPr>
      <w:r>
        <w:lastRenderedPageBreak/>
        <w:t>3.1</w:t>
      </w:r>
      <w:r>
        <w:tab/>
        <w:t>Merton’s Original Structural Model</w:t>
      </w:r>
    </w:p>
    <w:p w:rsidR="00EE13F6" w:rsidRDefault="002E5BC4">
      <w:pPr>
        <w:tabs>
          <w:tab w:val="center" w:pos="1162"/>
        </w:tabs>
        <w:spacing w:after="290" w:line="257" w:lineRule="auto"/>
        <w:ind w:left="-15"/>
      </w:pPr>
      <w:r>
        <w:rPr>
          <w:rFonts w:ascii="Cambria" w:eastAsia="Cambria" w:hAnsi="Cambria" w:cs="Cambria"/>
          <w:b/>
        </w:rPr>
        <w:t>3.1.1</w:t>
      </w:r>
      <w:r>
        <w:rPr>
          <w:rFonts w:ascii="Cambria" w:eastAsia="Cambria" w:hAnsi="Cambria" w:cs="Cambria"/>
          <w:b/>
        </w:rPr>
        <w:tab/>
        <w:t>Theory</w:t>
      </w:r>
    </w:p>
    <w:p w:rsidR="00EE13F6" w:rsidRDefault="002E5BC4">
      <w:pPr>
        <w:spacing w:after="139" w:line="257" w:lineRule="auto"/>
        <w:ind w:left="-5" w:right="361" w:hanging="10"/>
      </w:pPr>
      <w:r>
        <w:rPr>
          <w:rFonts w:ascii="Cambria" w:eastAsia="Cambria" w:hAnsi="Cambria" w:cs="Cambria"/>
          <w:b/>
        </w:rPr>
        <w:t>Merton Model Assumptions</w:t>
      </w:r>
    </w:p>
    <w:p w:rsidR="00EE13F6" w:rsidRDefault="002E5BC4" w:rsidP="002E5BC4">
      <w:pPr>
        <w:numPr>
          <w:ilvl w:val="0"/>
          <w:numId w:val="32"/>
        </w:numPr>
        <w:spacing w:after="181" w:line="264" w:lineRule="auto"/>
        <w:ind w:right="468" w:hanging="267"/>
        <w:jc w:val="both"/>
      </w:pPr>
      <w:r>
        <w:rPr>
          <w:rFonts w:ascii="Cambria" w:eastAsia="Cambria" w:hAnsi="Cambria" w:cs="Cambria"/>
        </w:rPr>
        <w:t>The firm’s asset value follows a geometric brownian motion process with drift.</w:t>
      </w:r>
    </w:p>
    <w:p w:rsidR="00EE13F6" w:rsidRDefault="002E5BC4">
      <w:pPr>
        <w:spacing w:after="213" w:line="221" w:lineRule="auto"/>
        <w:ind w:left="-15" w:right="3170"/>
      </w:pPr>
      <w:r>
        <w:rPr>
          <w:rFonts w:ascii="Cambria" w:eastAsia="Cambria" w:hAnsi="Cambria" w:cs="Cambria"/>
          <w:i/>
        </w:rPr>
        <w:t>dA</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µA</w:t>
      </w:r>
      <w:r>
        <w:rPr>
          <w:rFonts w:ascii="Cambria" w:eastAsia="Cambria" w:hAnsi="Cambria" w:cs="Cambria"/>
          <w:i/>
          <w:vertAlign w:val="subscript"/>
        </w:rPr>
        <w:t>t</w:t>
      </w:r>
      <w:r>
        <w:rPr>
          <w:rFonts w:ascii="Cambria" w:eastAsia="Cambria" w:hAnsi="Cambria" w:cs="Cambria"/>
          <w:i/>
        </w:rPr>
        <w:t xml:space="preserve">dt </w:t>
      </w:r>
      <w:r>
        <w:rPr>
          <w:rFonts w:ascii="Cambria" w:eastAsia="Cambria" w:hAnsi="Cambria" w:cs="Cambria"/>
        </w:rPr>
        <w:t xml:space="preserve">+ </w:t>
      </w:r>
      <w:r>
        <w:rPr>
          <w:rFonts w:ascii="Cambria" w:eastAsia="Cambria" w:hAnsi="Cambria" w:cs="Cambria"/>
          <w:i/>
        </w:rPr>
        <w:t>σA</w:t>
      </w:r>
      <w:r>
        <w:rPr>
          <w:rFonts w:ascii="Cambria" w:eastAsia="Cambria" w:hAnsi="Cambria" w:cs="Cambria"/>
          <w:i/>
          <w:vertAlign w:val="subscript"/>
        </w:rPr>
        <w:t>t</w:t>
      </w:r>
      <w:r>
        <w:rPr>
          <w:rFonts w:ascii="Cambria" w:eastAsia="Cambria" w:hAnsi="Cambria" w:cs="Cambria"/>
          <w:i/>
        </w:rPr>
        <w:t>dW</w:t>
      </w:r>
      <w:r>
        <w:rPr>
          <w:rFonts w:ascii="Cambria" w:eastAsia="Cambria" w:hAnsi="Cambria" w:cs="Cambria"/>
          <w:i/>
          <w:vertAlign w:val="subscript"/>
        </w:rPr>
        <w:t xml:space="preserve">t </w:t>
      </w:r>
      <w:r>
        <w:rPr>
          <w:rFonts w:ascii="Cambria" w:eastAsia="Cambria" w:hAnsi="Cambria" w:cs="Cambria"/>
          <w:i/>
        </w:rPr>
        <w:t>A</w:t>
      </w:r>
      <w:r>
        <w:rPr>
          <w:rFonts w:ascii="Cambria" w:eastAsia="Cambria" w:hAnsi="Cambria" w:cs="Cambria"/>
          <w:vertAlign w:val="subscript"/>
        </w:rPr>
        <w:t xml:space="preserve">0 </w:t>
      </w:r>
      <w:r>
        <w:rPr>
          <w:rFonts w:ascii="Cambria" w:eastAsia="Cambria" w:hAnsi="Cambria" w:cs="Cambria"/>
          <w:i/>
        </w:rPr>
        <w:t xml:space="preserve">&gt; </w:t>
      </w:r>
      <w:r>
        <w:rPr>
          <w:rFonts w:ascii="Cambria" w:eastAsia="Cambria" w:hAnsi="Cambria" w:cs="Cambria"/>
        </w:rPr>
        <w:t>0</w:t>
      </w:r>
    </w:p>
    <w:p w:rsidR="00EE13F6" w:rsidRDefault="002E5BC4">
      <w:pPr>
        <w:spacing w:after="130" w:line="264" w:lineRule="auto"/>
        <w:ind w:left="-5" w:right="468" w:hanging="10"/>
        <w:jc w:val="both"/>
      </w:pPr>
      <w:r>
        <w:rPr>
          <w:rFonts w:ascii="Cambria" w:eastAsia="Cambria" w:hAnsi="Cambria" w:cs="Cambria"/>
        </w:rPr>
        <w:t xml:space="preserve">where </w:t>
      </w:r>
      <w:r>
        <w:rPr>
          <w:rFonts w:ascii="Cambria" w:eastAsia="Cambria" w:hAnsi="Cambria" w:cs="Cambria"/>
          <w:i/>
        </w:rPr>
        <w:t xml:space="preserve">µ </w:t>
      </w:r>
      <w:r>
        <w:rPr>
          <w:rFonts w:ascii="Cambria" w:eastAsia="Cambria" w:hAnsi="Cambria" w:cs="Cambria"/>
        </w:rPr>
        <w:t xml:space="preserve">is the mean return of the assets and </w:t>
      </w:r>
      <w:r>
        <w:rPr>
          <w:rFonts w:ascii="Cambria" w:eastAsia="Cambria" w:hAnsi="Cambria" w:cs="Cambria"/>
          <w:i/>
        </w:rPr>
        <w:t xml:space="preserve">σ </w:t>
      </w:r>
      <w:r>
        <w:rPr>
          <w:rFonts w:ascii="Cambria" w:eastAsia="Cambria" w:hAnsi="Cambria" w:cs="Cambria"/>
        </w:rPr>
        <w:t>is the asset volatility.</w:t>
      </w:r>
    </w:p>
    <w:p w:rsidR="00EE13F6" w:rsidRDefault="002E5BC4" w:rsidP="002E5BC4">
      <w:pPr>
        <w:numPr>
          <w:ilvl w:val="0"/>
          <w:numId w:val="32"/>
        </w:numPr>
        <w:spacing w:after="130" w:line="264" w:lineRule="auto"/>
        <w:ind w:right="468" w:hanging="267"/>
        <w:jc w:val="both"/>
      </w:pPr>
      <w:r>
        <w:rPr>
          <w:rFonts w:ascii="Cambria" w:eastAsia="Cambria" w:hAnsi="Cambria" w:cs="Cambria"/>
        </w:rPr>
        <w:t>We assume there is no bankruptcy charges. We introduce a modification on the original work ofMerton by supposing the existence of friction costs such as tra</w:t>
      </w:r>
      <w:r>
        <w:rPr>
          <w:rFonts w:ascii="Cambria" w:eastAsia="Cambria" w:hAnsi="Cambria" w:cs="Cambria"/>
        </w:rPr>
        <w:t xml:space="preserve">nsaction costs and the introduction of the FTT. According to chapter I, this can be taken into account by considering a modified volatility </w:t>
      </w:r>
      <w:r>
        <w:rPr>
          <w:rFonts w:ascii="Cambria" w:eastAsia="Cambria" w:hAnsi="Cambria" w:cs="Cambria"/>
          <w:i/>
        </w:rPr>
        <w:t>σ</w:t>
      </w:r>
      <w:r>
        <w:rPr>
          <w:rFonts w:ascii="Cambria" w:eastAsia="Cambria" w:hAnsi="Cambria" w:cs="Cambria"/>
          <w:i/>
          <w:vertAlign w:val="subscript"/>
        </w:rPr>
        <w:t>a</w:t>
      </w:r>
      <w:r>
        <w:rPr>
          <w:rFonts w:ascii="Cambria" w:eastAsia="Cambria" w:hAnsi="Cambria" w:cs="Cambria"/>
        </w:rPr>
        <w:t>, computed for instance by applying Boyle and Vorst formula, in the case we consider a constant volatility or by M</w:t>
      </w:r>
      <w:r>
        <w:rPr>
          <w:rFonts w:ascii="Cambria" w:eastAsia="Cambria" w:hAnsi="Cambria" w:cs="Cambria"/>
        </w:rPr>
        <w:t>onte-Carlo simulation, as described in chapter I.</w:t>
      </w:r>
    </w:p>
    <w:p w:rsidR="00EE13F6" w:rsidRDefault="002E5BC4" w:rsidP="002E5BC4">
      <w:pPr>
        <w:numPr>
          <w:ilvl w:val="0"/>
          <w:numId w:val="32"/>
        </w:numPr>
        <w:spacing w:after="130" w:line="264" w:lineRule="auto"/>
        <w:ind w:right="468" w:hanging="267"/>
        <w:jc w:val="both"/>
      </w:pPr>
      <w:r>
        <w:rPr>
          <w:rFonts w:ascii="Cambria" w:eastAsia="Cambria" w:hAnsi="Cambria" w:cs="Cambria"/>
        </w:rPr>
        <w:t>Corporate firms whose shares are listed on main stock exchanges usually issue bonds with fixedmaturity or shares in order to raise capital from the market. We consider the debt consist of a representative z</w:t>
      </w:r>
      <w:r>
        <w:rPr>
          <w:rFonts w:ascii="Cambria" w:eastAsia="Cambria" w:hAnsi="Cambria" w:cs="Cambria"/>
        </w:rPr>
        <w:t xml:space="preserve">ero coupon bond with a face value </w:t>
      </w:r>
      <w:r>
        <w:rPr>
          <w:rFonts w:ascii="Cambria" w:eastAsia="Cambria" w:hAnsi="Cambria" w:cs="Cambria"/>
          <w:i/>
        </w:rPr>
        <w:t xml:space="preserve">D </w:t>
      </w:r>
      <w:r>
        <w:rPr>
          <w:rFonts w:ascii="Cambria" w:eastAsia="Cambria" w:hAnsi="Cambria" w:cs="Cambria"/>
        </w:rPr>
        <w:t xml:space="preserve">and maturity </w:t>
      </w:r>
      <w:r>
        <w:rPr>
          <w:rFonts w:ascii="Cambria" w:eastAsia="Cambria" w:hAnsi="Cambria" w:cs="Cambria"/>
          <w:i/>
        </w:rPr>
        <w:t>T</w:t>
      </w:r>
      <w:r>
        <w:rPr>
          <w:rFonts w:ascii="Cambria" w:eastAsia="Cambria" w:hAnsi="Cambria" w:cs="Cambria"/>
        </w:rPr>
        <w:t xml:space="preserve">. At bond maturity, if </w:t>
      </w:r>
      <w:r>
        <w:rPr>
          <w:rFonts w:ascii="Cambria" w:eastAsia="Cambria" w:hAnsi="Cambria" w:cs="Cambria"/>
          <w:i/>
        </w:rPr>
        <w:t>A</w:t>
      </w:r>
      <w:r>
        <w:rPr>
          <w:rFonts w:ascii="Cambria" w:eastAsia="Cambria" w:hAnsi="Cambria" w:cs="Cambria"/>
          <w:i/>
          <w:vertAlign w:val="subscript"/>
        </w:rPr>
        <w:t xml:space="preserve">T </w:t>
      </w:r>
      <w:r>
        <w:rPr>
          <w:rFonts w:ascii="Cambria" w:eastAsia="Cambria" w:hAnsi="Cambria" w:cs="Cambria"/>
          <w:i/>
        </w:rPr>
        <w:t xml:space="preserve">&gt; D </w:t>
      </w:r>
      <w:r>
        <w:rPr>
          <w:rFonts w:ascii="Cambria" w:eastAsia="Cambria" w:hAnsi="Cambria" w:cs="Cambria"/>
        </w:rPr>
        <w:t xml:space="preserve">then the debt is repaid using the assets, otherwise in case </w:t>
      </w:r>
      <w:r>
        <w:rPr>
          <w:rFonts w:ascii="Cambria" w:eastAsia="Cambria" w:hAnsi="Cambria" w:cs="Cambria"/>
          <w:i/>
        </w:rPr>
        <w:t>A</w:t>
      </w:r>
      <w:r>
        <w:rPr>
          <w:rFonts w:ascii="Cambria" w:eastAsia="Cambria" w:hAnsi="Cambria" w:cs="Cambria"/>
          <w:i/>
          <w:vertAlign w:val="subscript"/>
        </w:rPr>
        <w:t xml:space="preserve">T </w:t>
      </w:r>
      <w:r>
        <w:rPr>
          <w:rFonts w:ascii="Cambria" w:eastAsia="Cambria" w:hAnsi="Cambria" w:cs="Cambria"/>
          <w:i/>
        </w:rPr>
        <w:t xml:space="preserve">&lt; D </w:t>
      </w:r>
      <w:r>
        <w:rPr>
          <w:rFonts w:ascii="Cambria" w:eastAsia="Cambria" w:hAnsi="Cambria" w:cs="Cambria"/>
        </w:rPr>
        <w:t>bond holders exercise a debt covenant allowing them the right to liquidate the firm.</w:t>
      </w:r>
    </w:p>
    <w:p w:rsidR="00EE13F6" w:rsidRDefault="002E5BC4">
      <w:pPr>
        <w:spacing w:after="130" w:line="264" w:lineRule="auto"/>
        <w:ind w:left="-5" w:right="468" w:hanging="10"/>
        <w:jc w:val="both"/>
      </w:pPr>
      <w:r>
        <w:rPr>
          <w:rFonts w:ascii="Cambria" w:eastAsia="Cambria" w:hAnsi="Cambria" w:cs="Cambria"/>
        </w:rPr>
        <w:t>In this case of a bankru</w:t>
      </w:r>
      <w:r>
        <w:rPr>
          <w:rFonts w:ascii="Cambria" w:eastAsia="Cambria" w:hAnsi="Cambria" w:cs="Cambria"/>
        </w:rPr>
        <w:t>ptcy, shareholders, can ”walk away” from their debt by abandoning the assets to the bond holders (creditors).</w:t>
      </w:r>
    </w:p>
    <w:p w:rsidR="00EE13F6" w:rsidRDefault="002E5BC4">
      <w:pPr>
        <w:spacing w:after="165" w:line="257" w:lineRule="auto"/>
        <w:ind w:left="-5" w:right="361" w:hanging="10"/>
      </w:pPr>
      <w:r>
        <w:rPr>
          <w:rFonts w:ascii="Cambria" w:eastAsia="Cambria" w:hAnsi="Cambria" w:cs="Cambria"/>
          <w:b/>
        </w:rPr>
        <w:t>Merton Model Results</w:t>
      </w:r>
    </w:p>
    <w:p w:rsidR="00EE13F6" w:rsidRDefault="002E5BC4" w:rsidP="002E5BC4">
      <w:pPr>
        <w:numPr>
          <w:ilvl w:val="0"/>
          <w:numId w:val="33"/>
        </w:numPr>
        <w:spacing w:after="130" w:line="264" w:lineRule="auto"/>
        <w:ind w:right="468" w:hanging="321"/>
      </w:pPr>
      <w:r>
        <w:rPr>
          <w:rFonts w:ascii="Cambria" w:eastAsia="Cambria" w:hAnsi="Cambria" w:cs="Cambria"/>
          <w:b/>
        </w:rPr>
        <w:t xml:space="preserve">Shareholders </w:t>
      </w:r>
      <w:r>
        <w:rPr>
          <w:rFonts w:ascii="Cambria" w:eastAsia="Cambria" w:hAnsi="Cambria" w:cs="Cambria"/>
        </w:rPr>
        <w:t>They are detaining in fact a call option on the assets whose strike price is exactly the facial amount of the De</w:t>
      </w:r>
      <w:r>
        <w:rPr>
          <w:rFonts w:ascii="Cambria" w:eastAsia="Cambria" w:hAnsi="Cambria" w:cs="Cambria"/>
        </w:rPr>
        <w:t xml:space="preserve">bt </w:t>
      </w:r>
      <w:r>
        <w:rPr>
          <w:rFonts w:ascii="Cambria" w:eastAsia="Cambria" w:hAnsi="Cambria" w:cs="Cambria"/>
          <w:i/>
        </w:rPr>
        <w:t>D</w:t>
      </w:r>
    </w:p>
    <w:p w:rsidR="00EE13F6" w:rsidRDefault="002E5BC4">
      <w:pPr>
        <w:spacing w:after="130" w:line="264" w:lineRule="auto"/>
        <w:ind w:left="-5" w:right="468" w:hanging="10"/>
        <w:jc w:val="both"/>
      </w:pPr>
      <w:r>
        <w:rPr>
          <w:rFonts w:ascii="Cambria" w:eastAsia="Cambria" w:hAnsi="Cambria" w:cs="Cambria"/>
        </w:rPr>
        <w:t>This is explained, because of the debt covenant agreed upon at the time when the debt is issued. According to this covenant, in case of a bankruptcy, shareholders, can ”walk away” from their debt by abandoning the assets to the creditors. This possibi</w:t>
      </w:r>
      <w:r>
        <w:rPr>
          <w:rFonts w:ascii="Cambria" w:eastAsia="Cambria" w:hAnsi="Cambria" w:cs="Cambria"/>
        </w:rPr>
        <w:t>lity is equivalent in fact to being long of a put option on the corporate assets whose strike price is the facial debt value. Shareholders are then long of a put option written on the corporate firm assets and are owning the assets. According to the call-p</w:t>
      </w:r>
      <w:r>
        <w:rPr>
          <w:rFonts w:ascii="Cambria" w:eastAsia="Cambria" w:hAnsi="Cambria" w:cs="Cambria"/>
        </w:rPr>
        <w:t>ut parity relationship, this is equivalent to be long of a call on the assets whose strike price is the face value of the corporate debt.</w:t>
      </w:r>
    </w:p>
    <w:p w:rsidR="00EE13F6" w:rsidRDefault="002E5BC4" w:rsidP="002E5BC4">
      <w:pPr>
        <w:numPr>
          <w:ilvl w:val="0"/>
          <w:numId w:val="33"/>
        </w:numPr>
        <w:spacing w:after="139" w:line="257" w:lineRule="auto"/>
        <w:ind w:right="468" w:hanging="321"/>
      </w:pPr>
      <w:r>
        <w:rPr>
          <w:rFonts w:ascii="Cambria" w:eastAsia="Cambria" w:hAnsi="Cambria" w:cs="Cambria"/>
          <w:b/>
        </w:rPr>
        <w:t>Bond holders</w:t>
      </w:r>
    </w:p>
    <w:p w:rsidR="00EE13F6" w:rsidRDefault="002E5BC4">
      <w:pPr>
        <w:spacing w:after="419" w:line="264" w:lineRule="auto"/>
        <w:ind w:left="-5" w:right="468" w:hanging="10"/>
        <w:jc w:val="both"/>
      </w:pPr>
      <w:r>
        <w:rPr>
          <w:rFonts w:ascii="Cambria" w:eastAsia="Cambria" w:hAnsi="Cambria" w:cs="Cambria"/>
        </w:rPr>
        <w:t>Conversely, corporate creditors are short of the put option on the assets described above, and are detain</w:t>
      </w:r>
      <w:r>
        <w:rPr>
          <w:rFonts w:ascii="Cambria" w:eastAsia="Cambria" w:hAnsi="Cambria" w:cs="Cambria"/>
        </w:rPr>
        <w:t xml:space="preserve">ing a zero coupon bond. Consequently, for an amount of 1 dollar notional debt, the value of the debt </w:t>
      </w:r>
      <w:r>
        <w:rPr>
          <w:rFonts w:ascii="Cambria" w:eastAsia="Cambria" w:hAnsi="Cambria" w:cs="Cambria"/>
          <w:i/>
        </w:rPr>
        <w:t>D</w:t>
      </w:r>
      <w:r>
        <w:rPr>
          <w:rFonts w:ascii="Cambria" w:eastAsia="Cambria" w:hAnsi="Cambria" w:cs="Cambria"/>
        </w:rPr>
        <w:t>(</w:t>
      </w:r>
      <w:r>
        <w:rPr>
          <w:rFonts w:ascii="Cambria" w:eastAsia="Cambria" w:hAnsi="Cambria" w:cs="Cambria"/>
          <w:i/>
        </w:rPr>
        <w:t>t,T</w:t>
      </w:r>
      <w:r>
        <w:rPr>
          <w:rFonts w:ascii="Cambria" w:eastAsia="Cambria" w:hAnsi="Cambria" w:cs="Cambria"/>
        </w:rPr>
        <w:t xml:space="preserve">) at time </w:t>
      </w:r>
      <w:r>
        <w:rPr>
          <w:rFonts w:ascii="Cambria" w:eastAsia="Cambria" w:hAnsi="Cambria" w:cs="Cambria"/>
          <w:i/>
        </w:rPr>
        <w:t>t</w:t>
      </w:r>
      <w:r>
        <w:rPr>
          <w:rFonts w:ascii="Cambria" w:eastAsia="Cambria" w:hAnsi="Cambria" w:cs="Cambria"/>
        </w:rPr>
        <w:t>, writes:</w:t>
      </w:r>
    </w:p>
    <w:p w:rsidR="00EE13F6" w:rsidRDefault="002E5BC4">
      <w:pPr>
        <w:tabs>
          <w:tab w:val="center" w:pos="4680"/>
          <w:tab w:val="center" w:pos="9221"/>
        </w:tabs>
        <w:spacing w:after="223" w:line="265" w:lineRule="auto"/>
      </w:pPr>
      <w:r>
        <w:tab/>
      </w:r>
      <w:r>
        <w:rPr>
          <w:rFonts w:ascii="Cambria" w:eastAsia="Cambria" w:hAnsi="Cambria" w:cs="Cambria"/>
          <w:i/>
        </w:rPr>
        <w:t>D</w:t>
      </w:r>
      <w:r>
        <w:rPr>
          <w:rFonts w:ascii="Cambria" w:eastAsia="Cambria" w:hAnsi="Cambria" w:cs="Cambria"/>
        </w:rPr>
        <w:t>(</w:t>
      </w:r>
      <w:r>
        <w:rPr>
          <w:rFonts w:ascii="Cambria" w:eastAsia="Cambria" w:hAnsi="Cambria" w:cs="Cambria"/>
          <w:i/>
        </w:rPr>
        <w:t>t</w:t>
      </w:r>
      <w:r>
        <w:rPr>
          <w:rFonts w:ascii="Cambria" w:eastAsia="Cambria" w:hAnsi="Cambria" w:cs="Cambria"/>
        </w:rPr>
        <w:t xml:space="preserve">) = </w:t>
      </w:r>
      <w:r>
        <w:rPr>
          <w:rFonts w:ascii="Cambria" w:eastAsia="Cambria" w:hAnsi="Cambria" w:cs="Cambria"/>
          <w:i/>
        </w:rPr>
        <w:t>A</w:t>
      </w:r>
      <w:r>
        <w:rPr>
          <w:rFonts w:ascii="Cambria" w:eastAsia="Cambria" w:hAnsi="Cambria" w:cs="Cambria"/>
          <w:i/>
          <w:sz w:val="16"/>
        </w:rPr>
        <w:t>t</w:t>
      </w:r>
      <w:r>
        <w:rPr>
          <w:rFonts w:ascii="Cambria" w:eastAsia="Cambria" w:hAnsi="Cambria" w:cs="Cambria"/>
          <w:i/>
        </w:rPr>
        <w:t>e</w:t>
      </w:r>
      <w:r>
        <w:rPr>
          <w:rFonts w:ascii="Cambria" w:eastAsia="Cambria" w:hAnsi="Cambria" w:cs="Cambria"/>
          <w:sz w:val="16"/>
        </w:rPr>
        <w:t>−</w:t>
      </w:r>
      <w:r>
        <w:rPr>
          <w:rFonts w:ascii="Cambria" w:eastAsia="Cambria" w:hAnsi="Cambria" w:cs="Cambria"/>
          <w:i/>
          <w:sz w:val="16"/>
        </w:rPr>
        <w:t>d</w:t>
      </w:r>
      <w:r>
        <w:rPr>
          <w:rFonts w:ascii="Cambria" w:eastAsia="Cambria" w:hAnsi="Cambria" w:cs="Cambria"/>
          <w:sz w:val="16"/>
        </w:rPr>
        <w:t>(</w:t>
      </w:r>
      <w:r>
        <w:rPr>
          <w:rFonts w:ascii="Cambria" w:eastAsia="Cambria" w:hAnsi="Cambria" w:cs="Cambria"/>
          <w:i/>
          <w:sz w:val="16"/>
        </w:rPr>
        <w:t>T</w:t>
      </w:r>
      <w:r>
        <w:rPr>
          <w:rFonts w:ascii="Cambria" w:eastAsia="Cambria" w:hAnsi="Cambria" w:cs="Cambria"/>
          <w:sz w:val="16"/>
        </w:rPr>
        <w:t>−</w:t>
      </w:r>
      <w:r>
        <w:rPr>
          <w:rFonts w:ascii="Cambria" w:eastAsia="Cambria" w:hAnsi="Cambria" w:cs="Cambria"/>
          <w:i/>
          <w:sz w:val="16"/>
        </w:rPr>
        <w:t>t</w:t>
      </w:r>
      <w:r>
        <w:rPr>
          <w:rFonts w:ascii="Cambria" w:eastAsia="Cambria" w:hAnsi="Cambria" w:cs="Cambria"/>
          <w:sz w:val="16"/>
        </w:rPr>
        <w:t>)</w:t>
      </w:r>
      <w:r>
        <w:rPr>
          <w:rFonts w:ascii="Cambria" w:eastAsia="Cambria" w:hAnsi="Cambria" w:cs="Cambria"/>
          <w:i/>
        </w:rPr>
        <w:t>N</w:t>
      </w:r>
      <w:r>
        <w:rPr>
          <w:rFonts w:ascii="Cambria" w:eastAsia="Cambria" w:hAnsi="Cambria" w:cs="Cambria"/>
        </w:rPr>
        <w:t>(−</w:t>
      </w:r>
      <w:r>
        <w:rPr>
          <w:rFonts w:ascii="Cambria" w:eastAsia="Cambria" w:hAnsi="Cambria" w:cs="Cambria"/>
          <w:i/>
        </w:rPr>
        <w:t>d</w:t>
      </w:r>
      <w:r>
        <w:rPr>
          <w:rFonts w:ascii="Cambria" w:eastAsia="Cambria" w:hAnsi="Cambria" w:cs="Cambria"/>
        </w:rPr>
        <w:t>1</w:t>
      </w:r>
      <w:r>
        <w:rPr>
          <w:rFonts w:ascii="Cambria" w:eastAsia="Cambria" w:hAnsi="Cambria" w:cs="Cambria"/>
          <w:sz w:val="16"/>
        </w:rPr>
        <w:t>∗</w:t>
      </w:r>
      <w:r>
        <w:rPr>
          <w:rFonts w:ascii="Cambria" w:eastAsia="Cambria" w:hAnsi="Cambria" w:cs="Cambria"/>
        </w:rPr>
        <w:t xml:space="preserve">) + </w:t>
      </w:r>
      <w:r>
        <w:rPr>
          <w:rFonts w:ascii="Cambria" w:eastAsia="Cambria" w:hAnsi="Cambria" w:cs="Cambria"/>
          <w:i/>
        </w:rPr>
        <w:t>De</w:t>
      </w:r>
      <w:r>
        <w:rPr>
          <w:rFonts w:ascii="Cambria" w:eastAsia="Cambria" w:hAnsi="Cambria" w:cs="Cambria"/>
          <w:sz w:val="16"/>
        </w:rPr>
        <w:t>−</w:t>
      </w:r>
      <w:r>
        <w:rPr>
          <w:rFonts w:ascii="Cambria" w:eastAsia="Cambria" w:hAnsi="Cambria" w:cs="Cambria"/>
          <w:i/>
          <w:sz w:val="16"/>
        </w:rPr>
        <w:t>r</w:t>
      </w:r>
      <w:r>
        <w:rPr>
          <w:rFonts w:ascii="Cambria" w:eastAsia="Cambria" w:hAnsi="Cambria" w:cs="Cambria"/>
          <w:sz w:val="16"/>
        </w:rPr>
        <w:t>(</w:t>
      </w:r>
      <w:r>
        <w:rPr>
          <w:rFonts w:ascii="Cambria" w:eastAsia="Cambria" w:hAnsi="Cambria" w:cs="Cambria"/>
          <w:i/>
          <w:sz w:val="16"/>
        </w:rPr>
        <w:t>T</w:t>
      </w:r>
      <w:r>
        <w:rPr>
          <w:rFonts w:ascii="Cambria" w:eastAsia="Cambria" w:hAnsi="Cambria" w:cs="Cambria"/>
          <w:sz w:val="16"/>
        </w:rPr>
        <w:t>−</w:t>
      </w:r>
      <w:r>
        <w:rPr>
          <w:rFonts w:ascii="Cambria" w:eastAsia="Cambria" w:hAnsi="Cambria" w:cs="Cambria"/>
          <w:i/>
          <w:sz w:val="16"/>
        </w:rPr>
        <w:t>t</w:t>
      </w:r>
      <w:r>
        <w:rPr>
          <w:rFonts w:ascii="Cambria" w:eastAsia="Cambria" w:hAnsi="Cambria" w:cs="Cambria"/>
          <w:sz w:val="16"/>
        </w:rPr>
        <w:t>)</w:t>
      </w:r>
      <w:r>
        <w:rPr>
          <w:rFonts w:ascii="Cambria" w:eastAsia="Cambria" w:hAnsi="Cambria" w:cs="Cambria"/>
          <w:i/>
        </w:rPr>
        <w:t>N</w:t>
      </w:r>
      <w:r>
        <w:rPr>
          <w:rFonts w:ascii="Cambria" w:eastAsia="Cambria" w:hAnsi="Cambria" w:cs="Cambria"/>
        </w:rPr>
        <w:t>(</w:t>
      </w:r>
      <w:r>
        <w:rPr>
          <w:rFonts w:ascii="Cambria" w:eastAsia="Cambria" w:hAnsi="Cambria" w:cs="Cambria"/>
          <w:i/>
        </w:rPr>
        <w:t>d</w:t>
      </w:r>
      <w:r>
        <w:rPr>
          <w:rFonts w:ascii="Cambria" w:eastAsia="Cambria" w:hAnsi="Cambria" w:cs="Cambria"/>
        </w:rPr>
        <w:t>2</w:t>
      </w:r>
      <w:r>
        <w:rPr>
          <w:rFonts w:ascii="Cambria" w:eastAsia="Cambria" w:hAnsi="Cambria" w:cs="Cambria"/>
          <w:sz w:val="16"/>
        </w:rPr>
        <w:t>∗</w:t>
      </w:r>
      <w:r>
        <w:rPr>
          <w:rFonts w:ascii="Cambria" w:eastAsia="Cambria" w:hAnsi="Cambria" w:cs="Cambria"/>
        </w:rPr>
        <w:t>)</w:t>
      </w:r>
      <w:r>
        <w:rPr>
          <w:rFonts w:ascii="Cambria" w:eastAsia="Cambria" w:hAnsi="Cambria" w:cs="Cambria"/>
        </w:rPr>
        <w:tab/>
        <w:t>(9)</w:t>
      </w:r>
    </w:p>
    <w:p w:rsidR="00EE13F6" w:rsidRDefault="002E5BC4">
      <w:pPr>
        <w:spacing w:after="0" w:line="264" w:lineRule="auto"/>
        <w:ind w:left="-5" w:right="3379" w:hanging="10"/>
        <w:jc w:val="both"/>
      </w:pPr>
      <w:r>
        <w:rPr>
          <w:rFonts w:ascii="Cambria" w:eastAsia="Cambria" w:hAnsi="Cambria" w:cs="Cambria"/>
        </w:rPr>
        <w:t>with</w:t>
      </w:r>
    </w:p>
    <w:p w:rsidR="00EE13F6" w:rsidRDefault="002E5BC4">
      <w:pPr>
        <w:spacing w:after="207"/>
        <w:ind w:left="2840"/>
      </w:pPr>
      <w:r>
        <w:rPr>
          <w:noProof/>
        </w:rPr>
        <w:lastRenderedPageBreak/>
        <w:drawing>
          <wp:inline distT="0" distB="0" distL="0" distR="0">
            <wp:extent cx="2279904" cy="600456"/>
            <wp:effectExtent l="0" t="0" r="0" b="0"/>
            <wp:docPr id="221925" name="Picture 221925"/>
            <wp:cNvGraphicFramePr/>
            <a:graphic xmlns:a="http://schemas.openxmlformats.org/drawingml/2006/main">
              <a:graphicData uri="http://schemas.openxmlformats.org/drawingml/2006/picture">
                <pic:pic xmlns:pic="http://schemas.openxmlformats.org/drawingml/2006/picture">
                  <pic:nvPicPr>
                    <pic:cNvPr id="221925" name="Picture 221925"/>
                    <pic:cNvPicPr/>
                  </pic:nvPicPr>
                  <pic:blipFill>
                    <a:blip r:embed="rId142"/>
                    <a:stretch>
                      <a:fillRect/>
                    </a:stretch>
                  </pic:blipFill>
                  <pic:spPr>
                    <a:xfrm>
                      <a:off x="0" y="0"/>
                      <a:ext cx="2279904" cy="600456"/>
                    </a:xfrm>
                    <a:prstGeom prst="rect">
                      <a:avLst/>
                    </a:prstGeom>
                  </pic:spPr>
                </pic:pic>
              </a:graphicData>
            </a:graphic>
          </wp:inline>
        </w:drawing>
      </w:r>
    </w:p>
    <w:p w:rsidR="00EE13F6" w:rsidRDefault="002E5BC4">
      <w:pPr>
        <w:spacing w:after="130" w:line="264" w:lineRule="auto"/>
        <w:ind w:left="-5" w:right="468" w:hanging="10"/>
        <w:jc w:val="both"/>
      </w:pPr>
      <w:r>
        <w:rPr>
          <w:rFonts w:ascii="Cambria" w:eastAsia="Cambria" w:hAnsi="Cambria" w:cs="Cambria"/>
        </w:rPr>
        <w:t>Merton considers that the spread of the corporate bond is such that it will pay for the premium of the put option sold to the shareholder. However, such interpretation considers only the amount of debt which is recoverable on the assets and not the unrecov</w:t>
      </w:r>
      <w:r>
        <w:rPr>
          <w:rFonts w:ascii="Cambria" w:eastAsia="Cambria" w:hAnsi="Cambria" w:cs="Cambria"/>
        </w:rPr>
        <w:t>erable amount of debt in excess of the assets at bankruptcy. For this reason, the credit spread computed using Merton’s framework, is not directly comparable to the spread of a CDS. This later one, considers in fact the amount of debt in excess of the asse</w:t>
      </w:r>
      <w:r>
        <w:rPr>
          <w:rFonts w:ascii="Cambria" w:eastAsia="Cambria" w:hAnsi="Cambria" w:cs="Cambria"/>
        </w:rPr>
        <w:t xml:space="preserve">ts (i.e in that case, (1 − </w:t>
      </w:r>
      <w:r>
        <w:rPr>
          <w:rFonts w:ascii="Cambria" w:eastAsia="Cambria" w:hAnsi="Cambria" w:cs="Cambria"/>
          <w:i/>
        </w:rPr>
        <w:t>R</w:t>
      </w:r>
      <w:r>
        <w:rPr>
          <w:rFonts w:ascii="Cambria" w:eastAsia="Cambria" w:hAnsi="Cambria" w:cs="Cambria"/>
        </w:rPr>
        <w:t>)</w:t>
      </w:r>
      <w:r>
        <w:rPr>
          <w:rFonts w:ascii="Cambria" w:eastAsia="Cambria" w:hAnsi="Cambria" w:cs="Cambria"/>
          <w:i/>
        </w:rPr>
        <w:t>D</w:t>
      </w:r>
      <w:r>
        <w:rPr>
          <w:rFonts w:ascii="Cambria" w:eastAsia="Cambria" w:hAnsi="Cambria" w:cs="Cambria"/>
        </w:rPr>
        <w:t xml:space="preserve">), in such a way that a bond holder buying protection will be made whole in case of bankruptcy by redeeming the bond to the agent selling credit protection. In usual cases where </w:t>
      </w:r>
      <w:r>
        <w:rPr>
          <w:rFonts w:ascii="Cambria" w:eastAsia="Cambria" w:hAnsi="Cambria" w:cs="Cambria"/>
          <w:i/>
        </w:rPr>
        <w:t xml:space="preserve">R </w:t>
      </w:r>
      <w:r>
        <w:rPr>
          <w:rFonts w:ascii="Cambria" w:eastAsia="Cambria" w:hAnsi="Cambria" w:cs="Cambria"/>
        </w:rPr>
        <w:t>is generally comprised between 0</w:t>
      </w:r>
      <w:r>
        <w:rPr>
          <w:rFonts w:ascii="Cambria" w:eastAsia="Cambria" w:hAnsi="Cambria" w:cs="Cambria"/>
          <w:i/>
        </w:rPr>
        <w:t>.</w:t>
      </w:r>
      <w:r>
        <w:rPr>
          <w:rFonts w:ascii="Cambria" w:eastAsia="Cambria" w:hAnsi="Cambria" w:cs="Cambria"/>
        </w:rPr>
        <w:t>25 and 0</w:t>
      </w:r>
      <w:r>
        <w:rPr>
          <w:rFonts w:ascii="Cambria" w:eastAsia="Cambria" w:hAnsi="Cambria" w:cs="Cambria"/>
          <w:i/>
        </w:rPr>
        <w:t>.</w:t>
      </w:r>
      <w:r>
        <w:rPr>
          <w:rFonts w:ascii="Cambria" w:eastAsia="Cambria" w:hAnsi="Cambria" w:cs="Cambria"/>
        </w:rPr>
        <w:t>40 t</w:t>
      </w:r>
      <w:r>
        <w:rPr>
          <w:rFonts w:ascii="Cambria" w:eastAsia="Cambria" w:hAnsi="Cambria" w:cs="Cambria"/>
        </w:rPr>
        <w:t>his leads to underestimate the impact on the credit spread of an increase in the asset volatility. This difference is the reason for the abundance, in the literature, of the discussion around the ”credit spread puzzle” which designates the discrepancy betw</w:t>
      </w:r>
      <w:r>
        <w:rPr>
          <w:rFonts w:ascii="Cambria" w:eastAsia="Cambria" w:hAnsi="Cambria" w:cs="Cambria"/>
        </w:rPr>
        <w:t>een the calibrated spreads using Merton model and the CDS spreads observed in the market.</w:t>
      </w:r>
    </w:p>
    <w:p w:rsidR="00EE13F6" w:rsidRDefault="002E5BC4">
      <w:pPr>
        <w:spacing w:after="130" w:line="264" w:lineRule="auto"/>
        <w:ind w:left="-5" w:right="468" w:hanging="10"/>
        <w:jc w:val="both"/>
      </w:pPr>
      <w:r>
        <w:rPr>
          <w:rFonts w:ascii="Cambria" w:eastAsia="Cambria" w:hAnsi="Cambria" w:cs="Cambria"/>
        </w:rPr>
        <w:t xml:space="preserve">The Merton framework, considers the notion of the spread of a zero coupon bond over a risk free bond. This spread is designated as the Z-spread and is different from </w:t>
      </w:r>
      <w:r>
        <w:rPr>
          <w:rFonts w:ascii="Cambria" w:eastAsia="Cambria" w:hAnsi="Cambria" w:cs="Cambria"/>
        </w:rPr>
        <w:t>the notion of CDS spread we saw before. This Z-spread is the difference between the respective yield to maturity of the zero coupon corporate bond and the zero coupon risk free bond. According to Merton, (and with all the caveats discussed above) it is the</w:t>
      </w:r>
      <w:r>
        <w:rPr>
          <w:rFonts w:ascii="Cambria" w:eastAsia="Cambria" w:hAnsi="Cambria" w:cs="Cambria"/>
        </w:rPr>
        <w:t>n given by:</w:t>
      </w:r>
    </w:p>
    <w:p w:rsidR="00EE13F6" w:rsidRDefault="002E5BC4">
      <w:pPr>
        <w:spacing w:after="216" w:line="265" w:lineRule="auto"/>
        <w:ind w:left="10" w:right="493" w:hanging="10"/>
        <w:jc w:val="center"/>
      </w:pPr>
      <w:r>
        <w:rPr>
          <w:rFonts w:ascii="Cambria" w:eastAsia="Cambria" w:hAnsi="Cambria" w:cs="Cambria"/>
          <w:i/>
        </w:rPr>
        <w:t>D</w:t>
      </w:r>
      <w:r>
        <w:rPr>
          <w:rFonts w:ascii="Cambria" w:eastAsia="Cambria" w:hAnsi="Cambria" w:cs="Cambria"/>
        </w:rPr>
        <w:t>(</w:t>
      </w:r>
      <w:r>
        <w:rPr>
          <w:rFonts w:ascii="Cambria" w:eastAsia="Cambria" w:hAnsi="Cambria" w:cs="Cambria"/>
          <w:i/>
        </w:rPr>
        <w:t>t</w:t>
      </w:r>
      <w:r>
        <w:rPr>
          <w:rFonts w:ascii="Cambria" w:eastAsia="Cambria" w:hAnsi="Cambria" w:cs="Cambria"/>
        </w:rPr>
        <w:t xml:space="preserve">) = </w:t>
      </w:r>
      <w:r>
        <w:rPr>
          <w:rFonts w:ascii="Cambria" w:eastAsia="Cambria" w:hAnsi="Cambria" w:cs="Cambria"/>
          <w:i/>
        </w:rPr>
        <w:t>De</w:t>
      </w:r>
      <w:r>
        <w:rPr>
          <w:rFonts w:ascii="Cambria" w:eastAsia="Cambria" w:hAnsi="Cambria" w:cs="Cambria"/>
          <w:sz w:val="16"/>
        </w:rPr>
        <w:t>−</w:t>
      </w:r>
      <w:r>
        <w:rPr>
          <w:rFonts w:ascii="Cambria" w:eastAsia="Cambria" w:hAnsi="Cambria" w:cs="Cambria"/>
          <w:i/>
          <w:sz w:val="16"/>
        </w:rPr>
        <w:t>ρ</w:t>
      </w:r>
      <w:r>
        <w:rPr>
          <w:rFonts w:ascii="Cambria" w:eastAsia="Cambria" w:hAnsi="Cambria" w:cs="Cambria"/>
          <w:sz w:val="16"/>
        </w:rPr>
        <w:t>(</w:t>
      </w:r>
      <w:r>
        <w:rPr>
          <w:rFonts w:ascii="Cambria" w:eastAsia="Cambria" w:hAnsi="Cambria" w:cs="Cambria"/>
          <w:i/>
          <w:sz w:val="16"/>
        </w:rPr>
        <w:t>T</w:t>
      </w:r>
      <w:r>
        <w:rPr>
          <w:rFonts w:ascii="Cambria" w:eastAsia="Cambria" w:hAnsi="Cambria" w:cs="Cambria"/>
          <w:sz w:val="16"/>
        </w:rPr>
        <w:t>−</w:t>
      </w:r>
      <w:r>
        <w:rPr>
          <w:rFonts w:ascii="Cambria" w:eastAsia="Cambria" w:hAnsi="Cambria" w:cs="Cambria"/>
          <w:i/>
          <w:sz w:val="16"/>
        </w:rPr>
        <w:t>t</w:t>
      </w:r>
      <w:r>
        <w:rPr>
          <w:rFonts w:ascii="Cambria" w:eastAsia="Cambria" w:hAnsi="Cambria" w:cs="Cambria"/>
          <w:sz w:val="16"/>
        </w:rPr>
        <w:t>)</w:t>
      </w:r>
    </w:p>
    <w:p w:rsidR="00EE13F6" w:rsidRDefault="002E5BC4">
      <w:pPr>
        <w:spacing w:after="30" w:line="264" w:lineRule="auto"/>
        <w:ind w:left="-5" w:right="468" w:hanging="10"/>
        <w:jc w:val="both"/>
      </w:pPr>
      <w:r>
        <w:rPr>
          <w:rFonts w:ascii="Cambria" w:eastAsia="Cambria" w:hAnsi="Cambria" w:cs="Cambria"/>
        </w:rPr>
        <w:t>and</w:t>
      </w:r>
    </w:p>
    <w:p w:rsidR="00EE13F6" w:rsidRDefault="002E5BC4">
      <w:pPr>
        <w:spacing w:after="113" w:line="265" w:lineRule="auto"/>
        <w:ind w:left="10" w:right="489" w:hanging="10"/>
        <w:jc w:val="center"/>
      </w:pPr>
      <w:r>
        <w:rPr>
          <w:rFonts w:ascii="Cambria" w:eastAsia="Cambria" w:hAnsi="Cambria" w:cs="Cambria"/>
          <w:i/>
        </w:rPr>
        <w:t>s</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 xml:space="preserve">= </w:t>
      </w:r>
      <w:r>
        <w:rPr>
          <w:rFonts w:ascii="Cambria" w:eastAsia="Cambria" w:hAnsi="Cambria" w:cs="Cambria"/>
          <w:i/>
        </w:rPr>
        <w:t xml:space="preserve">ρ </w:t>
      </w:r>
      <w:r>
        <w:rPr>
          <w:rFonts w:ascii="Cambria" w:eastAsia="Cambria" w:hAnsi="Cambria" w:cs="Cambria"/>
        </w:rPr>
        <w:t>−</w:t>
      </w:r>
      <w:r>
        <w:rPr>
          <w:rFonts w:ascii="Cambria" w:eastAsia="Cambria" w:hAnsi="Cambria" w:cs="Cambria"/>
        </w:rPr>
        <w:t xml:space="preserve"> </w:t>
      </w:r>
      <w:r>
        <w:rPr>
          <w:rFonts w:ascii="Cambria" w:eastAsia="Cambria" w:hAnsi="Cambria" w:cs="Cambria"/>
          <w:i/>
        </w:rPr>
        <w:t>r</w:t>
      </w:r>
    </w:p>
    <w:p w:rsidR="00EE13F6" w:rsidRDefault="002E5BC4">
      <w:pPr>
        <w:spacing w:after="320" w:line="264" w:lineRule="auto"/>
        <w:ind w:left="-5" w:right="468" w:hanging="10"/>
        <w:jc w:val="both"/>
      </w:pPr>
      <w:r>
        <w:rPr>
          <w:rFonts w:ascii="Cambria" w:eastAsia="Cambria" w:hAnsi="Cambria" w:cs="Cambria"/>
        </w:rPr>
        <w:t>.</w:t>
      </w:r>
    </w:p>
    <w:p w:rsidR="00EE13F6" w:rsidRDefault="002E5BC4">
      <w:pPr>
        <w:tabs>
          <w:tab w:val="center" w:pos="4711"/>
          <w:tab w:val="center" w:pos="9166"/>
        </w:tabs>
        <w:spacing w:after="173" w:line="265" w:lineRule="auto"/>
      </w:pPr>
      <w:r>
        <w:tab/>
      </w:r>
      <w:r>
        <w:rPr>
          <w:noProof/>
        </w:rPr>
        <w:drawing>
          <wp:inline distT="0" distB="0" distL="0" distR="0">
            <wp:extent cx="3526536" cy="286512"/>
            <wp:effectExtent l="0" t="0" r="0" b="0"/>
            <wp:docPr id="221926" name="Picture 221926"/>
            <wp:cNvGraphicFramePr/>
            <a:graphic xmlns:a="http://schemas.openxmlformats.org/drawingml/2006/main">
              <a:graphicData uri="http://schemas.openxmlformats.org/drawingml/2006/picture">
                <pic:pic xmlns:pic="http://schemas.openxmlformats.org/drawingml/2006/picture">
                  <pic:nvPicPr>
                    <pic:cNvPr id="221926" name="Picture 221926"/>
                    <pic:cNvPicPr/>
                  </pic:nvPicPr>
                  <pic:blipFill>
                    <a:blip r:embed="rId143"/>
                    <a:stretch>
                      <a:fillRect/>
                    </a:stretch>
                  </pic:blipFill>
                  <pic:spPr>
                    <a:xfrm>
                      <a:off x="0" y="0"/>
                      <a:ext cx="3526536" cy="286512"/>
                    </a:xfrm>
                    <a:prstGeom prst="rect">
                      <a:avLst/>
                    </a:prstGeom>
                  </pic:spPr>
                </pic:pic>
              </a:graphicData>
            </a:graphic>
          </wp:inline>
        </w:drawing>
      </w:r>
      <w:r>
        <w:rPr>
          <w:rFonts w:ascii="Cambria" w:eastAsia="Cambria" w:hAnsi="Cambria" w:cs="Cambria"/>
        </w:rPr>
        <w:tab/>
        <w:t>(10)</w:t>
      </w:r>
    </w:p>
    <w:p w:rsidR="00EE13F6" w:rsidRDefault="002E5BC4">
      <w:pPr>
        <w:spacing w:after="452" w:line="264" w:lineRule="auto"/>
        <w:ind w:left="-5" w:right="468" w:hanging="10"/>
        <w:jc w:val="both"/>
      </w:pPr>
      <w:r>
        <w:rPr>
          <w:rFonts w:ascii="Cambria" w:eastAsia="Cambria" w:hAnsi="Cambria" w:cs="Cambria"/>
          <w:b/>
        </w:rPr>
        <w:t xml:space="preserve">Remarks: </w:t>
      </w:r>
      <w:r>
        <w:rPr>
          <w:rFonts w:ascii="Cambria" w:eastAsia="Cambria" w:hAnsi="Cambria" w:cs="Cambria"/>
        </w:rPr>
        <w:t>In addition to the remark formulated above, Merton assumptions do not consider the possibility of an intermediate bankruptcy due to a shortfall in the assets, and occurring before bond debt maturity. This is an additional reason explaining why that the app</w:t>
      </w:r>
      <w:r>
        <w:rPr>
          <w:rFonts w:ascii="Cambria" w:eastAsia="Cambria" w:hAnsi="Cambria" w:cs="Cambria"/>
        </w:rPr>
        <w:t>lication of the Merton model will underestimate the impact of the FTT on credit spreads, because it omits an important case of possible bankruptcy.</w:t>
      </w:r>
    </w:p>
    <w:p w:rsidR="00EE13F6" w:rsidRDefault="002E5BC4">
      <w:pPr>
        <w:spacing w:after="279" w:line="257" w:lineRule="auto"/>
        <w:ind w:left="752" w:right="361" w:hanging="767"/>
      </w:pPr>
      <w:r>
        <w:rPr>
          <w:rFonts w:ascii="Cambria" w:eastAsia="Cambria" w:hAnsi="Cambria" w:cs="Cambria"/>
          <w:b/>
        </w:rPr>
        <w:t>3.1.2 Numerical Application: Merton Model Calibration and First estimation of the FTT impact on Credit Sprea</w:t>
      </w:r>
      <w:r>
        <w:rPr>
          <w:rFonts w:ascii="Cambria" w:eastAsia="Cambria" w:hAnsi="Cambria" w:cs="Cambria"/>
          <w:b/>
        </w:rPr>
        <w:t>ds</w:t>
      </w:r>
    </w:p>
    <w:p w:rsidR="00EE13F6" w:rsidRDefault="002E5BC4">
      <w:pPr>
        <w:spacing w:after="130" w:line="264" w:lineRule="auto"/>
        <w:ind w:left="-5" w:right="468" w:hanging="10"/>
        <w:jc w:val="both"/>
      </w:pPr>
      <w:r>
        <w:rPr>
          <w:rFonts w:ascii="Cambria" w:eastAsia="Cambria" w:hAnsi="Cambria" w:cs="Cambria"/>
        </w:rPr>
        <w:t>Using the equation above, we can conduct a calibration of the Merton model on Z- spreads and then derive the implied volatility of the assets which is consistent with Z-spread market values.</w:t>
      </w:r>
    </w:p>
    <w:p w:rsidR="00EE13F6" w:rsidRDefault="002E5BC4">
      <w:pPr>
        <w:spacing w:after="46" w:line="264" w:lineRule="auto"/>
        <w:ind w:left="-5" w:right="468" w:hanging="10"/>
        <w:jc w:val="both"/>
      </w:pPr>
      <w:r>
        <w:rPr>
          <w:rFonts w:ascii="Cambria" w:eastAsia="Cambria" w:hAnsi="Cambria" w:cs="Cambria"/>
        </w:rPr>
        <w:t>Applying chapter I, we can compute the impact on share price v</w:t>
      </w:r>
      <w:r>
        <w:rPr>
          <w:rFonts w:ascii="Cambria" w:eastAsia="Cambria" w:hAnsi="Cambria" w:cs="Cambria"/>
        </w:rPr>
        <w:t>olatility of the introduction of the FTT. The difficulty lies into the fact that the asset volatility is not directly observable on the markets. One can see directly that the following relationship holds:</w:t>
      </w:r>
    </w:p>
    <w:p w:rsidR="00EE13F6" w:rsidRDefault="002E5BC4">
      <w:pPr>
        <w:spacing w:after="75"/>
        <w:ind w:left="3640"/>
      </w:pPr>
      <w:r>
        <w:rPr>
          <w:noProof/>
        </w:rPr>
        <w:lastRenderedPageBreak/>
        <w:drawing>
          <wp:inline distT="0" distB="0" distL="0" distR="0">
            <wp:extent cx="1258824" cy="313944"/>
            <wp:effectExtent l="0" t="0" r="0" b="0"/>
            <wp:docPr id="221927" name="Picture 221927"/>
            <wp:cNvGraphicFramePr/>
            <a:graphic xmlns:a="http://schemas.openxmlformats.org/drawingml/2006/main">
              <a:graphicData uri="http://schemas.openxmlformats.org/drawingml/2006/picture">
                <pic:pic xmlns:pic="http://schemas.openxmlformats.org/drawingml/2006/picture">
                  <pic:nvPicPr>
                    <pic:cNvPr id="221927" name="Picture 221927"/>
                    <pic:cNvPicPr/>
                  </pic:nvPicPr>
                  <pic:blipFill>
                    <a:blip r:embed="rId144"/>
                    <a:stretch>
                      <a:fillRect/>
                    </a:stretch>
                  </pic:blipFill>
                  <pic:spPr>
                    <a:xfrm>
                      <a:off x="0" y="0"/>
                      <a:ext cx="1258824" cy="313944"/>
                    </a:xfrm>
                    <a:prstGeom prst="rect">
                      <a:avLst/>
                    </a:prstGeom>
                  </pic:spPr>
                </pic:pic>
              </a:graphicData>
            </a:graphic>
          </wp:inline>
        </w:drawing>
      </w:r>
    </w:p>
    <w:p w:rsidR="00EE13F6" w:rsidRDefault="002E5BC4">
      <w:pPr>
        <w:spacing w:after="74" w:line="264" w:lineRule="auto"/>
        <w:ind w:left="-5" w:right="468" w:hanging="10"/>
        <w:jc w:val="both"/>
      </w:pPr>
      <w:r>
        <w:rPr>
          <w:rFonts w:ascii="Cambria" w:eastAsia="Cambria" w:hAnsi="Cambria" w:cs="Cambria"/>
        </w:rPr>
        <w:t>which writes:</w:t>
      </w:r>
    </w:p>
    <w:p w:rsidR="00EE13F6" w:rsidRDefault="002E5BC4">
      <w:pPr>
        <w:spacing w:after="76"/>
        <w:ind w:left="4021"/>
      </w:pPr>
      <w:r>
        <w:rPr>
          <w:noProof/>
        </w:rPr>
        <w:drawing>
          <wp:inline distT="0" distB="0" distL="0" distR="0">
            <wp:extent cx="844296" cy="313944"/>
            <wp:effectExtent l="0" t="0" r="0" b="0"/>
            <wp:docPr id="221928" name="Picture 221928"/>
            <wp:cNvGraphicFramePr/>
            <a:graphic xmlns:a="http://schemas.openxmlformats.org/drawingml/2006/main">
              <a:graphicData uri="http://schemas.openxmlformats.org/drawingml/2006/picture">
                <pic:pic xmlns:pic="http://schemas.openxmlformats.org/drawingml/2006/picture">
                  <pic:nvPicPr>
                    <pic:cNvPr id="221928" name="Picture 221928"/>
                    <pic:cNvPicPr/>
                  </pic:nvPicPr>
                  <pic:blipFill>
                    <a:blip r:embed="rId145"/>
                    <a:stretch>
                      <a:fillRect/>
                    </a:stretch>
                  </pic:blipFill>
                  <pic:spPr>
                    <a:xfrm>
                      <a:off x="0" y="0"/>
                      <a:ext cx="844296" cy="313944"/>
                    </a:xfrm>
                    <a:prstGeom prst="rect">
                      <a:avLst/>
                    </a:prstGeom>
                  </pic:spPr>
                </pic:pic>
              </a:graphicData>
            </a:graphic>
          </wp:inline>
        </w:drawing>
      </w:r>
    </w:p>
    <w:p w:rsidR="00EE13F6" w:rsidRDefault="002E5BC4">
      <w:pPr>
        <w:spacing w:after="51" w:line="264" w:lineRule="auto"/>
        <w:ind w:left="-5" w:right="468" w:hanging="10"/>
        <w:jc w:val="both"/>
      </w:pPr>
      <w:r>
        <w:rPr>
          <w:rFonts w:ascii="Cambria" w:eastAsia="Cambria" w:hAnsi="Cambria" w:cs="Cambria"/>
        </w:rPr>
        <w:t xml:space="preserve">Because </w:t>
      </w:r>
      <w:r>
        <w:rPr>
          <w:rFonts w:ascii="Cambria" w:eastAsia="Cambria" w:hAnsi="Cambria" w:cs="Cambria"/>
          <w:i/>
        </w:rPr>
        <w:t>A</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S</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D</w:t>
      </w:r>
      <w:r>
        <w:rPr>
          <w:rFonts w:ascii="Cambria" w:eastAsia="Cambria" w:hAnsi="Cambria" w:cs="Cambria"/>
          <w:i/>
          <w:vertAlign w:val="subscript"/>
        </w:rPr>
        <w:t xml:space="preserve">t </w:t>
      </w:r>
      <w:r>
        <w:rPr>
          <w:rFonts w:ascii="Cambria" w:eastAsia="Cambria" w:hAnsi="Cambria" w:cs="Cambria"/>
        </w:rPr>
        <w:t xml:space="preserve">at any time </w:t>
      </w:r>
      <w:r>
        <w:rPr>
          <w:rFonts w:ascii="Cambria" w:eastAsia="Cambria" w:hAnsi="Cambria" w:cs="Cambria"/>
          <w:i/>
        </w:rPr>
        <w:t xml:space="preserve">t </w:t>
      </w:r>
      <w:r>
        <w:rPr>
          <w:rFonts w:ascii="Cambria" w:eastAsia="Cambria" w:hAnsi="Cambria" w:cs="Cambria"/>
        </w:rPr>
        <w:t>we then derive a ”proxy” relation between asset volatility and stock volatility.</w:t>
      </w:r>
    </w:p>
    <w:p w:rsidR="00EE13F6" w:rsidRDefault="002E5BC4">
      <w:pPr>
        <w:spacing w:after="0" w:line="265" w:lineRule="auto"/>
        <w:ind w:left="-30" w:right="468" w:hanging="10"/>
        <w:jc w:val="right"/>
      </w:pPr>
      <w:r>
        <w:rPr>
          <w:noProof/>
        </w:rPr>
        <w:drawing>
          <wp:inline distT="0" distB="0" distL="0" distR="0">
            <wp:extent cx="762000" cy="188976"/>
            <wp:effectExtent l="0" t="0" r="0" b="0"/>
            <wp:docPr id="221929" name="Picture 221929"/>
            <wp:cNvGraphicFramePr/>
            <a:graphic xmlns:a="http://schemas.openxmlformats.org/drawingml/2006/main">
              <a:graphicData uri="http://schemas.openxmlformats.org/drawingml/2006/picture">
                <pic:pic xmlns:pic="http://schemas.openxmlformats.org/drawingml/2006/picture">
                  <pic:nvPicPr>
                    <pic:cNvPr id="221929" name="Picture 221929"/>
                    <pic:cNvPicPr/>
                  </pic:nvPicPr>
                  <pic:blipFill>
                    <a:blip r:embed="rId146"/>
                    <a:stretch>
                      <a:fillRect/>
                    </a:stretch>
                  </pic:blipFill>
                  <pic:spPr>
                    <a:xfrm>
                      <a:off x="0" y="0"/>
                      <a:ext cx="762000" cy="188976"/>
                    </a:xfrm>
                    <a:prstGeom prst="rect">
                      <a:avLst/>
                    </a:prstGeom>
                  </pic:spPr>
                </pic:pic>
              </a:graphicData>
            </a:graphic>
          </wp:inline>
        </w:drawing>
      </w:r>
      <w:r>
        <w:rPr>
          <w:rFonts w:ascii="Cambria" w:eastAsia="Cambria" w:hAnsi="Cambria" w:cs="Cambria"/>
        </w:rPr>
        <w:t xml:space="preserve"> where </w:t>
      </w:r>
      <w:r>
        <w:rPr>
          <w:rFonts w:ascii="Cambria" w:eastAsia="Cambria" w:hAnsi="Cambria" w:cs="Cambria"/>
          <w:i/>
        </w:rPr>
        <w:t>S</w:t>
      </w:r>
      <w:r>
        <w:rPr>
          <w:rFonts w:ascii="Cambria" w:eastAsia="Cambria" w:hAnsi="Cambria" w:cs="Cambria"/>
        </w:rPr>
        <w:t>∗</w:t>
      </w:r>
      <w:r>
        <w:rPr>
          <w:rFonts w:ascii="Cambria" w:eastAsia="Cambria" w:hAnsi="Cambria" w:cs="Cambria"/>
        </w:rPr>
        <w:t xml:space="preserve"> is the average stock price to be retained which is also to be computed by</w:t>
      </w:r>
    </w:p>
    <w:p w:rsidR="00EE13F6" w:rsidRDefault="002E5BC4">
      <w:pPr>
        <w:spacing w:after="130" w:line="264" w:lineRule="auto"/>
        <w:ind w:left="-5" w:right="468" w:hanging="10"/>
        <w:jc w:val="both"/>
      </w:pPr>
      <w:r>
        <w:rPr>
          <w:rFonts w:ascii="Cambria" w:eastAsia="Cambria" w:hAnsi="Cambria" w:cs="Cambria"/>
        </w:rPr>
        <w:t xml:space="preserve">calibration. This means that there is for any value of </w:t>
      </w:r>
      <w:r>
        <w:rPr>
          <w:rFonts w:ascii="Cambria" w:eastAsia="Cambria" w:hAnsi="Cambria" w:cs="Cambria"/>
          <w:i/>
        </w:rPr>
        <w:t xml:space="preserve">σ </w:t>
      </w:r>
      <w:r>
        <w:rPr>
          <w:rFonts w:ascii="Cambria" w:eastAsia="Cambria" w:hAnsi="Cambria" w:cs="Cambria"/>
        </w:rPr>
        <w:t xml:space="preserve">a constant </w:t>
      </w:r>
      <w:r>
        <w:rPr>
          <w:rFonts w:ascii="Cambria" w:eastAsia="Cambria" w:hAnsi="Cambria" w:cs="Cambria"/>
          <w:i/>
        </w:rPr>
        <w:t>λ</w:t>
      </w:r>
      <w:r>
        <w:rPr>
          <w:rFonts w:ascii="Cambria" w:eastAsia="Cambria" w:hAnsi="Cambria" w:cs="Cambria"/>
        </w:rPr>
        <w:t>;</w:t>
      </w:r>
      <w:r>
        <w:rPr>
          <w:rFonts w:ascii="Cambria" w:eastAsia="Cambria" w:hAnsi="Cambria" w:cs="Cambria"/>
          <w:i/>
        </w:rPr>
        <w:t xml:space="preserve">λ &lt; </w:t>
      </w:r>
      <w:r>
        <w:rPr>
          <w:rFonts w:ascii="Cambria" w:eastAsia="Cambria" w:hAnsi="Cambria" w:cs="Cambria"/>
        </w:rPr>
        <w:t xml:space="preserve">1 such that </w:t>
      </w:r>
      <w:r>
        <w:rPr>
          <w:rFonts w:ascii="Cambria" w:eastAsia="Cambria" w:hAnsi="Cambria" w:cs="Cambria"/>
          <w:i/>
        </w:rPr>
        <w:t xml:space="preserve">σ </w:t>
      </w:r>
      <w:r>
        <w:rPr>
          <w:rFonts w:ascii="Cambria" w:eastAsia="Cambria" w:hAnsi="Cambria" w:cs="Cambria"/>
        </w:rPr>
        <w:t xml:space="preserve">= </w:t>
      </w:r>
      <w:r>
        <w:rPr>
          <w:rFonts w:ascii="Cambria" w:eastAsia="Cambria" w:hAnsi="Cambria" w:cs="Cambria"/>
          <w:i/>
        </w:rPr>
        <w:t>λσ</w:t>
      </w:r>
      <w:r>
        <w:rPr>
          <w:rFonts w:ascii="Cambria" w:eastAsia="Cambria" w:hAnsi="Cambria" w:cs="Cambria"/>
          <w:i/>
          <w:vertAlign w:val="subscript"/>
        </w:rPr>
        <w:t xml:space="preserve">S </w:t>
      </w:r>
      <w:r>
        <w:rPr>
          <w:rFonts w:ascii="Cambria" w:eastAsia="Cambria" w:hAnsi="Cambria" w:cs="Cambria"/>
        </w:rPr>
        <w:t>. Consequently, we can apply the Boyle and Vorst rules to accommodate for transaction costs directly on the asset volatility obtained by calibration in order to get the new spread. The calculation displayed in the following table do consider the Mert</w:t>
      </w:r>
      <w:r>
        <w:rPr>
          <w:rFonts w:ascii="Cambria" w:eastAsia="Cambria" w:hAnsi="Cambria" w:cs="Cambria"/>
        </w:rPr>
        <w:t>on’s formula for the Z-Spread.</w:t>
      </w:r>
    </w:p>
    <w:p w:rsidR="00EE13F6" w:rsidRDefault="002E5BC4">
      <w:pPr>
        <w:spacing w:after="139" w:line="257" w:lineRule="auto"/>
        <w:ind w:left="-5" w:right="361" w:hanging="10"/>
      </w:pPr>
      <w:r>
        <w:rPr>
          <w:rFonts w:ascii="Cambria" w:eastAsia="Cambria" w:hAnsi="Cambria" w:cs="Cambria"/>
          <w:b/>
        </w:rPr>
        <w:t>Numerical results</w:t>
      </w:r>
    </w:p>
    <w:p w:rsidR="00EE13F6" w:rsidRDefault="002E5BC4">
      <w:pPr>
        <w:spacing w:after="139" w:line="257" w:lineRule="auto"/>
        <w:ind w:left="-5" w:right="361" w:hanging="10"/>
      </w:pPr>
      <w:r>
        <w:rPr>
          <w:rFonts w:ascii="Cambria" w:eastAsia="Cambria" w:hAnsi="Cambria" w:cs="Cambria"/>
          <w:b/>
        </w:rPr>
        <w:t>Comments:</w:t>
      </w:r>
    </w:p>
    <w:p w:rsidR="00EE13F6" w:rsidRDefault="002E5BC4">
      <w:pPr>
        <w:spacing w:after="130" w:line="264" w:lineRule="auto"/>
        <w:ind w:left="-5" w:right="468" w:hanging="10"/>
        <w:jc w:val="both"/>
      </w:pPr>
      <w:r>
        <w:rPr>
          <w:rFonts w:ascii="Cambria" w:eastAsia="Cambria" w:hAnsi="Cambria" w:cs="Cambria"/>
        </w:rPr>
        <w:t>For the reason stated above, we consider that this calibration is going to underestimate the real impact of the FTT. Conversely, such Merton based calibration will give us a lower conservative bound of the overall effect of the FTT, we want to estimate.</w:t>
      </w:r>
    </w:p>
    <w:p w:rsidR="00EE13F6" w:rsidRDefault="002E5BC4">
      <w:pPr>
        <w:spacing w:after="205" w:line="257" w:lineRule="auto"/>
        <w:ind w:left="-5" w:right="361" w:hanging="10"/>
      </w:pPr>
      <w:r>
        <w:rPr>
          <w:rFonts w:ascii="Cambria" w:eastAsia="Cambria" w:hAnsi="Cambria" w:cs="Cambria"/>
        </w:rPr>
        <w:t>Ta</w:t>
      </w:r>
      <w:r>
        <w:rPr>
          <w:rFonts w:ascii="Cambria" w:eastAsia="Cambria" w:hAnsi="Cambria" w:cs="Cambria"/>
        </w:rPr>
        <w:t xml:space="preserve">ble 1: </w:t>
      </w:r>
      <w:r>
        <w:rPr>
          <w:rFonts w:ascii="Cambria" w:eastAsia="Cambria" w:hAnsi="Cambria" w:cs="Cambria"/>
          <w:b/>
        </w:rPr>
        <w:t>FTT Impact on the Z-spreads for a sample of Three European Corporate Firms Using the Calibrated Merton Model</w:t>
      </w:r>
    </w:p>
    <w:tbl>
      <w:tblPr>
        <w:tblStyle w:val="TableGrid"/>
        <w:tblW w:w="8561" w:type="dxa"/>
        <w:tblInd w:w="399" w:type="dxa"/>
        <w:tblCellMar>
          <w:top w:w="42" w:type="dxa"/>
          <w:left w:w="124" w:type="dxa"/>
          <w:bottom w:w="0" w:type="dxa"/>
          <w:right w:w="124" w:type="dxa"/>
        </w:tblCellMar>
        <w:tblLook w:val="04A0" w:firstRow="1" w:lastRow="0" w:firstColumn="1" w:lastColumn="0" w:noHBand="0" w:noVBand="1"/>
      </w:tblPr>
      <w:tblGrid>
        <w:gridCol w:w="1603"/>
        <w:gridCol w:w="1239"/>
        <w:gridCol w:w="903"/>
        <w:gridCol w:w="1409"/>
        <w:gridCol w:w="773"/>
        <w:gridCol w:w="878"/>
        <w:gridCol w:w="878"/>
        <w:gridCol w:w="878"/>
      </w:tblGrid>
      <w:tr w:rsidR="00EE13F6">
        <w:trPr>
          <w:trHeight w:val="279"/>
        </w:trPr>
        <w:tc>
          <w:tcPr>
            <w:tcW w:w="161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Issuer</w:t>
            </w:r>
          </w:p>
        </w:tc>
        <w:tc>
          <w:tcPr>
            <w:tcW w:w="1248"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5Y-Spread</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0"/>
              <w:jc w:val="center"/>
            </w:pPr>
            <w:r>
              <w:rPr>
                <w:rFonts w:ascii="Cambria" w:eastAsia="Cambria" w:hAnsi="Cambria" w:cs="Cambria"/>
                <w:i/>
              </w:rPr>
              <w:t>σ</w:t>
            </w:r>
            <w:r>
              <w:rPr>
                <w:rFonts w:ascii="Cambria" w:eastAsia="Cambria" w:hAnsi="Cambria" w:cs="Cambria"/>
                <w:i/>
                <w:sz w:val="16"/>
              </w:rPr>
              <w:t>A</w:t>
            </w:r>
          </w:p>
        </w:tc>
        <w:tc>
          <w:tcPr>
            <w:tcW w:w="1418"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 xml:space="preserve">Modified </w:t>
            </w:r>
            <w:r>
              <w:rPr>
                <w:rFonts w:ascii="Cambria" w:eastAsia="Cambria" w:hAnsi="Cambria" w:cs="Cambria"/>
                <w:i/>
              </w:rPr>
              <w:t>σ</w:t>
            </w:r>
            <w:r>
              <w:rPr>
                <w:rFonts w:ascii="Cambria" w:eastAsia="Cambria" w:hAnsi="Cambria" w:cs="Cambria"/>
                <w:i/>
                <w:vertAlign w:val="subscript"/>
              </w:rPr>
              <w:t>A</w:t>
            </w:r>
          </w:p>
        </w:tc>
        <w:tc>
          <w:tcPr>
            <w:tcW w:w="77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rPr>
              <w:t>5Y-∆</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rPr>
              <w:t>10Y-∆</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rPr>
              <w:t>15Y-∆</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rPr>
              <w:t>20Y-∆</w:t>
            </w:r>
          </w:p>
        </w:tc>
      </w:tr>
      <w:tr w:rsidR="00EE13F6">
        <w:trPr>
          <w:trHeight w:val="279"/>
        </w:trPr>
        <w:tc>
          <w:tcPr>
            <w:tcW w:w="161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Alsthom</w:t>
            </w:r>
          </w:p>
        </w:tc>
        <w:tc>
          <w:tcPr>
            <w:tcW w:w="124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82.3</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0.3603</w:t>
            </w:r>
          </w:p>
        </w:tc>
        <w:tc>
          <w:tcPr>
            <w:tcW w:w="141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0.4273</w:t>
            </w:r>
          </w:p>
        </w:tc>
        <w:tc>
          <w:tcPr>
            <w:tcW w:w="77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51.3</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48.5</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45.0</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43.3</w:t>
            </w:r>
          </w:p>
        </w:tc>
      </w:tr>
      <w:tr w:rsidR="00EE13F6">
        <w:trPr>
          <w:trHeight w:val="279"/>
        </w:trPr>
        <w:tc>
          <w:tcPr>
            <w:tcW w:w="1618"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Arcelor-Mittal</w:t>
            </w:r>
          </w:p>
        </w:tc>
        <w:tc>
          <w:tcPr>
            <w:tcW w:w="124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364.93</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0.4044</w:t>
            </w:r>
          </w:p>
        </w:tc>
        <w:tc>
          <w:tcPr>
            <w:tcW w:w="141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0.4785</w:t>
            </w:r>
          </w:p>
        </w:tc>
        <w:tc>
          <w:tcPr>
            <w:tcW w:w="77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81.8</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63.9</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57.0</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53.0</w:t>
            </w:r>
          </w:p>
        </w:tc>
      </w:tr>
      <w:tr w:rsidR="00EE13F6">
        <w:trPr>
          <w:trHeight w:val="279"/>
        </w:trPr>
        <w:tc>
          <w:tcPr>
            <w:tcW w:w="161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Michelin</w:t>
            </w:r>
          </w:p>
        </w:tc>
        <w:tc>
          <w:tcPr>
            <w:tcW w:w="124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47.1</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0.35</w:t>
            </w:r>
          </w:p>
        </w:tc>
        <w:tc>
          <w:tcPr>
            <w:tcW w:w="141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0.4063</w:t>
            </w:r>
          </w:p>
        </w:tc>
        <w:tc>
          <w:tcPr>
            <w:tcW w:w="77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34.0</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37.8</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36.5</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34.9</w:t>
            </w:r>
          </w:p>
        </w:tc>
      </w:tr>
    </w:tbl>
    <w:p w:rsidR="00EE13F6" w:rsidRDefault="002E5BC4">
      <w:pPr>
        <w:spacing w:after="472" w:line="264" w:lineRule="auto"/>
        <w:ind w:left="-5" w:right="468" w:hanging="10"/>
        <w:jc w:val="both"/>
      </w:pPr>
      <w:r>
        <w:rPr>
          <w:rFonts w:ascii="Cambria" w:eastAsia="Cambria" w:hAnsi="Cambria" w:cs="Cambria"/>
        </w:rPr>
        <w:t>Using this remark, one can see directly, that for those three corporations, the impact on the cost of capital is already between 4 and 7 times the impact computed by Lendvai et al. (2012).</w:t>
      </w:r>
    </w:p>
    <w:p w:rsidR="00EE13F6" w:rsidRDefault="002E5BC4">
      <w:pPr>
        <w:pStyle w:val="Heading2"/>
        <w:ind w:left="608" w:right="106" w:hanging="623"/>
      </w:pPr>
      <w:r>
        <w:t>3.2</w:t>
      </w:r>
      <w:r>
        <w:tab/>
        <w:t>Black and Cox Structural Model and Further Extensions: The CreditGrades</w:t>
      </w:r>
      <w:r>
        <w:rPr>
          <w:rFonts w:ascii="Calibri" w:eastAsia="Calibri" w:hAnsi="Calibri" w:cs="Calibri"/>
          <w:b w:val="0"/>
          <w:i/>
        </w:rPr>
        <w:t xml:space="preserve"> </w:t>
      </w:r>
      <w:r>
        <w:rPr>
          <w:sz w:val="16"/>
        </w:rPr>
        <w:t xml:space="preserve">R </w:t>
      </w:r>
      <w:r>
        <w:t>Model</w:t>
      </w:r>
    </w:p>
    <w:p w:rsidR="00EE13F6" w:rsidRDefault="002E5BC4">
      <w:pPr>
        <w:spacing w:after="461" w:line="264" w:lineRule="auto"/>
        <w:ind w:left="-5" w:right="468" w:hanging="10"/>
        <w:jc w:val="both"/>
      </w:pPr>
      <w:r>
        <w:rPr>
          <w:rFonts w:ascii="Cambria" w:eastAsia="Cambria" w:hAnsi="Cambria" w:cs="Cambria"/>
        </w:rPr>
        <w:t>Further developments of this structural model were introduced by Black and Cox (1976), developed later by Leland (1994), then by Vasicek and Vasicek) (2012). According to these authors, an additional event of corporate default can be considered when the as</w:t>
      </w:r>
      <w:r>
        <w:rPr>
          <w:rFonts w:ascii="Cambria" w:eastAsia="Cambria" w:hAnsi="Cambria" w:cs="Cambria"/>
        </w:rPr>
        <w:t>set value of a firm crosses a predetermined threshold (”default barrier”).This concept is largely used nowadays in the credit markets. For instance, some instruments such as collateralized debt obligations (CDOs) retain a notion of default for any given co</w:t>
      </w:r>
      <w:r>
        <w:rPr>
          <w:rFonts w:ascii="Cambria" w:eastAsia="Cambria" w:hAnsi="Cambria" w:cs="Cambria"/>
        </w:rPr>
        <w:t>rporate risk, which is defined in terms of the corporate equity share value dropping below a predetermined threshold.</w:t>
      </w:r>
    </w:p>
    <w:p w:rsidR="00EE13F6" w:rsidRDefault="002E5BC4">
      <w:pPr>
        <w:tabs>
          <w:tab w:val="center" w:pos="2563"/>
        </w:tabs>
        <w:spacing w:after="290" w:line="257" w:lineRule="auto"/>
        <w:ind w:left="-15"/>
      </w:pPr>
      <w:r>
        <w:rPr>
          <w:rFonts w:ascii="Cambria" w:eastAsia="Cambria" w:hAnsi="Cambria" w:cs="Cambria"/>
          <w:b/>
        </w:rPr>
        <w:t>3.2.1</w:t>
      </w:r>
      <w:r>
        <w:rPr>
          <w:rFonts w:ascii="Cambria" w:eastAsia="Cambria" w:hAnsi="Cambria" w:cs="Cambria"/>
          <w:b/>
        </w:rPr>
        <w:tab/>
        <w:t>Black and Cox Structural Model</w:t>
      </w:r>
    </w:p>
    <w:p w:rsidR="00EE13F6" w:rsidRDefault="002E5BC4">
      <w:pPr>
        <w:spacing w:after="445" w:line="264" w:lineRule="auto"/>
        <w:ind w:left="-5" w:right="468" w:hanging="10"/>
        <w:jc w:val="both"/>
      </w:pPr>
      <w:r>
        <w:rPr>
          <w:rFonts w:ascii="Cambria" w:eastAsia="Cambria" w:hAnsi="Cambria" w:cs="Cambria"/>
        </w:rPr>
        <w:t>We still assume the fact that the value of assets follows a stochastic diffusion process:</w:t>
      </w:r>
    </w:p>
    <w:p w:rsidR="00EE13F6" w:rsidRDefault="002E5BC4">
      <w:pPr>
        <w:spacing w:after="296" w:line="265" w:lineRule="auto"/>
        <w:ind w:left="10" w:right="493" w:hanging="10"/>
        <w:jc w:val="center"/>
      </w:pPr>
      <w:r>
        <w:rPr>
          <w:rFonts w:ascii="Cambria" w:eastAsia="Cambria" w:hAnsi="Cambria" w:cs="Cambria"/>
          <w:i/>
        </w:rPr>
        <w:lastRenderedPageBreak/>
        <w:t>dA</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 xml:space="preserve">µ dt </w:t>
      </w:r>
      <w:r>
        <w:rPr>
          <w:rFonts w:ascii="Cambria" w:eastAsia="Cambria" w:hAnsi="Cambria" w:cs="Cambria"/>
        </w:rPr>
        <w:t xml:space="preserve">+ </w:t>
      </w:r>
      <w:r>
        <w:rPr>
          <w:rFonts w:ascii="Cambria" w:eastAsia="Cambria" w:hAnsi="Cambria" w:cs="Cambria"/>
          <w:i/>
        </w:rPr>
        <w:t>σdW</w:t>
      </w:r>
      <w:r>
        <w:rPr>
          <w:rFonts w:ascii="Cambria" w:eastAsia="Cambria" w:hAnsi="Cambria" w:cs="Cambria"/>
          <w:i/>
          <w:vertAlign w:val="subscript"/>
        </w:rPr>
        <w:t>t</w:t>
      </w:r>
    </w:p>
    <w:p w:rsidR="00EE13F6" w:rsidRDefault="002E5BC4">
      <w:pPr>
        <w:spacing w:after="237" w:line="264" w:lineRule="auto"/>
        <w:ind w:left="-5" w:right="468" w:hanging="10"/>
        <w:jc w:val="both"/>
      </w:pPr>
      <w:r>
        <w:rPr>
          <w:rFonts w:ascii="Cambria" w:eastAsia="Cambria" w:hAnsi="Cambria" w:cs="Cambria"/>
        </w:rPr>
        <w:t xml:space="preserve">Also, it is considered that the corporate debt is itself a zero-coupon based. We designate by </w:t>
      </w:r>
      <w:r>
        <w:rPr>
          <w:rFonts w:ascii="Cambria" w:eastAsia="Cambria" w:hAnsi="Cambria" w:cs="Cambria"/>
          <w:i/>
        </w:rPr>
        <w:t xml:space="preserve">K </w:t>
      </w:r>
      <w:r>
        <w:rPr>
          <w:rFonts w:ascii="Cambria" w:eastAsia="Cambria" w:hAnsi="Cambria" w:cs="Cambria"/>
        </w:rPr>
        <w:t>the face value of debt at maturity T. As per the Merton model, the Black-Cox model assumes that the default can occur at the maturity date of the debt, i</w:t>
      </w:r>
      <w:r>
        <w:rPr>
          <w:rFonts w:ascii="Cambria" w:eastAsia="Cambria" w:hAnsi="Cambria" w:cs="Cambria"/>
        </w:rPr>
        <w:t xml:space="preserve">f the level of asset is insufficient to pay-off the debt. In addition, it considers that corporate default can be triggered, before the bond maturity, in case the value of assets falls below a predetermined level. We consider a time dependant barrier such </w:t>
      </w:r>
      <w:r>
        <w:rPr>
          <w:rFonts w:ascii="Cambria" w:eastAsia="Cambria" w:hAnsi="Cambria" w:cs="Cambria"/>
        </w:rPr>
        <w:t>that</w:t>
      </w:r>
    </w:p>
    <w:p w:rsidR="00EE13F6" w:rsidRDefault="002E5BC4">
      <w:pPr>
        <w:spacing w:after="270"/>
        <w:ind w:left="1320" w:right="1803" w:hanging="10"/>
        <w:jc w:val="center"/>
      </w:pPr>
      <w:r>
        <w:rPr>
          <w:rFonts w:ascii="Cambria" w:eastAsia="Cambria" w:hAnsi="Cambria" w:cs="Cambria"/>
          <w:i/>
        </w:rPr>
        <w:t>K</w:t>
      </w:r>
      <w:r>
        <w:rPr>
          <w:rFonts w:ascii="Cambria" w:eastAsia="Cambria" w:hAnsi="Cambria" w:cs="Cambria"/>
          <w:i/>
          <w:sz w:val="16"/>
        </w:rPr>
        <w:t xml:space="preserve">t </w:t>
      </w:r>
      <w:r>
        <w:rPr>
          <w:rFonts w:ascii="Cambria" w:eastAsia="Cambria" w:hAnsi="Cambria" w:cs="Cambria"/>
        </w:rPr>
        <w:t xml:space="preserve">= </w:t>
      </w:r>
      <w:r>
        <w:rPr>
          <w:rFonts w:ascii="Cambria" w:eastAsia="Cambria" w:hAnsi="Cambria" w:cs="Cambria"/>
          <w:i/>
        </w:rPr>
        <w:t>K</w:t>
      </w:r>
      <w:r>
        <w:rPr>
          <w:rFonts w:ascii="Cambria" w:eastAsia="Cambria" w:hAnsi="Cambria" w:cs="Cambria"/>
          <w:sz w:val="16"/>
        </w:rPr>
        <w:t>0</w:t>
      </w:r>
      <w:r>
        <w:rPr>
          <w:rFonts w:ascii="Cambria" w:eastAsia="Cambria" w:hAnsi="Cambria" w:cs="Cambria"/>
          <w:i/>
        </w:rPr>
        <w:t>e</w:t>
      </w:r>
      <w:r>
        <w:rPr>
          <w:rFonts w:ascii="Cambria" w:eastAsia="Cambria" w:hAnsi="Cambria" w:cs="Cambria"/>
          <w:i/>
          <w:sz w:val="16"/>
        </w:rPr>
        <w:t>kt</w:t>
      </w:r>
    </w:p>
    <w:p w:rsidR="00EE13F6" w:rsidRDefault="002E5BC4">
      <w:pPr>
        <w:spacing w:after="268" w:line="264" w:lineRule="auto"/>
        <w:ind w:left="-5" w:right="468" w:hanging="10"/>
        <w:jc w:val="both"/>
      </w:pPr>
      <w:r>
        <w:rPr>
          <w:rFonts w:ascii="Cambria" w:eastAsia="Cambria" w:hAnsi="Cambria" w:cs="Cambria"/>
        </w:rPr>
        <w:t xml:space="preserve">with </w:t>
      </w:r>
      <w:r>
        <w:rPr>
          <w:rFonts w:ascii="Cambria" w:eastAsia="Cambria" w:hAnsi="Cambria" w:cs="Cambria"/>
          <w:i/>
        </w:rPr>
        <w:t>K</w:t>
      </w:r>
      <w:r>
        <w:rPr>
          <w:rFonts w:ascii="Cambria" w:eastAsia="Cambria" w:hAnsi="Cambria" w:cs="Cambria"/>
          <w:vertAlign w:val="subscript"/>
        </w:rPr>
        <w:t xml:space="preserve">0 </w:t>
      </w:r>
      <w:r>
        <w:rPr>
          <w:rFonts w:ascii="Cambria" w:eastAsia="Cambria" w:hAnsi="Cambria" w:cs="Cambria"/>
        </w:rPr>
        <w:t xml:space="preserve">≤ </w:t>
      </w:r>
      <w:r>
        <w:rPr>
          <w:rFonts w:ascii="Cambria" w:eastAsia="Cambria" w:hAnsi="Cambria" w:cs="Cambria"/>
          <w:i/>
        </w:rPr>
        <w:t>Ke</w:t>
      </w:r>
      <w:r>
        <w:rPr>
          <w:rFonts w:ascii="Cambria" w:eastAsia="Cambria" w:hAnsi="Cambria" w:cs="Cambria"/>
          <w:vertAlign w:val="superscript"/>
        </w:rPr>
        <w:t>−</w:t>
      </w:r>
      <w:r>
        <w:rPr>
          <w:rFonts w:ascii="Cambria" w:eastAsia="Cambria" w:hAnsi="Cambria" w:cs="Cambria"/>
          <w:i/>
          <w:vertAlign w:val="superscript"/>
        </w:rPr>
        <w:t>kT</w:t>
      </w:r>
      <w:r>
        <w:rPr>
          <w:rFonts w:ascii="Cambria" w:eastAsia="Cambria" w:hAnsi="Cambria" w:cs="Cambria"/>
        </w:rPr>
        <w:t>. The default time is given by;</w:t>
      </w:r>
    </w:p>
    <w:p w:rsidR="00EE13F6" w:rsidRDefault="002E5BC4">
      <w:pPr>
        <w:spacing w:after="350" w:line="265" w:lineRule="auto"/>
        <w:ind w:left="10" w:right="483" w:hanging="10"/>
        <w:jc w:val="center"/>
      </w:pPr>
      <w:r>
        <w:rPr>
          <w:rFonts w:ascii="Cambria" w:eastAsia="Cambria" w:hAnsi="Cambria" w:cs="Cambria"/>
          <w:i/>
        </w:rPr>
        <w:t xml:space="preserve">τ </w:t>
      </w:r>
      <w:r>
        <w:rPr>
          <w:rFonts w:ascii="Cambria" w:eastAsia="Cambria" w:hAnsi="Cambria" w:cs="Cambria"/>
        </w:rPr>
        <w:t>= inf [</w:t>
      </w:r>
      <w:r>
        <w:rPr>
          <w:rFonts w:ascii="Cambria" w:eastAsia="Cambria" w:hAnsi="Cambria" w:cs="Cambria"/>
          <w:i/>
        </w:rPr>
        <w:t xml:space="preserve">t &gt; </w:t>
      </w:r>
      <w:r>
        <w:rPr>
          <w:rFonts w:ascii="Cambria" w:eastAsia="Cambria" w:hAnsi="Cambria" w:cs="Cambria"/>
        </w:rPr>
        <w:t>0;</w:t>
      </w:r>
      <w:r>
        <w:rPr>
          <w:rFonts w:ascii="Cambria" w:eastAsia="Cambria" w:hAnsi="Cambria" w:cs="Cambria"/>
          <w:i/>
        </w:rPr>
        <w:t>A</w:t>
      </w:r>
      <w:r>
        <w:rPr>
          <w:rFonts w:ascii="Cambria" w:eastAsia="Cambria" w:hAnsi="Cambria" w:cs="Cambria"/>
          <w:i/>
          <w:vertAlign w:val="subscript"/>
        </w:rPr>
        <w:t xml:space="preserve">t </w:t>
      </w:r>
      <w:r>
        <w:rPr>
          <w:rFonts w:ascii="Cambria" w:eastAsia="Cambria" w:hAnsi="Cambria" w:cs="Cambria"/>
          <w:i/>
        </w:rPr>
        <w:t>&lt; K</w:t>
      </w:r>
      <w:r>
        <w:rPr>
          <w:rFonts w:ascii="Cambria" w:eastAsia="Cambria" w:hAnsi="Cambria" w:cs="Cambria"/>
          <w:i/>
          <w:vertAlign w:val="subscript"/>
        </w:rPr>
        <w:t>t</w:t>
      </w:r>
      <w:r>
        <w:rPr>
          <w:rFonts w:ascii="Cambria" w:eastAsia="Cambria" w:hAnsi="Cambria" w:cs="Cambria"/>
        </w:rPr>
        <w:t>]</w:t>
      </w:r>
    </w:p>
    <w:p w:rsidR="00EE13F6" w:rsidRDefault="002E5BC4">
      <w:pPr>
        <w:spacing w:after="130" w:line="264" w:lineRule="auto"/>
        <w:ind w:left="-5" w:right="468" w:hanging="10"/>
        <w:jc w:val="both"/>
      </w:pPr>
      <w:r>
        <w:rPr>
          <w:rFonts w:ascii="Cambria" w:eastAsia="Cambria" w:hAnsi="Cambria" w:cs="Cambria"/>
        </w:rPr>
        <w:t>Consequently, the occurence of a corporate default can be directly related to the path followed by the corporate assets value. Then the default time is in fact given by the first passage time distribution of a Brownian motion process with drift.</w:t>
      </w:r>
    </w:p>
    <w:p w:rsidR="00EE13F6" w:rsidRDefault="002E5BC4" w:rsidP="002E5BC4">
      <w:pPr>
        <w:numPr>
          <w:ilvl w:val="0"/>
          <w:numId w:val="34"/>
        </w:numPr>
        <w:spacing w:after="139" w:line="257" w:lineRule="auto"/>
        <w:ind w:right="361" w:hanging="321"/>
      </w:pPr>
      <w:r>
        <w:rPr>
          <w:rFonts w:ascii="Cambria" w:eastAsia="Cambria" w:hAnsi="Cambria" w:cs="Cambria"/>
          <w:b/>
        </w:rPr>
        <w:t>Probabilit</w:t>
      </w:r>
      <w:r>
        <w:rPr>
          <w:rFonts w:ascii="Cambria" w:eastAsia="Cambria" w:hAnsi="Cambria" w:cs="Cambria"/>
          <w:b/>
        </w:rPr>
        <w:t>y of default:</w:t>
      </w:r>
    </w:p>
    <w:p w:rsidR="00EE13F6" w:rsidRDefault="002E5BC4">
      <w:pPr>
        <w:spacing w:after="458" w:line="264" w:lineRule="auto"/>
        <w:ind w:left="-5" w:right="468" w:hanging="10"/>
        <w:jc w:val="both"/>
      </w:pPr>
      <w:r>
        <w:rPr>
          <w:rFonts w:ascii="Cambria" w:eastAsia="Cambria" w:hAnsi="Cambria" w:cs="Cambria"/>
        </w:rPr>
        <w:t>One can see directly that:</w:t>
      </w:r>
    </w:p>
    <w:p w:rsidR="00EE13F6" w:rsidRDefault="002E5BC4">
      <w:pPr>
        <w:spacing w:after="128" w:line="265" w:lineRule="auto"/>
        <w:ind w:left="10" w:right="493" w:hanging="10"/>
        <w:jc w:val="center"/>
      </w:pPr>
      <w:r>
        <w:rPr>
          <w:rFonts w:ascii="Cambria" w:eastAsia="Cambria" w:hAnsi="Cambria" w:cs="Cambria"/>
          <w:i/>
        </w:rPr>
        <w:t>A</w:t>
      </w:r>
      <w:r>
        <w:rPr>
          <w:rFonts w:ascii="Cambria" w:eastAsia="Cambria" w:hAnsi="Cambria" w:cs="Cambria"/>
          <w:i/>
          <w:sz w:val="16"/>
        </w:rPr>
        <w:t xml:space="preserve">t </w:t>
      </w:r>
      <w:r>
        <w:rPr>
          <w:rFonts w:ascii="Cambria" w:eastAsia="Cambria" w:hAnsi="Cambria" w:cs="Cambria"/>
          <w:i/>
        </w:rPr>
        <w:t>&lt; K</w:t>
      </w:r>
      <w:r>
        <w:rPr>
          <w:rFonts w:ascii="Cambria" w:eastAsia="Cambria" w:hAnsi="Cambria" w:cs="Cambria"/>
          <w:i/>
          <w:sz w:val="16"/>
        </w:rPr>
        <w:t>t</w:t>
      </w:r>
    </w:p>
    <w:p w:rsidR="00EE13F6" w:rsidRDefault="002E5BC4">
      <w:pPr>
        <w:spacing w:after="65" w:line="264" w:lineRule="auto"/>
        <w:ind w:left="-5" w:right="468" w:hanging="10"/>
        <w:jc w:val="both"/>
      </w:pPr>
      <w:r>
        <w:rPr>
          <w:rFonts w:ascii="Cambria" w:eastAsia="Cambria" w:hAnsi="Cambria" w:cs="Cambria"/>
        </w:rPr>
        <w:t>is equivalent to:</w:t>
      </w:r>
    </w:p>
    <w:p w:rsidR="00EE13F6" w:rsidRDefault="002E5BC4">
      <w:pPr>
        <w:spacing w:after="287"/>
        <w:ind w:left="2680"/>
      </w:pPr>
      <w:r>
        <w:rPr>
          <w:noProof/>
        </w:rPr>
        <w:drawing>
          <wp:inline distT="0" distB="0" distL="0" distR="0">
            <wp:extent cx="2426208" cy="335280"/>
            <wp:effectExtent l="0" t="0" r="0" b="0"/>
            <wp:docPr id="221930" name="Picture 221930"/>
            <wp:cNvGraphicFramePr/>
            <a:graphic xmlns:a="http://schemas.openxmlformats.org/drawingml/2006/main">
              <a:graphicData uri="http://schemas.openxmlformats.org/drawingml/2006/picture">
                <pic:pic xmlns:pic="http://schemas.openxmlformats.org/drawingml/2006/picture">
                  <pic:nvPicPr>
                    <pic:cNvPr id="221930" name="Picture 221930"/>
                    <pic:cNvPicPr/>
                  </pic:nvPicPr>
                  <pic:blipFill>
                    <a:blip r:embed="rId147"/>
                    <a:stretch>
                      <a:fillRect/>
                    </a:stretch>
                  </pic:blipFill>
                  <pic:spPr>
                    <a:xfrm>
                      <a:off x="0" y="0"/>
                      <a:ext cx="2426208" cy="335280"/>
                    </a:xfrm>
                    <a:prstGeom prst="rect">
                      <a:avLst/>
                    </a:prstGeom>
                  </pic:spPr>
                </pic:pic>
              </a:graphicData>
            </a:graphic>
          </wp:inline>
        </w:drawing>
      </w:r>
    </w:p>
    <w:p w:rsidR="00EE13F6" w:rsidRDefault="002E5BC4">
      <w:pPr>
        <w:spacing w:after="3" w:line="450" w:lineRule="auto"/>
        <w:ind w:left="-5" w:right="468" w:hanging="10"/>
      </w:pPr>
      <w:r>
        <w:rPr>
          <w:rFonts w:ascii="Cambria" w:eastAsia="Cambria" w:hAnsi="Cambria" w:cs="Cambria"/>
        </w:rPr>
        <w:t xml:space="preserve">The risk neutral probability </w:t>
      </w:r>
      <w:r>
        <w:rPr>
          <w:rFonts w:ascii="Cambria" w:eastAsia="Cambria" w:hAnsi="Cambria" w:cs="Cambria"/>
          <w:i/>
        </w:rPr>
        <w:t xml:space="preserve">Q </w:t>
      </w:r>
      <w:r>
        <w:rPr>
          <w:rFonts w:ascii="Cambria" w:eastAsia="Cambria" w:hAnsi="Cambria" w:cs="Cambria"/>
        </w:rPr>
        <w:t xml:space="preserve">of having a default occurring before </w:t>
      </w:r>
      <w:r>
        <w:rPr>
          <w:rFonts w:ascii="Cambria" w:eastAsia="Cambria" w:hAnsi="Cambria" w:cs="Cambria"/>
          <w:i/>
        </w:rPr>
        <w:t xml:space="preserve">t </w:t>
      </w:r>
      <w:r>
        <w:rPr>
          <w:rFonts w:ascii="Cambria" w:eastAsia="Cambria" w:hAnsi="Cambria" w:cs="Cambria"/>
        </w:rPr>
        <w:t xml:space="preserve">with </w:t>
      </w:r>
      <w:r>
        <w:rPr>
          <w:rFonts w:ascii="Cambria" w:eastAsia="Cambria" w:hAnsi="Cambria" w:cs="Cambria"/>
          <w:i/>
        </w:rPr>
        <w:t xml:space="preserve">t &lt; T </w:t>
      </w:r>
      <w:r>
        <w:rPr>
          <w:rFonts w:ascii="Cambria" w:eastAsia="Cambria" w:hAnsi="Cambria" w:cs="Cambria"/>
        </w:rPr>
        <w:t xml:space="preserve">is the probability for the asset value </w:t>
      </w:r>
      <w:r>
        <w:rPr>
          <w:rFonts w:ascii="Cambria" w:eastAsia="Cambria" w:hAnsi="Cambria" w:cs="Cambria"/>
          <w:i/>
        </w:rPr>
        <w:t>A</w:t>
      </w:r>
      <w:r>
        <w:rPr>
          <w:rFonts w:ascii="Cambria" w:eastAsia="Cambria" w:hAnsi="Cambria" w:cs="Cambria"/>
          <w:i/>
          <w:vertAlign w:val="subscript"/>
        </w:rPr>
        <w:t xml:space="preserve">t </w:t>
      </w:r>
      <w:r>
        <w:rPr>
          <w:rFonts w:ascii="Cambria" w:eastAsia="Cambria" w:hAnsi="Cambria" w:cs="Cambria"/>
        </w:rPr>
        <w:t xml:space="preserve">of getting lower or equal to the barrier </w:t>
      </w:r>
      <w:r>
        <w:rPr>
          <w:rFonts w:ascii="Cambria" w:eastAsia="Cambria" w:hAnsi="Cambria" w:cs="Cambria"/>
          <w:i/>
        </w:rPr>
        <w:t>K</w:t>
      </w:r>
      <w:r>
        <w:rPr>
          <w:rFonts w:ascii="Cambria" w:eastAsia="Cambria" w:hAnsi="Cambria" w:cs="Cambria"/>
          <w:i/>
          <w:vertAlign w:val="subscript"/>
        </w:rPr>
        <w:t>t</w:t>
      </w:r>
      <w:r>
        <w:rPr>
          <w:rFonts w:ascii="Cambria" w:eastAsia="Cambria" w:hAnsi="Cambria" w:cs="Cambria"/>
        </w:rPr>
        <w:t>: with</w:t>
      </w:r>
      <w:r>
        <w:rPr>
          <w:noProof/>
        </w:rPr>
        <w:drawing>
          <wp:inline distT="0" distB="0" distL="0" distR="0">
            <wp:extent cx="3538728" cy="569976"/>
            <wp:effectExtent l="0" t="0" r="0" b="0"/>
            <wp:docPr id="221931" name="Picture 221931"/>
            <wp:cNvGraphicFramePr/>
            <a:graphic xmlns:a="http://schemas.openxmlformats.org/drawingml/2006/main">
              <a:graphicData uri="http://schemas.openxmlformats.org/drawingml/2006/picture">
                <pic:pic xmlns:pic="http://schemas.openxmlformats.org/drawingml/2006/picture">
                  <pic:nvPicPr>
                    <pic:cNvPr id="221931" name="Picture 221931"/>
                    <pic:cNvPicPr/>
                  </pic:nvPicPr>
                  <pic:blipFill>
                    <a:blip r:embed="rId148"/>
                    <a:stretch>
                      <a:fillRect/>
                    </a:stretch>
                  </pic:blipFill>
                  <pic:spPr>
                    <a:xfrm>
                      <a:off x="0" y="0"/>
                      <a:ext cx="3538728" cy="569976"/>
                    </a:xfrm>
                    <a:prstGeom prst="rect">
                      <a:avLst/>
                    </a:prstGeom>
                  </pic:spPr>
                </pic:pic>
              </a:graphicData>
            </a:graphic>
          </wp:inline>
        </w:drawing>
      </w:r>
    </w:p>
    <w:p w:rsidR="00EE13F6" w:rsidRDefault="002E5BC4">
      <w:pPr>
        <w:spacing w:after="433" w:line="264" w:lineRule="auto"/>
        <w:ind w:left="-5" w:right="468" w:hanging="10"/>
        <w:jc w:val="both"/>
      </w:pPr>
      <w:r>
        <w:rPr>
          <w:rFonts w:ascii="Cambria" w:eastAsia="Cambria" w:hAnsi="Cambria" w:cs="Cambria"/>
        </w:rPr>
        <w:t>The formula can be expressed as:</w:t>
      </w:r>
    </w:p>
    <w:p w:rsidR="00EE13F6" w:rsidRDefault="002E5BC4">
      <w:pPr>
        <w:spacing w:after="177" w:line="221" w:lineRule="auto"/>
        <w:ind w:left="3247" w:right="3170" w:hanging="289"/>
      </w:pPr>
      <w:r>
        <w:rPr>
          <w:rFonts w:ascii="Cambria" w:eastAsia="Cambria" w:hAnsi="Cambria" w:cs="Cambria"/>
          <w:i/>
        </w:rPr>
        <w:t>Q</w:t>
      </w:r>
      <w:r>
        <w:rPr>
          <w:rFonts w:ascii="Cambria" w:eastAsia="Cambria" w:hAnsi="Cambria" w:cs="Cambria"/>
        </w:rPr>
        <w:t>[min</w:t>
      </w:r>
      <w:r>
        <w:rPr>
          <w:rFonts w:ascii="Cambria" w:eastAsia="Cambria" w:hAnsi="Cambria" w:cs="Cambria"/>
          <w:i/>
        </w:rPr>
        <w:t>X</w:t>
      </w:r>
      <w:r>
        <w:rPr>
          <w:rFonts w:ascii="Cambria" w:eastAsia="Cambria" w:hAnsi="Cambria" w:cs="Cambria"/>
          <w:i/>
          <w:vertAlign w:val="subscript"/>
        </w:rPr>
        <w:t xml:space="preserve">t </w:t>
      </w:r>
      <w:r>
        <w:rPr>
          <w:rFonts w:ascii="Cambria" w:eastAsia="Cambria" w:hAnsi="Cambria" w:cs="Cambria"/>
          <w:i/>
        </w:rPr>
        <w:t>&lt; d</w:t>
      </w:r>
      <w:r>
        <w:rPr>
          <w:rFonts w:ascii="Cambria" w:eastAsia="Cambria" w:hAnsi="Cambria" w:cs="Cambria"/>
        </w:rPr>
        <w:t xml:space="preserve">] = 1 − </w:t>
      </w:r>
      <w:r>
        <w:rPr>
          <w:rFonts w:ascii="Cambria" w:eastAsia="Cambria" w:hAnsi="Cambria" w:cs="Cambria"/>
          <w:i/>
        </w:rPr>
        <w:t>FP</w:t>
      </w:r>
      <w:r>
        <w:rPr>
          <w:rFonts w:ascii="Cambria" w:eastAsia="Cambria" w:hAnsi="Cambria" w:cs="Cambria"/>
        </w:rPr>
        <w:t>(−</w:t>
      </w:r>
      <w:r>
        <w:rPr>
          <w:rFonts w:ascii="Cambria" w:eastAsia="Cambria" w:hAnsi="Cambria" w:cs="Cambria"/>
          <w:i/>
        </w:rPr>
        <w:t>d,</w:t>
      </w:r>
      <w:r>
        <w:rPr>
          <w:rFonts w:ascii="Cambria" w:eastAsia="Cambria" w:hAnsi="Cambria" w:cs="Cambria"/>
        </w:rPr>
        <w:t>−</w:t>
      </w:r>
      <w:r>
        <w:rPr>
          <w:rFonts w:ascii="Cambria" w:eastAsia="Cambria" w:hAnsi="Cambria" w:cs="Cambria"/>
          <w:i/>
        </w:rPr>
        <w:t>m,t</w:t>
      </w:r>
      <w:r>
        <w:rPr>
          <w:rFonts w:ascii="Cambria" w:eastAsia="Cambria" w:hAnsi="Cambria" w:cs="Cambria"/>
        </w:rPr>
        <w:t xml:space="preserve">) </w:t>
      </w:r>
      <w:r>
        <w:rPr>
          <w:rFonts w:ascii="Cambria" w:eastAsia="Cambria" w:hAnsi="Cambria" w:cs="Cambria"/>
          <w:i/>
          <w:sz w:val="16"/>
        </w:rPr>
        <w:t>s</w:t>
      </w:r>
      <w:r>
        <w:rPr>
          <w:rFonts w:ascii="Cambria" w:eastAsia="Cambria" w:hAnsi="Cambria" w:cs="Cambria"/>
          <w:sz w:val="16"/>
        </w:rPr>
        <w:t>≤</w:t>
      </w:r>
      <w:r>
        <w:rPr>
          <w:rFonts w:ascii="Cambria" w:eastAsia="Cambria" w:hAnsi="Cambria" w:cs="Cambria"/>
          <w:i/>
          <w:sz w:val="16"/>
        </w:rPr>
        <w:t>t</w:t>
      </w:r>
    </w:p>
    <w:p w:rsidR="00EE13F6" w:rsidRDefault="002E5BC4">
      <w:pPr>
        <w:spacing w:after="37" w:line="264" w:lineRule="auto"/>
        <w:ind w:left="-5" w:right="468" w:hanging="10"/>
        <w:jc w:val="both"/>
      </w:pPr>
      <w:r>
        <w:rPr>
          <w:rFonts w:ascii="Cambria" w:eastAsia="Cambria" w:hAnsi="Cambria" w:cs="Cambria"/>
        </w:rPr>
        <w:t>with</w:t>
      </w:r>
    </w:p>
    <w:p w:rsidR="00EE13F6" w:rsidRDefault="002E5BC4">
      <w:pPr>
        <w:spacing w:after="290"/>
        <w:ind w:left="2360"/>
      </w:pPr>
      <w:r>
        <w:rPr>
          <w:noProof/>
        </w:rPr>
        <w:drawing>
          <wp:inline distT="0" distB="0" distL="0" distR="0">
            <wp:extent cx="2871216" cy="335280"/>
            <wp:effectExtent l="0" t="0" r="0" b="0"/>
            <wp:docPr id="221932" name="Picture 221932"/>
            <wp:cNvGraphicFramePr/>
            <a:graphic xmlns:a="http://schemas.openxmlformats.org/drawingml/2006/main">
              <a:graphicData uri="http://schemas.openxmlformats.org/drawingml/2006/picture">
                <pic:pic xmlns:pic="http://schemas.openxmlformats.org/drawingml/2006/picture">
                  <pic:nvPicPr>
                    <pic:cNvPr id="221932" name="Picture 221932"/>
                    <pic:cNvPicPr/>
                  </pic:nvPicPr>
                  <pic:blipFill>
                    <a:blip r:embed="rId149"/>
                    <a:stretch>
                      <a:fillRect/>
                    </a:stretch>
                  </pic:blipFill>
                  <pic:spPr>
                    <a:xfrm>
                      <a:off x="0" y="0"/>
                      <a:ext cx="2871216" cy="335280"/>
                    </a:xfrm>
                    <a:prstGeom prst="rect">
                      <a:avLst/>
                    </a:prstGeom>
                  </pic:spPr>
                </pic:pic>
              </a:graphicData>
            </a:graphic>
          </wp:inline>
        </w:drawing>
      </w:r>
    </w:p>
    <w:p w:rsidR="00EE13F6" w:rsidRDefault="002E5BC4" w:rsidP="002E5BC4">
      <w:pPr>
        <w:numPr>
          <w:ilvl w:val="0"/>
          <w:numId w:val="34"/>
        </w:numPr>
        <w:spacing w:after="139" w:line="257" w:lineRule="auto"/>
        <w:ind w:right="361" w:hanging="321"/>
      </w:pPr>
      <w:r>
        <w:rPr>
          <w:rFonts w:ascii="Cambria" w:eastAsia="Cambria" w:hAnsi="Cambria" w:cs="Cambria"/>
          <w:b/>
        </w:rPr>
        <w:t>Shareholder’s Value</w:t>
      </w:r>
    </w:p>
    <w:p w:rsidR="00EE13F6" w:rsidRDefault="002E5BC4">
      <w:pPr>
        <w:spacing w:after="130" w:line="264" w:lineRule="auto"/>
        <w:ind w:left="-5" w:right="468" w:hanging="10"/>
        <w:jc w:val="both"/>
      </w:pPr>
      <w:r>
        <w:rPr>
          <w:rFonts w:ascii="Cambria" w:eastAsia="Cambria" w:hAnsi="Cambria" w:cs="Cambria"/>
        </w:rPr>
        <w:t>Because shareholders get a payment at maturity only if there is no default in between and the amount of asset is sufficient to pay-off the debt, the payout at ma</w:t>
      </w:r>
      <w:r>
        <w:rPr>
          <w:rFonts w:ascii="Cambria" w:eastAsia="Cambria" w:hAnsi="Cambria" w:cs="Cambria"/>
        </w:rPr>
        <w:t xml:space="preserve">turity is similar to the pay-off of a Down and </w:t>
      </w:r>
      <w:r>
        <w:rPr>
          <w:rFonts w:ascii="Cambria" w:eastAsia="Cambria" w:hAnsi="Cambria" w:cs="Cambria"/>
        </w:rPr>
        <w:lastRenderedPageBreak/>
        <w:t>Out call option on the capitalized initial asset price whose strike price is K. The value of the share can be then derived by using the well know calculation closed formula for such barrier option derived from</w:t>
      </w:r>
      <w:r>
        <w:rPr>
          <w:rFonts w:ascii="Cambria" w:eastAsia="Cambria" w:hAnsi="Cambria" w:cs="Cambria"/>
        </w:rPr>
        <w:t xml:space="preserve"> Black and Scholes.</w:t>
      </w:r>
    </w:p>
    <w:p w:rsidR="00EE13F6" w:rsidRDefault="002E5BC4">
      <w:pPr>
        <w:spacing w:after="0" w:line="264" w:lineRule="auto"/>
        <w:ind w:left="-5" w:right="468" w:hanging="10"/>
        <w:jc w:val="both"/>
      </w:pPr>
      <w:r>
        <w:rPr>
          <w:rFonts w:ascii="Cambria" w:eastAsia="Cambria" w:hAnsi="Cambria" w:cs="Cambria"/>
        </w:rPr>
        <w:t>We designate the characteristic function which is is equal to 1 whenever there is no time value such that the barrier is touched before maturity (respectively zero whenever the barrier is touched before maturity) by:</w:t>
      </w:r>
    </w:p>
    <w:p w:rsidR="00EE13F6" w:rsidRDefault="002E5BC4">
      <w:pPr>
        <w:spacing w:after="296"/>
        <w:ind w:left="4020"/>
      </w:pPr>
      <w:r>
        <w:rPr>
          <w:noProof/>
        </w:rPr>
        <w:drawing>
          <wp:inline distT="0" distB="0" distL="0" distR="0">
            <wp:extent cx="813816" cy="219456"/>
            <wp:effectExtent l="0" t="0" r="0" b="0"/>
            <wp:docPr id="221933" name="Picture 221933"/>
            <wp:cNvGraphicFramePr/>
            <a:graphic xmlns:a="http://schemas.openxmlformats.org/drawingml/2006/main">
              <a:graphicData uri="http://schemas.openxmlformats.org/drawingml/2006/picture">
                <pic:pic xmlns:pic="http://schemas.openxmlformats.org/drawingml/2006/picture">
                  <pic:nvPicPr>
                    <pic:cNvPr id="221933" name="Picture 221933"/>
                    <pic:cNvPicPr/>
                  </pic:nvPicPr>
                  <pic:blipFill>
                    <a:blip r:embed="rId150"/>
                    <a:stretch>
                      <a:fillRect/>
                    </a:stretch>
                  </pic:blipFill>
                  <pic:spPr>
                    <a:xfrm>
                      <a:off x="0" y="0"/>
                      <a:ext cx="813816" cy="219456"/>
                    </a:xfrm>
                    <a:prstGeom prst="rect">
                      <a:avLst/>
                    </a:prstGeom>
                  </pic:spPr>
                </pic:pic>
              </a:graphicData>
            </a:graphic>
          </wp:inline>
        </w:drawing>
      </w:r>
    </w:p>
    <w:p w:rsidR="00EE13F6" w:rsidRDefault="002E5BC4">
      <w:pPr>
        <w:spacing w:after="2" w:line="264" w:lineRule="auto"/>
        <w:ind w:left="-5" w:right="468" w:hanging="10"/>
        <w:jc w:val="both"/>
      </w:pPr>
      <w:r>
        <w:rPr>
          <w:rFonts w:ascii="Cambria" w:eastAsia="Cambria" w:hAnsi="Cambria" w:cs="Cambria"/>
        </w:rPr>
        <w:t>The value of the share then writes:</w:t>
      </w:r>
    </w:p>
    <w:tbl>
      <w:tblPr>
        <w:tblStyle w:val="TableGrid"/>
        <w:tblW w:w="9360" w:type="dxa"/>
        <w:tblInd w:w="0" w:type="dxa"/>
        <w:tblCellMar>
          <w:top w:w="12" w:type="dxa"/>
          <w:left w:w="0" w:type="dxa"/>
          <w:bottom w:w="21" w:type="dxa"/>
          <w:right w:w="0" w:type="dxa"/>
        </w:tblCellMar>
        <w:tblLook w:val="04A0" w:firstRow="1" w:lastRow="0" w:firstColumn="1" w:lastColumn="0" w:noHBand="0" w:noVBand="1"/>
      </w:tblPr>
      <w:tblGrid>
        <w:gridCol w:w="8948"/>
        <w:gridCol w:w="412"/>
      </w:tblGrid>
      <w:tr w:rsidR="00EE13F6">
        <w:trPr>
          <w:trHeight w:val="910"/>
        </w:trPr>
        <w:tc>
          <w:tcPr>
            <w:tcW w:w="8972" w:type="dxa"/>
            <w:tcBorders>
              <w:top w:val="nil"/>
              <w:left w:val="nil"/>
              <w:bottom w:val="nil"/>
              <w:right w:val="nil"/>
            </w:tcBorders>
          </w:tcPr>
          <w:p w:rsidR="00EE13F6" w:rsidRDefault="002E5BC4">
            <w:pPr>
              <w:spacing w:after="268" w:line="219" w:lineRule="auto"/>
              <w:ind w:left="4964" w:right="2581" w:hanging="1686"/>
            </w:pPr>
            <w:r>
              <w:rPr>
                <w:rFonts w:ascii="Cambria" w:eastAsia="Cambria" w:hAnsi="Cambria" w:cs="Cambria"/>
              </w:rPr>
              <w:t>max[</w:t>
            </w:r>
            <w:r>
              <w:rPr>
                <w:rFonts w:ascii="Cambria" w:eastAsia="Cambria" w:hAnsi="Cambria" w:cs="Cambria"/>
                <w:i/>
              </w:rPr>
              <w:t>A</w:t>
            </w:r>
            <w:r>
              <w:rPr>
                <w:rFonts w:ascii="Cambria" w:eastAsia="Cambria" w:hAnsi="Cambria" w:cs="Cambria"/>
                <w:i/>
                <w:vertAlign w:val="subscript"/>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K,</w:t>
            </w:r>
            <w:r>
              <w:rPr>
                <w:rFonts w:ascii="Cambria" w:eastAsia="Cambria" w:hAnsi="Cambria" w:cs="Cambria"/>
              </w:rPr>
              <w:t>0]</w:t>
            </w:r>
            <w:r>
              <w:rPr>
                <w:rFonts w:ascii="Cambria" w:eastAsia="Cambria" w:hAnsi="Cambria" w:cs="Cambria"/>
                <w:b/>
              </w:rPr>
              <w:t>1</w:t>
            </w:r>
            <w:r>
              <w:rPr>
                <w:rFonts w:ascii="Cambria" w:eastAsia="Cambria" w:hAnsi="Cambria" w:cs="Cambria"/>
              </w:rPr>
              <w:t>[min</w:t>
            </w:r>
            <w:r>
              <w:rPr>
                <w:rFonts w:ascii="Cambria" w:eastAsia="Cambria" w:hAnsi="Cambria" w:cs="Cambria"/>
                <w:i/>
              </w:rPr>
              <w:t>X</w:t>
            </w:r>
            <w:r>
              <w:rPr>
                <w:rFonts w:ascii="Cambria" w:eastAsia="Cambria" w:hAnsi="Cambria" w:cs="Cambria"/>
                <w:i/>
                <w:vertAlign w:val="subscript"/>
              </w:rPr>
              <w:t xml:space="preserve">s </w:t>
            </w:r>
            <w:r>
              <w:rPr>
                <w:rFonts w:ascii="Cambria" w:eastAsia="Cambria" w:hAnsi="Cambria" w:cs="Cambria"/>
                <w:i/>
              </w:rPr>
              <w:t>&gt; d</w:t>
            </w:r>
            <w:r>
              <w:rPr>
                <w:rFonts w:ascii="Cambria" w:eastAsia="Cambria" w:hAnsi="Cambria" w:cs="Cambria"/>
              </w:rPr>
              <w:t xml:space="preserve">] </w:t>
            </w:r>
            <w:r>
              <w:rPr>
                <w:rFonts w:ascii="Cambria" w:eastAsia="Cambria" w:hAnsi="Cambria" w:cs="Cambria"/>
                <w:i/>
                <w:sz w:val="16"/>
              </w:rPr>
              <w:t>s</w:t>
            </w:r>
            <w:r>
              <w:rPr>
                <w:rFonts w:ascii="Cambria" w:eastAsia="Cambria" w:hAnsi="Cambria" w:cs="Cambria"/>
                <w:sz w:val="16"/>
              </w:rPr>
              <w:t>≤</w:t>
            </w:r>
            <w:r>
              <w:rPr>
                <w:rFonts w:ascii="Cambria" w:eastAsia="Cambria" w:hAnsi="Cambria" w:cs="Cambria"/>
                <w:i/>
                <w:sz w:val="16"/>
              </w:rPr>
              <w:t>T</w:t>
            </w:r>
          </w:p>
          <w:p w:rsidR="00EE13F6" w:rsidRDefault="002E5BC4">
            <w:pPr>
              <w:spacing w:after="0"/>
            </w:pPr>
            <w:r>
              <w:rPr>
                <w:rFonts w:ascii="Cambria" w:eastAsia="Cambria" w:hAnsi="Cambria" w:cs="Cambria"/>
              </w:rPr>
              <w:t>It can also be expressed as:</w:t>
            </w:r>
          </w:p>
        </w:tc>
        <w:tc>
          <w:tcPr>
            <w:tcW w:w="388" w:type="dxa"/>
            <w:tcBorders>
              <w:top w:val="nil"/>
              <w:left w:val="nil"/>
              <w:bottom w:val="nil"/>
              <w:right w:val="nil"/>
            </w:tcBorders>
          </w:tcPr>
          <w:p w:rsidR="00EE13F6" w:rsidRDefault="002E5BC4">
            <w:pPr>
              <w:spacing w:after="0"/>
              <w:jc w:val="both"/>
            </w:pPr>
            <w:r>
              <w:rPr>
                <w:rFonts w:ascii="Cambria" w:eastAsia="Cambria" w:hAnsi="Cambria" w:cs="Cambria"/>
              </w:rPr>
              <w:t>(11)</w:t>
            </w:r>
          </w:p>
        </w:tc>
      </w:tr>
      <w:tr w:rsidR="00EE13F6">
        <w:trPr>
          <w:trHeight w:val="434"/>
        </w:trPr>
        <w:tc>
          <w:tcPr>
            <w:tcW w:w="8972" w:type="dxa"/>
            <w:tcBorders>
              <w:top w:val="nil"/>
              <w:left w:val="nil"/>
              <w:bottom w:val="nil"/>
              <w:right w:val="nil"/>
            </w:tcBorders>
          </w:tcPr>
          <w:p w:rsidR="00EE13F6" w:rsidRDefault="002E5BC4">
            <w:pPr>
              <w:spacing w:after="39"/>
              <w:ind w:left="3262"/>
            </w:pPr>
            <w:r>
              <w:rPr>
                <w:rFonts w:ascii="Cambria" w:eastAsia="Cambria" w:hAnsi="Cambria" w:cs="Cambria"/>
              </w:rPr>
              <w:t>h</w:t>
            </w:r>
          </w:p>
          <w:p w:rsidR="00EE13F6" w:rsidRDefault="002E5BC4">
            <w:pPr>
              <w:spacing w:after="0"/>
              <w:ind w:left="388"/>
              <w:jc w:val="center"/>
            </w:pPr>
            <w:r>
              <w:rPr>
                <w:rFonts w:ascii="Cambria" w:eastAsia="Cambria" w:hAnsi="Cambria" w:cs="Cambria"/>
              </w:rPr>
              <w:t xml:space="preserve">max </w:t>
            </w:r>
            <w:r>
              <w:rPr>
                <w:rFonts w:ascii="Cambria" w:eastAsia="Cambria" w:hAnsi="Cambria" w:cs="Cambria"/>
                <w:i/>
              </w:rPr>
              <w:t>A</w:t>
            </w:r>
            <w:r>
              <w:rPr>
                <w:rFonts w:ascii="Cambria" w:eastAsia="Cambria" w:hAnsi="Cambria" w:cs="Cambria"/>
                <w:vertAlign w:val="subscript"/>
              </w:rPr>
              <w:t>0</w:t>
            </w:r>
            <w:r>
              <w:rPr>
                <w:rFonts w:ascii="Cambria" w:eastAsia="Cambria" w:hAnsi="Cambria" w:cs="Cambria"/>
                <w:i/>
              </w:rPr>
              <w:t>e</w:t>
            </w:r>
            <w:r>
              <w:rPr>
                <w:rFonts w:ascii="Cambria" w:eastAsia="Cambria" w:hAnsi="Cambria" w:cs="Cambria"/>
                <w:i/>
                <w:vertAlign w:val="superscript"/>
              </w:rPr>
              <w:t>kT</w:t>
            </w:r>
            <w:r>
              <w:rPr>
                <w:rFonts w:ascii="Cambria" w:eastAsia="Cambria" w:hAnsi="Cambria" w:cs="Cambria"/>
                <w:i/>
              </w:rPr>
              <w:t>e</w:t>
            </w:r>
            <w:r>
              <w:rPr>
                <w:rFonts w:ascii="Cambria" w:eastAsia="Cambria" w:hAnsi="Cambria" w:cs="Cambria"/>
                <w:i/>
                <w:vertAlign w:val="superscript"/>
              </w:rPr>
              <w:t>σX</w:t>
            </w:r>
            <w:r>
              <w:rPr>
                <w:rFonts w:ascii="Cambria" w:eastAsia="Cambria" w:hAnsi="Cambria" w:cs="Cambria"/>
                <w:i/>
                <w:sz w:val="18"/>
                <w:vertAlign w:val="superscript"/>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K,</w:t>
            </w:r>
            <w:r>
              <w:rPr>
                <w:rFonts w:ascii="Cambria" w:eastAsia="Cambria" w:hAnsi="Cambria" w:cs="Cambria"/>
              </w:rPr>
              <w:t>0</w:t>
            </w:r>
            <w:r>
              <w:rPr>
                <w:rFonts w:ascii="Cambria" w:eastAsia="Cambria" w:hAnsi="Cambria" w:cs="Cambria"/>
                <w:sz w:val="34"/>
                <w:vertAlign w:val="superscript"/>
              </w:rPr>
              <w:t>i</w:t>
            </w:r>
            <w:r>
              <w:rPr>
                <w:rFonts w:ascii="Cambria" w:eastAsia="Cambria" w:hAnsi="Cambria" w:cs="Cambria"/>
                <w:b/>
              </w:rPr>
              <w:t>1</w:t>
            </w:r>
            <w:r>
              <w:rPr>
                <w:rFonts w:ascii="Cambria" w:eastAsia="Cambria" w:hAnsi="Cambria" w:cs="Cambria"/>
              </w:rPr>
              <w:t>[min</w:t>
            </w:r>
            <w:r>
              <w:rPr>
                <w:rFonts w:ascii="Cambria" w:eastAsia="Cambria" w:hAnsi="Cambria" w:cs="Cambria"/>
                <w:i/>
              </w:rPr>
              <w:t>X</w:t>
            </w:r>
            <w:r>
              <w:rPr>
                <w:rFonts w:ascii="Cambria" w:eastAsia="Cambria" w:hAnsi="Cambria" w:cs="Cambria"/>
                <w:i/>
                <w:vertAlign w:val="subscript"/>
              </w:rPr>
              <w:t xml:space="preserve">s </w:t>
            </w:r>
            <w:r>
              <w:rPr>
                <w:rFonts w:ascii="Cambria" w:eastAsia="Cambria" w:hAnsi="Cambria" w:cs="Cambria"/>
                <w:i/>
              </w:rPr>
              <w:t>&gt; d</w:t>
            </w:r>
            <w:r>
              <w:rPr>
                <w:rFonts w:ascii="Cambria" w:eastAsia="Cambria" w:hAnsi="Cambria" w:cs="Cambria"/>
              </w:rPr>
              <w:t>]</w:t>
            </w:r>
          </w:p>
        </w:tc>
        <w:tc>
          <w:tcPr>
            <w:tcW w:w="388" w:type="dxa"/>
            <w:tcBorders>
              <w:top w:val="nil"/>
              <w:left w:val="nil"/>
              <w:bottom w:val="nil"/>
              <w:right w:val="nil"/>
            </w:tcBorders>
            <w:vAlign w:val="bottom"/>
          </w:tcPr>
          <w:p w:rsidR="00EE13F6" w:rsidRDefault="002E5BC4">
            <w:pPr>
              <w:spacing w:after="0"/>
              <w:jc w:val="both"/>
            </w:pPr>
            <w:r>
              <w:rPr>
                <w:rFonts w:ascii="Cambria" w:eastAsia="Cambria" w:hAnsi="Cambria" w:cs="Cambria"/>
              </w:rPr>
              <w:t>(12)</w:t>
            </w:r>
          </w:p>
        </w:tc>
      </w:tr>
    </w:tbl>
    <w:p w:rsidR="00EE13F6" w:rsidRDefault="002E5BC4">
      <w:pPr>
        <w:spacing w:after="270"/>
        <w:ind w:left="1320" w:hanging="10"/>
        <w:jc w:val="center"/>
      </w:pPr>
      <w:r>
        <w:rPr>
          <w:rFonts w:ascii="Cambria" w:eastAsia="Cambria" w:hAnsi="Cambria" w:cs="Cambria"/>
          <w:i/>
          <w:sz w:val="16"/>
        </w:rPr>
        <w:t>s</w:t>
      </w:r>
      <w:r>
        <w:rPr>
          <w:rFonts w:ascii="Cambria" w:eastAsia="Cambria" w:hAnsi="Cambria" w:cs="Cambria"/>
          <w:sz w:val="16"/>
        </w:rPr>
        <w:t>≤</w:t>
      </w:r>
      <w:r>
        <w:rPr>
          <w:rFonts w:ascii="Cambria" w:eastAsia="Cambria" w:hAnsi="Cambria" w:cs="Cambria"/>
          <w:i/>
          <w:sz w:val="16"/>
        </w:rPr>
        <w:t>T</w:t>
      </w:r>
    </w:p>
    <w:p w:rsidR="00EE13F6" w:rsidRDefault="002E5BC4" w:rsidP="002E5BC4">
      <w:pPr>
        <w:numPr>
          <w:ilvl w:val="0"/>
          <w:numId w:val="34"/>
        </w:numPr>
        <w:spacing w:after="171" w:line="257" w:lineRule="auto"/>
        <w:ind w:right="361" w:hanging="321"/>
      </w:pPr>
      <w:r>
        <w:rPr>
          <w:rFonts w:ascii="Cambria" w:eastAsia="Cambria" w:hAnsi="Cambria" w:cs="Cambria"/>
          <w:b/>
        </w:rPr>
        <w:t>Bond value</w:t>
      </w:r>
    </w:p>
    <w:p w:rsidR="00EE13F6" w:rsidRDefault="002E5BC4">
      <w:pPr>
        <w:spacing w:after="159" w:line="264" w:lineRule="auto"/>
        <w:ind w:left="-5" w:right="468" w:hanging="10"/>
        <w:jc w:val="both"/>
      </w:pPr>
      <w:r>
        <w:rPr>
          <w:rFonts w:ascii="Cambria" w:eastAsia="Cambria" w:hAnsi="Cambria" w:cs="Cambria"/>
        </w:rPr>
        <w:t xml:space="preserve">In case of default, the pay-off for bond holders is exactly </w:t>
      </w:r>
      <w:r>
        <w:rPr>
          <w:rFonts w:ascii="Cambria" w:eastAsia="Cambria" w:hAnsi="Cambria" w:cs="Cambria"/>
          <w:i/>
        </w:rPr>
        <w:t>A</w:t>
      </w:r>
      <w:r>
        <w:rPr>
          <w:rFonts w:ascii="Cambria" w:eastAsia="Cambria" w:hAnsi="Cambria" w:cs="Cambria"/>
          <w:i/>
          <w:vertAlign w:val="subscript"/>
        </w:rPr>
        <w:t xml:space="preserve">τ </w:t>
      </w:r>
      <w:r>
        <w:rPr>
          <w:rFonts w:ascii="Cambria" w:eastAsia="Cambria" w:hAnsi="Cambria" w:cs="Cambria"/>
        </w:rPr>
        <w:t xml:space="preserve">= </w:t>
      </w:r>
      <w:r>
        <w:rPr>
          <w:rFonts w:ascii="Cambria" w:eastAsia="Cambria" w:hAnsi="Cambria" w:cs="Cambria"/>
          <w:i/>
        </w:rPr>
        <w:t>D</w:t>
      </w:r>
      <w:r>
        <w:rPr>
          <w:rFonts w:ascii="Cambria" w:eastAsia="Cambria" w:hAnsi="Cambria" w:cs="Cambria"/>
        </w:rPr>
        <w:t>(</w:t>
      </w:r>
      <w:r>
        <w:rPr>
          <w:rFonts w:ascii="Cambria" w:eastAsia="Cambria" w:hAnsi="Cambria" w:cs="Cambria"/>
          <w:i/>
        </w:rPr>
        <w:t>τ</w:t>
      </w:r>
      <w:r>
        <w:rPr>
          <w:rFonts w:ascii="Cambria" w:eastAsia="Cambria" w:hAnsi="Cambria" w:cs="Cambria"/>
        </w:rPr>
        <w:t>). Given the probability of default, this information allows to compute the CDS spread value insuring bond holders against the risk of corporate default. Alternatively to this ”Credit derivatives” based bond calculation, one can compute the value of the bo</w:t>
      </w:r>
      <w:r>
        <w:rPr>
          <w:rFonts w:ascii="Cambria" w:eastAsia="Cambria" w:hAnsi="Cambria" w:cs="Cambria"/>
        </w:rPr>
        <w:t>nd debt at any time by considering that the bond value will be the sum of:</w:t>
      </w:r>
    </w:p>
    <w:p w:rsidR="00EE13F6" w:rsidRDefault="002E5BC4" w:rsidP="002E5BC4">
      <w:pPr>
        <w:numPr>
          <w:ilvl w:val="0"/>
          <w:numId w:val="35"/>
        </w:numPr>
        <w:spacing w:after="170" w:line="264" w:lineRule="auto"/>
        <w:ind w:right="468" w:hanging="145"/>
        <w:jc w:val="both"/>
      </w:pPr>
      <w:r>
        <w:rPr>
          <w:rFonts w:ascii="Cambria" w:eastAsia="Cambria" w:hAnsi="Cambria" w:cs="Cambria"/>
        </w:rPr>
        <w:t xml:space="preserve">A recovery value in case of default </w:t>
      </w:r>
      <w:r>
        <w:rPr>
          <w:rFonts w:ascii="Cambria" w:eastAsia="Cambria" w:hAnsi="Cambria" w:cs="Cambria"/>
          <w:i/>
        </w:rPr>
        <w:t>RV</w:t>
      </w:r>
    </w:p>
    <w:p w:rsidR="00EE13F6" w:rsidRDefault="002E5BC4" w:rsidP="002E5BC4">
      <w:pPr>
        <w:numPr>
          <w:ilvl w:val="0"/>
          <w:numId w:val="35"/>
        </w:numPr>
        <w:spacing w:after="130" w:line="264" w:lineRule="auto"/>
        <w:ind w:right="468" w:hanging="145"/>
        <w:jc w:val="both"/>
      </w:pPr>
      <w:r>
        <w:rPr>
          <w:rFonts w:ascii="Cambria" w:eastAsia="Cambria" w:hAnsi="Cambria" w:cs="Cambria"/>
        </w:rPr>
        <w:t xml:space="preserve">A contingent pay-off at maturity </w:t>
      </w:r>
      <w:r>
        <w:rPr>
          <w:rFonts w:ascii="Cambria" w:eastAsia="Cambria" w:hAnsi="Cambria" w:cs="Cambria"/>
          <w:i/>
        </w:rPr>
        <w:t>CP</w:t>
      </w:r>
    </w:p>
    <w:p w:rsidR="00EE13F6" w:rsidRDefault="002E5BC4">
      <w:pPr>
        <w:spacing w:after="80" w:line="264" w:lineRule="auto"/>
        <w:ind w:left="-5" w:right="468" w:hanging="10"/>
        <w:jc w:val="both"/>
      </w:pPr>
      <w:r>
        <w:rPr>
          <w:rFonts w:ascii="Cambria" w:eastAsia="Cambria" w:hAnsi="Cambria" w:cs="Cambria"/>
        </w:rPr>
        <w:t>This writes:</w:t>
      </w:r>
    </w:p>
    <w:p w:rsidR="00EE13F6" w:rsidRDefault="002E5BC4">
      <w:pPr>
        <w:spacing w:after="315" w:line="265" w:lineRule="auto"/>
        <w:ind w:left="1530" w:right="468" w:hanging="10"/>
        <w:jc w:val="right"/>
      </w:pPr>
      <w:r>
        <w:rPr>
          <w:noProof/>
        </w:rPr>
        <w:drawing>
          <wp:anchor distT="0" distB="0" distL="114300" distR="114300" simplePos="0" relativeHeight="251663360" behindDoc="0" locked="0" layoutInCell="1" allowOverlap="0">
            <wp:simplePos x="0" y="0"/>
            <wp:positionH relativeFrom="column">
              <wp:posOffset>279402</wp:posOffset>
            </wp:positionH>
            <wp:positionV relativeFrom="paragraph">
              <wp:posOffset>-155931</wp:posOffset>
            </wp:positionV>
            <wp:extent cx="4029456" cy="688848"/>
            <wp:effectExtent l="0" t="0" r="0" b="0"/>
            <wp:wrapSquare wrapText="bothSides"/>
            <wp:docPr id="221934" name="Picture 221934"/>
            <wp:cNvGraphicFramePr/>
            <a:graphic xmlns:a="http://schemas.openxmlformats.org/drawingml/2006/main">
              <a:graphicData uri="http://schemas.openxmlformats.org/drawingml/2006/picture">
                <pic:pic xmlns:pic="http://schemas.openxmlformats.org/drawingml/2006/picture">
                  <pic:nvPicPr>
                    <pic:cNvPr id="221934" name="Picture 221934"/>
                    <pic:cNvPicPr/>
                  </pic:nvPicPr>
                  <pic:blipFill>
                    <a:blip r:embed="rId151"/>
                    <a:stretch>
                      <a:fillRect/>
                    </a:stretch>
                  </pic:blipFill>
                  <pic:spPr>
                    <a:xfrm>
                      <a:off x="0" y="0"/>
                      <a:ext cx="4029456" cy="688848"/>
                    </a:xfrm>
                    <a:prstGeom prst="rect">
                      <a:avLst/>
                    </a:prstGeom>
                  </pic:spPr>
                </pic:pic>
              </a:graphicData>
            </a:graphic>
          </wp:anchor>
        </w:drawing>
      </w:r>
      <w:r>
        <w:rPr>
          <w:rFonts w:ascii="Cambria" w:eastAsia="Cambria" w:hAnsi="Cambria" w:cs="Cambria"/>
        </w:rPr>
        <w:t>(13)</w:t>
      </w:r>
    </w:p>
    <w:p w:rsidR="00EE13F6" w:rsidRDefault="002E5BC4">
      <w:pPr>
        <w:spacing w:after="584" w:line="264" w:lineRule="auto"/>
        <w:ind w:left="-5" w:right="2963" w:hanging="10"/>
        <w:jc w:val="both"/>
      </w:pPr>
      <w:r>
        <w:rPr>
          <w:rFonts w:ascii="Cambria" w:eastAsia="Cambria" w:hAnsi="Cambria" w:cs="Cambria"/>
        </w:rPr>
        <w:t>with</w:t>
      </w:r>
    </w:p>
    <w:p w:rsidR="00EE13F6" w:rsidRDefault="002E5BC4">
      <w:pPr>
        <w:tabs>
          <w:tab w:val="center" w:pos="4680"/>
          <w:tab w:val="center" w:pos="9166"/>
        </w:tabs>
        <w:spacing w:after="333" w:line="265" w:lineRule="auto"/>
      </w:pPr>
      <w:r>
        <w:tab/>
      </w:r>
      <w:r>
        <w:rPr>
          <w:rFonts w:ascii="Cambria" w:eastAsia="Cambria" w:hAnsi="Cambria" w:cs="Cambria"/>
          <w:i/>
        </w:rPr>
        <w:t xml:space="preserve">CP </w:t>
      </w:r>
      <w:r>
        <w:rPr>
          <w:rFonts w:ascii="Cambria" w:eastAsia="Cambria" w:hAnsi="Cambria" w:cs="Cambria"/>
        </w:rPr>
        <w:t xml:space="preserve">= </w:t>
      </w:r>
      <w:r>
        <w:rPr>
          <w:rFonts w:ascii="Cambria" w:eastAsia="Cambria" w:hAnsi="Cambria" w:cs="Cambria"/>
          <w:i/>
        </w:rPr>
        <w:t>E</w:t>
      </w:r>
      <w:r>
        <w:rPr>
          <w:rFonts w:ascii="Cambria" w:eastAsia="Cambria" w:hAnsi="Cambria" w:cs="Cambria"/>
          <w:i/>
          <w:sz w:val="16"/>
        </w:rPr>
        <w:t xml:space="preserve">Q </w:t>
      </w:r>
      <w:r>
        <w:rPr>
          <w:rFonts w:ascii="Cambria" w:eastAsia="Cambria" w:hAnsi="Cambria" w:cs="Cambria"/>
        </w:rPr>
        <w:t>h</w:t>
      </w:r>
      <w:r>
        <w:rPr>
          <w:rFonts w:ascii="Cambria" w:eastAsia="Cambria" w:hAnsi="Cambria" w:cs="Cambria"/>
          <w:i/>
        </w:rPr>
        <w:t>e</w:t>
      </w:r>
      <w:r>
        <w:rPr>
          <w:rFonts w:ascii="Cambria" w:eastAsia="Cambria" w:hAnsi="Cambria" w:cs="Cambria"/>
          <w:sz w:val="16"/>
        </w:rPr>
        <w:t>−</w:t>
      </w:r>
      <w:r>
        <w:rPr>
          <w:rFonts w:ascii="Cambria" w:eastAsia="Cambria" w:hAnsi="Cambria" w:cs="Cambria"/>
          <w:i/>
          <w:sz w:val="16"/>
        </w:rPr>
        <w:t>r</w:t>
      </w:r>
      <w:r>
        <w:rPr>
          <w:rFonts w:ascii="Cambria" w:eastAsia="Cambria" w:hAnsi="Cambria" w:cs="Cambria"/>
          <w:sz w:val="16"/>
        </w:rPr>
        <w:t>(</w:t>
      </w:r>
      <w:r>
        <w:rPr>
          <w:rFonts w:ascii="Cambria" w:eastAsia="Cambria" w:hAnsi="Cambria" w:cs="Cambria"/>
          <w:i/>
          <w:sz w:val="16"/>
        </w:rPr>
        <w:t>T</w:t>
      </w:r>
      <w:r>
        <w:rPr>
          <w:rFonts w:ascii="Cambria" w:eastAsia="Cambria" w:hAnsi="Cambria" w:cs="Cambria"/>
          <w:sz w:val="16"/>
        </w:rPr>
        <w:t>−</w:t>
      </w:r>
      <w:r>
        <w:rPr>
          <w:rFonts w:ascii="Cambria" w:eastAsia="Cambria" w:hAnsi="Cambria" w:cs="Cambria"/>
          <w:i/>
          <w:sz w:val="16"/>
        </w:rPr>
        <w:t>t</w:t>
      </w:r>
      <w:r>
        <w:rPr>
          <w:rFonts w:ascii="Cambria" w:eastAsia="Cambria" w:hAnsi="Cambria" w:cs="Cambria"/>
          <w:sz w:val="16"/>
        </w:rPr>
        <w:t>)</w:t>
      </w:r>
      <w:r>
        <w:rPr>
          <w:rFonts w:ascii="Cambria" w:eastAsia="Cambria" w:hAnsi="Cambria" w:cs="Cambria"/>
        </w:rPr>
        <w:t>[</w:t>
      </w:r>
      <w:r>
        <w:rPr>
          <w:rFonts w:ascii="Cambria" w:eastAsia="Cambria" w:hAnsi="Cambria" w:cs="Cambria"/>
          <w:i/>
        </w:rPr>
        <w:t>A</w:t>
      </w:r>
      <w:r>
        <w:rPr>
          <w:rFonts w:ascii="Cambria" w:eastAsia="Cambria" w:hAnsi="Cambria" w:cs="Cambria"/>
          <w:i/>
          <w:sz w:val="16"/>
        </w:rPr>
        <w:t xml:space="preserve">T </w:t>
      </w:r>
      <w:r>
        <w:rPr>
          <w:rFonts w:ascii="Cambria" w:eastAsia="Cambria" w:hAnsi="Cambria" w:cs="Cambria"/>
        </w:rPr>
        <w:t>−</w:t>
      </w:r>
      <w:r>
        <w:rPr>
          <w:rFonts w:ascii="Cambria" w:eastAsia="Cambria" w:hAnsi="Cambria" w:cs="Cambria"/>
        </w:rPr>
        <w:t xml:space="preserve"> max(</w:t>
      </w:r>
      <w:r>
        <w:rPr>
          <w:rFonts w:ascii="Cambria" w:eastAsia="Cambria" w:hAnsi="Cambria" w:cs="Cambria"/>
          <w:i/>
        </w:rPr>
        <w:t>A</w:t>
      </w:r>
      <w:r>
        <w:rPr>
          <w:rFonts w:ascii="Cambria" w:eastAsia="Cambria" w:hAnsi="Cambria" w:cs="Cambria"/>
          <w:i/>
          <w:sz w:val="16"/>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K,</w:t>
      </w:r>
      <w:r>
        <w:rPr>
          <w:rFonts w:ascii="Cambria" w:eastAsia="Cambria" w:hAnsi="Cambria" w:cs="Cambria"/>
        </w:rPr>
        <w:t>0)]</w:t>
      </w:r>
      <w:r>
        <w:rPr>
          <w:rFonts w:ascii="Cambria" w:eastAsia="Cambria" w:hAnsi="Cambria" w:cs="Cambria"/>
          <w:b/>
        </w:rPr>
        <w:t>1</w:t>
      </w:r>
      <w:r>
        <w:rPr>
          <w:rFonts w:ascii="Cambria" w:eastAsia="Cambria" w:hAnsi="Cambria" w:cs="Cambria"/>
          <w:sz w:val="16"/>
        </w:rPr>
        <w:t>(</w:t>
      </w:r>
      <w:r>
        <w:rPr>
          <w:rFonts w:ascii="Cambria" w:eastAsia="Cambria" w:hAnsi="Cambria" w:cs="Cambria"/>
          <w:i/>
          <w:sz w:val="16"/>
        </w:rPr>
        <w:t>τ&gt;T</w:t>
      </w:r>
      <w:r>
        <w:rPr>
          <w:rFonts w:ascii="Cambria" w:eastAsia="Cambria" w:hAnsi="Cambria" w:cs="Cambria"/>
          <w:sz w:val="16"/>
        </w:rPr>
        <w:t>)</w:t>
      </w:r>
      <w:r>
        <w:rPr>
          <w:rFonts w:ascii="Cambria" w:eastAsia="Cambria" w:hAnsi="Cambria" w:cs="Cambria"/>
        </w:rPr>
        <w:t>i</w:t>
      </w:r>
      <w:r>
        <w:rPr>
          <w:rFonts w:ascii="Cambria" w:eastAsia="Cambria" w:hAnsi="Cambria" w:cs="Cambria"/>
        </w:rPr>
        <w:tab/>
        <w:t>(14)</w:t>
      </w:r>
    </w:p>
    <w:p w:rsidR="00EE13F6" w:rsidRDefault="002E5BC4">
      <w:pPr>
        <w:spacing w:after="463" w:line="264" w:lineRule="auto"/>
        <w:ind w:left="-5" w:right="468" w:hanging="10"/>
        <w:jc w:val="both"/>
      </w:pPr>
      <w:r>
        <w:rPr>
          <w:rFonts w:ascii="Cambria" w:eastAsia="Cambria" w:hAnsi="Cambria" w:cs="Cambria"/>
        </w:rPr>
        <w:t>This last term appears as the difference of two barrier call options, of which one has a zero strike.</w:t>
      </w:r>
    </w:p>
    <w:p w:rsidR="00EE13F6" w:rsidRDefault="002E5BC4">
      <w:pPr>
        <w:tabs>
          <w:tab w:val="center" w:pos="2543"/>
        </w:tabs>
        <w:spacing w:after="308" w:line="257" w:lineRule="auto"/>
        <w:ind w:left="-15"/>
      </w:pPr>
      <w:r>
        <w:rPr>
          <w:rFonts w:ascii="Cambria" w:eastAsia="Cambria" w:hAnsi="Cambria" w:cs="Cambria"/>
          <w:b/>
        </w:rPr>
        <w:t>3.2.2</w:t>
      </w:r>
      <w:r>
        <w:rPr>
          <w:rFonts w:ascii="Cambria" w:eastAsia="Cambria" w:hAnsi="Cambria" w:cs="Cambria"/>
          <w:b/>
        </w:rPr>
        <w:tab/>
        <w:t>CreditGrades</w:t>
      </w:r>
      <w:r>
        <w:rPr>
          <w:i/>
        </w:rPr>
        <w:t xml:space="preserve"> </w:t>
      </w:r>
      <w:r>
        <w:rPr>
          <w:rFonts w:ascii="Cambria" w:eastAsia="Cambria" w:hAnsi="Cambria" w:cs="Cambria"/>
          <w:b/>
          <w:sz w:val="16"/>
        </w:rPr>
        <w:t xml:space="preserve">R </w:t>
      </w:r>
      <w:r>
        <w:rPr>
          <w:rFonts w:ascii="Cambria" w:eastAsia="Cambria" w:hAnsi="Cambria" w:cs="Cambria"/>
          <w:b/>
        </w:rPr>
        <w:t>Model Theory</w:t>
      </w:r>
    </w:p>
    <w:p w:rsidR="00EE13F6" w:rsidRDefault="002E5BC4">
      <w:pPr>
        <w:spacing w:after="130" w:line="264" w:lineRule="auto"/>
        <w:ind w:left="-5" w:right="468" w:hanging="10"/>
        <w:jc w:val="both"/>
      </w:pPr>
      <w:r>
        <w:rPr>
          <w:rFonts w:ascii="Cambria" w:eastAsia="Cambria" w:hAnsi="Cambria" w:cs="Cambria"/>
        </w:rPr>
        <w:t xml:space="preserve">J.P Morgan began to implement in 2002 a service called CreditGrades </w:t>
      </w:r>
      <w:r>
        <w:rPr>
          <w:rFonts w:ascii="Cambria" w:eastAsia="Cambria" w:hAnsi="Cambria" w:cs="Cambria"/>
          <w:sz w:val="16"/>
        </w:rPr>
        <w:t xml:space="preserve">R </w:t>
      </w:r>
      <w:r>
        <w:rPr>
          <w:rFonts w:ascii="Cambria" w:eastAsia="Cambria" w:hAnsi="Cambria" w:cs="Cambria"/>
        </w:rPr>
        <w:t>(Finkelstein et al., 2002) and began using this ap</w:t>
      </w:r>
      <w:r>
        <w:rPr>
          <w:rFonts w:ascii="Cambria" w:eastAsia="Cambria" w:hAnsi="Cambria" w:cs="Cambria"/>
        </w:rPr>
        <w:t xml:space="preserve">proach, using a structural model of the corporation. As in the Black-cox model, Credit grades retains a corporate default, which occurs ever time the value of the assets is below a certain threshold. However, the credit grade models does not consider that </w:t>
      </w:r>
      <w:r>
        <w:rPr>
          <w:rFonts w:ascii="Cambria" w:eastAsia="Cambria" w:hAnsi="Cambria" w:cs="Cambria"/>
        </w:rPr>
        <w:t xml:space="preserve">the debt is compared at maturity to the level of assets. Consequently, the CreditGrades </w:t>
      </w:r>
      <w:r>
        <w:rPr>
          <w:rFonts w:ascii="Cambria" w:eastAsia="Cambria" w:hAnsi="Cambria" w:cs="Cambria"/>
          <w:sz w:val="16"/>
        </w:rPr>
        <w:t xml:space="preserve">R </w:t>
      </w:r>
      <w:r>
        <w:rPr>
          <w:rFonts w:ascii="Cambria" w:eastAsia="Cambria" w:hAnsi="Cambria" w:cs="Cambria"/>
        </w:rPr>
        <w:t xml:space="preserve">model considers that the pay-off for </w:t>
      </w:r>
      <w:r>
        <w:rPr>
          <w:rFonts w:ascii="Cambria" w:eastAsia="Cambria" w:hAnsi="Cambria" w:cs="Cambria"/>
        </w:rPr>
        <w:lastRenderedPageBreak/>
        <w:t>the share holder is similar to holding the assets, paying the debt charges which include the premiums of the CDS built in the cor</w:t>
      </w:r>
      <w:r>
        <w:rPr>
          <w:rFonts w:ascii="Cambria" w:eastAsia="Cambria" w:hAnsi="Cambria" w:cs="Cambria"/>
        </w:rPr>
        <w:t>porate bond price and hold an exotic equity derivative. This equity option is sold by the bond holders to the shareholders.</w:t>
      </w:r>
    </w:p>
    <w:p w:rsidR="00EE13F6" w:rsidRDefault="002E5BC4">
      <w:pPr>
        <w:spacing w:after="130" w:line="264" w:lineRule="auto"/>
        <w:ind w:left="-5" w:right="468" w:hanging="10"/>
        <w:jc w:val="both"/>
      </w:pPr>
      <w:r>
        <w:rPr>
          <w:rFonts w:ascii="Cambria" w:eastAsia="Cambria" w:hAnsi="Cambria" w:cs="Cambria"/>
        </w:rPr>
        <w:t>This model appears as the closest to the existing market practice of hedging a CDS with a Put Option, as discussed in paragraph 2.2.</w:t>
      </w:r>
      <w:r>
        <w:rPr>
          <w:rFonts w:ascii="Cambria" w:eastAsia="Cambria" w:hAnsi="Cambria" w:cs="Cambria"/>
        </w:rPr>
        <w:t xml:space="preserve"> Unlike the arbitrage discussed in 2.2 the model captures the ”american feature” of having a corporate default as soon as the corporate asset value crosses a given level determined in reference to the level of facial debt.</w:t>
      </w:r>
    </w:p>
    <w:p w:rsidR="00EE13F6" w:rsidRDefault="002E5BC4">
      <w:pPr>
        <w:spacing w:after="130" w:line="264" w:lineRule="auto"/>
        <w:ind w:left="-5" w:right="468" w:hanging="10"/>
        <w:jc w:val="both"/>
      </w:pPr>
      <w:r>
        <w:rPr>
          <w:rFonts w:ascii="Cambria" w:eastAsia="Cambria" w:hAnsi="Cambria" w:cs="Cambria"/>
        </w:rPr>
        <w:t>Credit grades model uses abundant</w:t>
      </w:r>
      <w:r>
        <w:rPr>
          <w:rFonts w:ascii="Cambria" w:eastAsia="Cambria" w:hAnsi="Cambria" w:cs="Cambria"/>
        </w:rPr>
        <w:t>ly former results established by Lardy (2001), Musiela and Rutkowski (1998), which detail the price of the CDS spread insuring the default of the firm defined as above. In a nutshell, this tool deducts corporate credit spreads for CDS for both the company’</w:t>
      </w:r>
      <w:r>
        <w:rPr>
          <w:rFonts w:ascii="Cambria" w:eastAsia="Cambria" w:hAnsi="Cambria" w:cs="Cambria"/>
        </w:rPr>
        <w:t>s asset volatility and leverage. Model assumptions below are quite standard</w:t>
      </w:r>
      <w:r>
        <w:rPr>
          <w:rFonts w:ascii="Cambria" w:eastAsia="Cambria" w:hAnsi="Cambria" w:cs="Cambria"/>
          <w:vertAlign w:val="superscript"/>
        </w:rPr>
        <w:footnoteReference w:id="3"/>
      </w:r>
      <w:r>
        <w:rPr>
          <w:rFonts w:ascii="Cambria" w:eastAsia="Cambria" w:hAnsi="Cambria" w:cs="Cambria"/>
          <w:vertAlign w:val="superscript"/>
        </w:rPr>
        <w:t xml:space="preserve"> </w:t>
      </w:r>
      <w:r>
        <w:rPr>
          <w:rFonts w:ascii="Cambria" w:eastAsia="Cambria" w:hAnsi="Cambria" w:cs="Cambria"/>
        </w:rPr>
        <w:t xml:space="preserve">. We use below the notation of the CreditGrades </w:t>
      </w:r>
      <w:r>
        <w:rPr>
          <w:rFonts w:ascii="Cambria" w:eastAsia="Cambria" w:hAnsi="Cambria" w:cs="Cambria"/>
          <w:sz w:val="16"/>
        </w:rPr>
        <w:t xml:space="preserve">R </w:t>
      </w:r>
      <w:r>
        <w:rPr>
          <w:rFonts w:ascii="Cambria" w:eastAsia="Cambria" w:hAnsi="Cambria" w:cs="Cambria"/>
        </w:rPr>
        <w:t>technical document.</w:t>
      </w:r>
    </w:p>
    <w:p w:rsidR="00EE13F6" w:rsidRDefault="002E5BC4" w:rsidP="002E5BC4">
      <w:pPr>
        <w:numPr>
          <w:ilvl w:val="0"/>
          <w:numId w:val="36"/>
        </w:numPr>
        <w:spacing w:after="0" w:line="264" w:lineRule="auto"/>
        <w:ind w:right="468" w:hanging="248"/>
        <w:jc w:val="both"/>
      </w:pPr>
      <w:r>
        <w:rPr>
          <w:rFonts w:ascii="Cambria" w:eastAsia="Cambria" w:hAnsi="Cambria" w:cs="Cambria"/>
        </w:rPr>
        <w:t xml:space="preserve">The corporate asset value </w:t>
      </w:r>
      <w:r>
        <w:rPr>
          <w:rFonts w:ascii="Cambria" w:eastAsia="Cambria" w:hAnsi="Cambria" w:cs="Cambria"/>
          <w:i/>
        </w:rPr>
        <w:t>V</w:t>
      </w:r>
      <w:r>
        <w:rPr>
          <w:rFonts w:ascii="Cambria" w:eastAsia="Cambria" w:hAnsi="Cambria" w:cs="Cambria"/>
          <w:i/>
          <w:vertAlign w:val="subscript"/>
        </w:rPr>
        <w:t xml:space="preserve">t </w:t>
      </w:r>
      <w:r>
        <w:rPr>
          <w:rFonts w:ascii="Cambria" w:eastAsia="Cambria" w:hAnsi="Cambria" w:cs="Cambria"/>
        </w:rPr>
        <w:t>evolves as a geometric Brownian motion process</w:t>
      </w:r>
    </w:p>
    <w:p w:rsidR="00EE13F6" w:rsidRDefault="002E5BC4">
      <w:pPr>
        <w:spacing w:after="318"/>
        <w:ind w:left="4360"/>
      </w:pPr>
      <w:r>
        <w:rPr>
          <w:noProof/>
        </w:rPr>
        <w:drawing>
          <wp:inline distT="0" distB="0" distL="0" distR="0">
            <wp:extent cx="725424" cy="310896"/>
            <wp:effectExtent l="0" t="0" r="0" b="0"/>
            <wp:docPr id="221935" name="Picture 221935"/>
            <wp:cNvGraphicFramePr/>
            <a:graphic xmlns:a="http://schemas.openxmlformats.org/drawingml/2006/main">
              <a:graphicData uri="http://schemas.openxmlformats.org/drawingml/2006/picture">
                <pic:pic xmlns:pic="http://schemas.openxmlformats.org/drawingml/2006/picture">
                  <pic:nvPicPr>
                    <pic:cNvPr id="221935" name="Picture 221935"/>
                    <pic:cNvPicPr/>
                  </pic:nvPicPr>
                  <pic:blipFill>
                    <a:blip r:embed="rId152"/>
                    <a:stretch>
                      <a:fillRect/>
                    </a:stretch>
                  </pic:blipFill>
                  <pic:spPr>
                    <a:xfrm>
                      <a:off x="0" y="0"/>
                      <a:ext cx="725424" cy="310896"/>
                    </a:xfrm>
                    <a:prstGeom prst="rect">
                      <a:avLst/>
                    </a:prstGeom>
                  </pic:spPr>
                </pic:pic>
              </a:graphicData>
            </a:graphic>
          </wp:inline>
        </w:drawing>
      </w:r>
    </w:p>
    <w:p w:rsidR="00EE13F6" w:rsidRDefault="002E5BC4" w:rsidP="002E5BC4">
      <w:pPr>
        <w:numPr>
          <w:ilvl w:val="0"/>
          <w:numId w:val="36"/>
        </w:numPr>
        <w:spacing w:after="264" w:line="264" w:lineRule="auto"/>
        <w:ind w:right="468" w:hanging="248"/>
        <w:jc w:val="both"/>
      </w:pPr>
      <w:r>
        <w:rPr>
          <w:rFonts w:ascii="Cambria" w:eastAsia="Cambria" w:hAnsi="Cambria" w:cs="Cambria"/>
          <w:i/>
        </w:rPr>
        <w:t>W</w:t>
      </w:r>
      <w:r>
        <w:rPr>
          <w:rFonts w:ascii="Cambria" w:eastAsia="Cambria" w:hAnsi="Cambria" w:cs="Cambria"/>
          <w:i/>
          <w:vertAlign w:val="subscript"/>
        </w:rPr>
        <w:t xml:space="preserve">t </w:t>
      </w:r>
      <w:r>
        <w:rPr>
          <w:rFonts w:ascii="Cambria" w:eastAsia="Cambria" w:hAnsi="Cambria" w:cs="Cambria"/>
        </w:rPr>
        <w:t xml:space="preserve">is a standard Brownian motion process, and </w:t>
      </w:r>
      <w:r>
        <w:rPr>
          <w:rFonts w:ascii="Cambria" w:eastAsia="Cambria" w:hAnsi="Cambria" w:cs="Cambria"/>
          <w:i/>
        </w:rPr>
        <w:t xml:space="preserve">σ </w:t>
      </w:r>
      <w:r>
        <w:rPr>
          <w:rFonts w:ascii="Cambria" w:eastAsia="Cambria" w:hAnsi="Cambria" w:cs="Cambria"/>
        </w:rPr>
        <w:t>is the asset volatility</w:t>
      </w:r>
    </w:p>
    <w:p w:rsidR="00EE13F6" w:rsidRDefault="002E5BC4" w:rsidP="002E5BC4">
      <w:pPr>
        <w:numPr>
          <w:ilvl w:val="0"/>
          <w:numId w:val="36"/>
        </w:numPr>
        <w:spacing w:after="41" w:line="264" w:lineRule="auto"/>
        <w:ind w:right="468" w:hanging="248"/>
        <w:jc w:val="both"/>
      </w:pPr>
      <w:r>
        <w:rPr>
          <w:rFonts w:ascii="Cambria" w:eastAsia="Cambria" w:hAnsi="Cambria" w:cs="Cambria"/>
        </w:rPr>
        <w:t xml:space="preserve">The recovery rate </w:t>
      </w:r>
      <w:r>
        <w:rPr>
          <w:rFonts w:ascii="Cambria" w:eastAsia="Cambria" w:hAnsi="Cambria" w:cs="Cambria"/>
          <w:i/>
        </w:rPr>
        <w:t xml:space="preserve">L </w:t>
      </w:r>
      <w:r>
        <w:rPr>
          <w:rFonts w:ascii="Cambria" w:eastAsia="Cambria" w:hAnsi="Cambria" w:cs="Cambria"/>
        </w:rPr>
        <w:t xml:space="preserve">follows a log-normal distribution with mean </w:t>
      </w:r>
      <w:r>
        <w:rPr>
          <w:rFonts w:ascii="Cambria" w:eastAsia="Cambria" w:hAnsi="Cambria" w:cs="Cambria"/>
          <w:i/>
        </w:rPr>
        <w:t>L</w:t>
      </w:r>
      <w:r>
        <w:rPr>
          <w:rFonts w:ascii="Cambria" w:eastAsia="Cambria" w:hAnsi="Cambria" w:cs="Cambria"/>
        </w:rPr>
        <w:t xml:space="preserve">¯ and standard deviation </w:t>
      </w:r>
      <w:r>
        <w:rPr>
          <w:rFonts w:ascii="Cambria" w:eastAsia="Cambria" w:hAnsi="Cambria" w:cs="Cambria"/>
          <w:i/>
        </w:rPr>
        <w:t>λ</w:t>
      </w:r>
      <w:r>
        <w:rPr>
          <w:rFonts w:ascii="Cambria" w:eastAsia="Cambria" w:hAnsi="Cambria" w:cs="Cambria"/>
        </w:rPr>
        <w:t>.</w:t>
      </w:r>
    </w:p>
    <w:p w:rsidR="00EE13F6" w:rsidRDefault="002E5BC4">
      <w:pPr>
        <w:spacing w:after="0" w:line="465" w:lineRule="auto"/>
        <w:ind w:left="-15" w:right="2032" w:firstLine="545"/>
        <w:jc w:val="both"/>
      </w:pPr>
      <w:r>
        <w:rPr>
          <w:rFonts w:ascii="Cambria" w:eastAsia="Cambria" w:hAnsi="Cambria" w:cs="Cambria"/>
        </w:rPr>
        <w:t xml:space="preserve">Corporate debt per share is </w:t>
      </w:r>
      <w:r>
        <w:rPr>
          <w:rFonts w:ascii="Cambria" w:eastAsia="Cambria" w:hAnsi="Cambria" w:cs="Cambria"/>
          <w:i/>
        </w:rPr>
        <w:t>D</w:t>
      </w:r>
      <w:r>
        <w:rPr>
          <w:rFonts w:ascii="Cambria" w:eastAsia="Cambria" w:hAnsi="Cambria" w:cs="Cambria"/>
        </w:rPr>
        <w:t xml:space="preserve">. Default does not occur as long as </w:t>
      </w:r>
      <w:r>
        <w:rPr>
          <w:rFonts w:ascii="Cambria" w:eastAsia="Cambria" w:hAnsi="Cambria" w:cs="Cambria"/>
          <w:i/>
        </w:rPr>
        <w:t>V</w:t>
      </w:r>
      <w:r>
        <w:rPr>
          <w:rFonts w:ascii="Cambria" w:eastAsia="Cambria" w:hAnsi="Cambria" w:cs="Cambria"/>
          <w:i/>
          <w:vertAlign w:val="subscript"/>
        </w:rPr>
        <w:t xml:space="preserve">t </w:t>
      </w:r>
      <w:r>
        <w:rPr>
          <w:rFonts w:ascii="Cambria" w:eastAsia="Cambria" w:hAnsi="Cambria" w:cs="Cambria"/>
          <w:i/>
        </w:rPr>
        <w:t xml:space="preserve">&gt; LD </w:t>
      </w:r>
      <w:r>
        <w:rPr>
          <w:rFonts w:ascii="Cambria" w:eastAsia="Cambria" w:hAnsi="Cambria" w:cs="Cambria"/>
          <w:b/>
        </w:rPr>
        <w:t xml:space="preserve">d </w:t>
      </w:r>
      <w:r>
        <w:rPr>
          <w:rFonts w:ascii="Cambria" w:eastAsia="Cambria" w:hAnsi="Cambria" w:cs="Cambria"/>
        </w:rPr>
        <w:t>Assumptions (b) and</w:t>
      </w:r>
      <w:r>
        <w:rPr>
          <w:rFonts w:ascii="Cambria" w:eastAsia="Cambria" w:hAnsi="Cambria" w:cs="Cambria"/>
        </w:rPr>
        <w:t xml:space="preserve"> (c) imply that default does not occur as long as at </w:t>
      </w:r>
      <w:r>
        <w:rPr>
          <w:rFonts w:ascii="Cambria" w:eastAsia="Cambria" w:hAnsi="Cambria" w:cs="Cambria"/>
          <w:i/>
        </w:rPr>
        <w:t>t</w:t>
      </w:r>
    </w:p>
    <w:p w:rsidR="00EE13F6" w:rsidRDefault="002E5BC4">
      <w:pPr>
        <w:tabs>
          <w:tab w:val="center" w:pos="4966"/>
          <w:tab w:val="center" w:pos="9166"/>
        </w:tabs>
        <w:spacing w:after="223" w:line="265" w:lineRule="auto"/>
      </w:pPr>
      <w:r>
        <w:tab/>
      </w:r>
      <w:r>
        <w:rPr>
          <w:noProof/>
        </w:rPr>
        <w:drawing>
          <wp:inline distT="0" distB="0" distL="0" distR="0">
            <wp:extent cx="1493520" cy="207264"/>
            <wp:effectExtent l="0" t="0" r="0" b="0"/>
            <wp:docPr id="221936" name="Picture 221936"/>
            <wp:cNvGraphicFramePr/>
            <a:graphic xmlns:a="http://schemas.openxmlformats.org/drawingml/2006/main">
              <a:graphicData uri="http://schemas.openxmlformats.org/drawingml/2006/picture">
                <pic:pic xmlns:pic="http://schemas.openxmlformats.org/drawingml/2006/picture">
                  <pic:nvPicPr>
                    <pic:cNvPr id="221936" name="Picture 221936"/>
                    <pic:cNvPicPr/>
                  </pic:nvPicPr>
                  <pic:blipFill>
                    <a:blip r:embed="rId153"/>
                    <a:stretch>
                      <a:fillRect/>
                    </a:stretch>
                  </pic:blipFill>
                  <pic:spPr>
                    <a:xfrm>
                      <a:off x="0" y="0"/>
                      <a:ext cx="1493520" cy="207264"/>
                    </a:xfrm>
                    <a:prstGeom prst="rect">
                      <a:avLst/>
                    </a:prstGeom>
                  </pic:spPr>
                </pic:pic>
              </a:graphicData>
            </a:graphic>
          </wp:inline>
        </w:drawing>
      </w:r>
      <w:r>
        <w:rPr>
          <w:rFonts w:ascii="Cambria" w:eastAsia="Cambria" w:hAnsi="Cambria" w:cs="Cambria"/>
        </w:rPr>
        <w:tab/>
        <w:t>(15)</w:t>
      </w:r>
    </w:p>
    <w:p w:rsidR="00EE13F6" w:rsidRDefault="002E5BC4">
      <w:pPr>
        <w:spacing w:after="381" w:line="264" w:lineRule="auto"/>
        <w:ind w:left="555" w:right="468" w:hanging="10"/>
        <w:jc w:val="both"/>
      </w:pPr>
      <w:r>
        <w:rPr>
          <w:rFonts w:ascii="Cambria" w:eastAsia="Cambria" w:hAnsi="Cambria" w:cs="Cambria"/>
        </w:rPr>
        <w:t xml:space="preserve">where </w:t>
      </w:r>
      <w:r>
        <w:rPr>
          <w:rFonts w:ascii="Cambria" w:eastAsia="Cambria" w:hAnsi="Cambria" w:cs="Cambria"/>
          <w:i/>
        </w:rPr>
        <w:t xml:space="preserve">Z </w:t>
      </w:r>
      <w:r>
        <w:rPr>
          <w:rFonts w:ascii="Cambria" w:eastAsia="Cambria" w:hAnsi="Cambria" w:cs="Cambria"/>
        </w:rPr>
        <w:t>is a standard normal distribution.</w:t>
      </w:r>
    </w:p>
    <w:p w:rsidR="00EE13F6" w:rsidRDefault="002E5BC4">
      <w:pPr>
        <w:spacing w:after="165" w:line="264" w:lineRule="auto"/>
        <w:ind w:left="-5" w:right="468" w:hanging="10"/>
        <w:jc w:val="both"/>
      </w:pPr>
      <w:r>
        <w:rPr>
          <w:rFonts w:ascii="Cambria" w:eastAsia="Cambria" w:hAnsi="Cambria" w:cs="Cambria"/>
        </w:rPr>
        <w:t>Because of the above equation, assessing the probability of a corporate default comes to evaluate the first hitting time of the Brownian motion proces</w:t>
      </w:r>
      <w:r>
        <w:rPr>
          <w:rFonts w:ascii="Cambria" w:eastAsia="Cambria" w:hAnsi="Cambria" w:cs="Cambria"/>
        </w:rPr>
        <w:t>s followed by the corporate assets value. By using this distribution it is possible to derive the survival probability of a corporation as in Musiela and Rutkowski (1998) and then compute the implied par spread value of the corresponding CDS as described i</w:t>
      </w:r>
      <w:r>
        <w:rPr>
          <w:rFonts w:ascii="Cambria" w:eastAsia="Cambria" w:hAnsi="Cambria" w:cs="Cambria"/>
        </w:rPr>
        <w:t>n Rubinstein and Reiner (1991). The CreditGrades model uses those results by linking the Credit swap spread insuring against corporate default and the corporate asset volatility.</w:t>
      </w:r>
    </w:p>
    <w:p w:rsidR="00EE13F6" w:rsidRDefault="002E5BC4">
      <w:pPr>
        <w:spacing w:after="257" w:line="264" w:lineRule="auto"/>
        <w:ind w:left="-5" w:right="468" w:hanging="10"/>
        <w:jc w:val="both"/>
      </w:pPr>
      <w:r>
        <w:rPr>
          <w:rFonts w:ascii="Cambria" w:eastAsia="Cambria" w:hAnsi="Cambria" w:cs="Cambria"/>
        </w:rPr>
        <w:t xml:space="preserve">The formulation of the credit spread, </w:t>
      </w:r>
      <w:r>
        <w:rPr>
          <w:rFonts w:ascii="Cambria" w:eastAsia="Cambria" w:hAnsi="Cambria" w:cs="Cambria"/>
          <w:i/>
        </w:rPr>
        <w:t>s</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is found in the work of Rubinstein a</w:t>
      </w:r>
      <w:r>
        <w:rPr>
          <w:rFonts w:ascii="Cambria" w:eastAsia="Cambria" w:hAnsi="Cambria" w:cs="Cambria"/>
        </w:rPr>
        <w:t xml:space="preserve">nd Reiner as well as in the technical documentation on CreditGrades </w:t>
      </w:r>
      <w:r>
        <w:rPr>
          <w:rFonts w:ascii="Cambria" w:eastAsia="Cambria" w:hAnsi="Cambria" w:cs="Cambria"/>
          <w:sz w:val="16"/>
        </w:rPr>
        <w:t xml:space="preserve">R </w:t>
      </w:r>
      <w:r>
        <w:rPr>
          <w:rFonts w:ascii="Cambria" w:eastAsia="Cambria" w:hAnsi="Cambria" w:cs="Cambria"/>
        </w:rPr>
        <w:t>.</w:t>
      </w:r>
    </w:p>
    <w:p w:rsidR="00EE13F6" w:rsidRDefault="002E5BC4">
      <w:pPr>
        <w:tabs>
          <w:tab w:val="center" w:pos="4689"/>
          <w:tab w:val="center" w:pos="9166"/>
        </w:tabs>
        <w:spacing w:after="223" w:line="265" w:lineRule="auto"/>
      </w:pPr>
      <w:r>
        <w:tab/>
      </w:r>
      <w:r>
        <w:rPr>
          <w:noProof/>
        </w:rPr>
        <w:drawing>
          <wp:inline distT="0" distB="0" distL="0" distR="0">
            <wp:extent cx="3209544" cy="350520"/>
            <wp:effectExtent l="0" t="0" r="0" b="0"/>
            <wp:docPr id="221937" name="Picture 221937"/>
            <wp:cNvGraphicFramePr/>
            <a:graphic xmlns:a="http://schemas.openxmlformats.org/drawingml/2006/main">
              <a:graphicData uri="http://schemas.openxmlformats.org/drawingml/2006/picture">
                <pic:pic xmlns:pic="http://schemas.openxmlformats.org/drawingml/2006/picture">
                  <pic:nvPicPr>
                    <pic:cNvPr id="221937" name="Picture 221937"/>
                    <pic:cNvPicPr/>
                  </pic:nvPicPr>
                  <pic:blipFill>
                    <a:blip r:embed="rId154"/>
                    <a:stretch>
                      <a:fillRect/>
                    </a:stretch>
                  </pic:blipFill>
                  <pic:spPr>
                    <a:xfrm>
                      <a:off x="0" y="0"/>
                      <a:ext cx="3209544" cy="350520"/>
                    </a:xfrm>
                    <a:prstGeom prst="rect">
                      <a:avLst/>
                    </a:prstGeom>
                  </pic:spPr>
                </pic:pic>
              </a:graphicData>
            </a:graphic>
          </wp:inline>
        </w:drawing>
      </w:r>
      <w:r>
        <w:rPr>
          <w:rFonts w:ascii="Cambria" w:eastAsia="Cambria" w:hAnsi="Cambria" w:cs="Cambria"/>
        </w:rPr>
        <w:tab/>
        <w:t>(16)</w:t>
      </w:r>
    </w:p>
    <w:p w:rsidR="00EE13F6" w:rsidRDefault="002E5BC4">
      <w:pPr>
        <w:spacing w:after="0" w:line="264" w:lineRule="auto"/>
        <w:ind w:left="-5" w:right="4703" w:hanging="10"/>
        <w:jc w:val="both"/>
      </w:pPr>
      <w:r>
        <w:rPr>
          <w:rFonts w:ascii="Cambria" w:eastAsia="Cambria" w:hAnsi="Cambria" w:cs="Cambria"/>
        </w:rPr>
        <w:t>where</w:t>
      </w:r>
    </w:p>
    <w:p w:rsidR="00EE13F6" w:rsidRDefault="002E5BC4">
      <w:pPr>
        <w:spacing w:after="140"/>
        <w:ind w:left="4160"/>
      </w:pPr>
      <w:r>
        <w:rPr>
          <w:noProof/>
        </w:rPr>
        <w:lastRenderedPageBreak/>
        <w:drawing>
          <wp:inline distT="0" distB="0" distL="0" distR="0">
            <wp:extent cx="600456" cy="731520"/>
            <wp:effectExtent l="0" t="0" r="0" b="0"/>
            <wp:docPr id="221938" name="Picture 221938"/>
            <wp:cNvGraphicFramePr/>
            <a:graphic xmlns:a="http://schemas.openxmlformats.org/drawingml/2006/main">
              <a:graphicData uri="http://schemas.openxmlformats.org/drawingml/2006/picture">
                <pic:pic xmlns:pic="http://schemas.openxmlformats.org/drawingml/2006/picture">
                  <pic:nvPicPr>
                    <pic:cNvPr id="221938" name="Picture 221938"/>
                    <pic:cNvPicPr/>
                  </pic:nvPicPr>
                  <pic:blipFill>
                    <a:blip r:embed="rId155"/>
                    <a:stretch>
                      <a:fillRect/>
                    </a:stretch>
                  </pic:blipFill>
                  <pic:spPr>
                    <a:xfrm>
                      <a:off x="0" y="0"/>
                      <a:ext cx="600456" cy="731520"/>
                    </a:xfrm>
                    <a:prstGeom prst="rect">
                      <a:avLst/>
                    </a:prstGeom>
                  </pic:spPr>
                </pic:pic>
              </a:graphicData>
            </a:graphic>
          </wp:inline>
        </w:drawing>
      </w:r>
    </w:p>
    <w:p w:rsidR="00EE13F6" w:rsidRDefault="002E5BC4">
      <w:pPr>
        <w:spacing w:after="52" w:line="264" w:lineRule="auto"/>
        <w:ind w:left="-5" w:right="468" w:hanging="10"/>
        <w:jc w:val="both"/>
      </w:pPr>
      <w:r>
        <w:rPr>
          <w:rFonts w:ascii="Cambria" w:eastAsia="Cambria" w:hAnsi="Cambria" w:cs="Cambria"/>
          <w:i/>
        </w:rPr>
        <w:t>P</w:t>
      </w:r>
      <w:r>
        <w:rPr>
          <w:rFonts w:ascii="Cambria" w:eastAsia="Cambria" w:hAnsi="Cambria" w:cs="Cambria"/>
        </w:rPr>
        <w:t>(</w:t>
      </w:r>
      <w:r>
        <w:rPr>
          <w:rFonts w:ascii="Cambria" w:eastAsia="Cambria" w:hAnsi="Cambria" w:cs="Cambria"/>
          <w:i/>
        </w:rPr>
        <w:t>t</w:t>
      </w:r>
      <w:r>
        <w:rPr>
          <w:rFonts w:ascii="Cambria" w:eastAsia="Cambria" w:hAnsi="Cambria" w:cs="Cambria"/>
        </w:rPr>
        <w:t xml:space="preserve">) designates the survival probability at time </w:t>
      </w:r>
      <w:r>
        <w:rPr>
          <w:rFonts w:ascii="Cambria" w:eastAsia="Cambria" w:hAnsi="Cambria" w:cs="Cambria"/>
          <w:i/>
        </w:rPr>
        <w:t xml:space="preserve">t </w:t>
      </w:r>
      <w:r>
        <w:rPr>
          <w:rFonts w:ascii="Cambria" w:eastAsia="Cambria" w:hAnsi="Cambria" w:cs="Cambria"/>
        </w:rPr>
        <w:t xml:space="preserve">and </w:t>
      </w:r>
      <w:r>
        <w:rPr>
          <w:rFonts w:ascii="Cambria" w:eastAsia="Cambria" w:hAnsi="Cambria" w:cs="Cambria"/>
          <w:i/>
        </w:rPr>
        <w:t>L</w:t>
      </w:r>
      <w:r>
        <w:rPr>
          <w:rFonts w:ascii="Cambria" w:eastAsia="Cambria" w:hAnsi="Cambria" w:cs="Cambria"/>
          <w:i/>
          <w:vertAlign w:val="superscript"/>
        </w:rPr>
        <w:t xml:space="preserve">e </w:t>
      </w:r>
      <w:r>
        <w:rPr>
          <w:rFonts w:ascii="Cambria" w:eastAsia="Cambria" w:hAnsi="Cambria" w:cs="Cambria"/>
        </w:rPr>
        <w:t>designate the expectation of the random variable L.</w:t>
      </w:r>
    </w:p>
    <w:p w:rsidR="00EE13F6" w:rsidRDefault="002E5BC4">
      <w:pPr>
        <w:spacing w:after="223" w:line="265" w:lineRule="auto"/>
        <w:ind w:left="1530" w:right="468" w:hanging="10"/>
        <w:jc w:val="right"/>
      </w:pPr>
      <w:r>
        <w:rPr>
          <w:noProof/>
        </w:rPr>
        <w:drawing>
          <wp:anchor distT="0" distB="0" distL="114300" distR="114300" simplePos="0" relativeHeight="251664384" behindDoc="0" locked="0" layoutInCell="1" allowOverlap="0">
            <wp:simplePos x="0" y="0"/>
            <wp:positionH relativeFrom="column">
              <wp:posOffset>965202</wp:posOffset>
            </wp:positionH>
            <wp:positionV relativeFrom="paragraph">
              <wp:posOffset>-144323</wp:posOffset>
            </wp:positionV>
            <wp:extent cx="3910584" cy="874776"/>
            <wp:effectExtent l="0" t="0" r="0" b="0"/>
            <wp:wrapSquare wrapText="bothSides"/>
            <wp:docPr id="221939" name="Picture 221939"/>
            <wp:cNvGraphicFramePr/>
            <a:graphic xmlns:a="http://schemas.openxmlformats.org/drawingml/2006/main">
              <a:graphicData uri="http://schemas.openxmlformats.org/drawingml/2006/picture">
                <pic:pic xmlns:pic="http://schemas.openxmlformats.org/drawingml/2006/picture">
                  <pic:nvPicPr>
                    <pic:cNvPr id="221939" name="Picture 221939"/>
                    <pic:cNvPicPr/>
                  </pic:nvPicPr>
                  <pic:blipFill>
                    <a:blip r:embed="rId156"/>
                    <a:stretch>
                      <a:fillRect/>
                    </a:stretch>
                  </pic:blipFill>
                  <pic:spPr>
                    <a:xfrm>
                      <a:off x="0" y="0"/>
                      <a:ext cx="3910584" cy="874776"/>
                    </a:xfrm>
                    <a:prstGeom prst="rect">
                      <a:avLst/>
                    </a:prstGeom>
                  </pic:spPr>
                </pic:pic>
              </a:graphicData>
            </a:graphic>
          </wp:anchor>
        </w:drawing>
      </w:r>
      <w:r>
        <w:rPr>
          <w:rFonts w:ascii="Cambria" w:eastAsia="Cambria" w:hAnsi="Cambria" w:cs="Cambria"/>
        </w:rPr>
        <w:t>(17)</w:t>
      </w:r>
    </w:p>
    <w:p w:rsidR="00EE13F6" w:rsidRDefault="002E5BC4">
      <w:pPr>
        <w:spacing w:after="690" w:line="264" w:lineRule="auto"/>
        <w:ind w:left="-5" w:right="2083" w:hanging="10"/>
        <w:jc w:val="both"/>
      </w:pPr>
      <w:r>
        <w:rPr>
          <w:rFonts w:ascii="Cambria" w:eastAsia="Cambria" w:hAnsi="Cambria" w:cs="Cambria"/>
        </w:rPr>
        <w:t>with</w:t>
      </w:r>
    </w:p>
    <w:p w:rsidR="00EE13F6" w:rsidRDefault="002E5BC4">
      <w:pPr>
        <w:spacing w:after="130" w:line="264" w:lineRule="auto"/>
        <w:ind w:left="-5" w:right="468" w:hanging="10"/>
        <w:jc w:val="both"/>
      </w:pPr>
      <w:r>
        <w:rPr>
          <w:rFonts w:ascii="Cambria" w:eastAsia="Cambria" w:hAnsi="Cambria" w:cs="Cambria"/>
          <w:b/>
        </w:rPr>
        <w:t xml:space="preserve">Remark: </w:t>
      </w:r>
      <w:r>
        <w:rPr>
          <w:rFonts w:ascii="Cambria" w:eastAsia="Cambria" w:hAnsi="Cambria" w:cs="Cambria"/>
        </w:rPr>
        <w:t xml:space="preserve">The formulation retains an origin of time which is </w:t>
      </w:r>
      <w:r>
        <w:rPr>
          <w:noProof/>
        </w:rPr>
        <w:drawing>
          <wp:inline distT="0" distB="0" distL="0" distR="0">
            <wp:extent cx="204216" cy="198120"/>
            <wp:effectExtent l="0" t="0" r="0" b="0"/>
            <wp:docPr id="221940" name="Picture 221940"/>
            <wp:cNvGraphicFramePr/>
            <a:graphic xmlns:a="http://schemas.openxmlformats.org/drawingml/2006/main">
              <a:graphicData uri="http://schemas.openxmlformats.org/drawingml/2006/picture">
                <pic:pic xmlns:pic="http://schemas.openxmlformats.org/drawingml/2006/picture">
                  <pic:nvPicPr>
                    <pic:cNvPr id="221940" name="Picture 221940"/>
                    <pic:cNvPicPr/>
                  </pic:nvPicPr>
                  <pic:blipFill>
                    <a:blip r:embed="rId157"/>
                    <a:stretch>
                      <a:fillRect/>
                    </a:stretch>
                  </pic:blipFill>
                  <pic:spPr>
                    <a:xfrm>
                      <a:off x="0" y="0"/>
                      <a:ext cx="204216" cy="198120"/>
                    </a:xfrm>
                    <a:prstGeom prst="rect">
                      <a:avLst/>
                    </a:prstGeom>
                  </pic:spPr>
                </pic:pic>
              </a:graphicData>
            </a:graphic>
          </wp:inline>
        </w:drawing>
      </w:r>
      <w:r>
        <w:rPr>
          <w:rFonts w:ascii="Cambria" w:eastAsia="Cambria" w:hAnsi="Cambria" w:cs="Cambria"/>
        </w:rPr>
        <w:t xml:space="preserve">. This explains why in the spread calculation above, we have to consider a possible value of </w:t>
      </w:r>
      <w:r>
        <w:rPr>
          <w:rFonts w:ascii="Cambria" w:eastAsia="Cambria" w:hAnsi="Cambria" w:cs="Cambria"/>
          <w:i/>
        </w:rPr>
        <w:t>P</w:t>
      </w:r>
      <w:r>
        <w:rPr>
          <w:rFonts w:ascii="Cambria" w:eastAsia="Cambria" w:hAnsi="Cambria" w:cs="Cambria"/>
        </w:rPr>
        <w:t>(0) different from 1.</w:t>
      </w:r>
    </w:p>
    <w:p w:rsidR="00EE13F6" w:rsidRDefault="002E5BC4">
      <w:pPr>
        <w:spacing w:after="8" w:line="264" w:lineRule="auto"/>
        <w:ind w:left="-5" w:right="468" w:hanging="10"/>
        <w:jc w:val="both"/>
      </w:pPr>
      <w:r>
        <w:rPr>
          <w:rFonts w:ascii="Cambria" w:eastAsia="Cambria" w:hAnsi="Cambria" w:cs="Cambria"/>
        </w:rPr>
        <w:t xml:space="preserve">Corporate asset volatility is not directly observable in the market. Therefore one must </w:t>
      </w:r>
      <w:r>
        <w:rPr>
          <w:rFonts w:ascii="Cambria" w:eastAsia="Cambria" w:hAnsi="Cambria" w:cs="Cambria"/>
        </w:rPr>
        <w:t>perform a necessary calibration, for example, to equity volatility. For a given corporate balance sheet structure, it is possible to derive from boundary conditions fulfilled by both equity and asset volatilities, a useful relationship between these two va</w:t>
      </w:r>
      <w:r>
        <w:rPr>
          <w:rFonts w:ascii="Cambria" w:eastAsia="Cambria" w:hAnsi="Cambria" w:cs="Cambria"/>
        </w:rPr>
        <w:t xml:space="preserve">riables. This has been done by various authors such as KMVVasicek and Vasicek) (2012) or JP.MorganFinkelstein et al. (2002). It can be shown (Finkelstein et al. (2002)), that the relationship between asset volatility </w:t>
      </w:r>
      <w:r>
        <w:rPr>
          <w:rFonts w:ascii="Cambria" w:eastAsia="Cambria" w:hAnsi="Cambria" w:cs="Cambria"/>
          <w:i/>
        </w:rPr>
        <w:t xml:space="preserve">σ </w:t>
      </w:r>
      <w:r>
        <w:rPr>
          <w:rFonts w:ascii="Cambria" w:eastAsia="Cambria" w:hAnsi="Cambria" w:cs="Cambria"/>
        </w:rPr>
        <w:t xml:space="preserve">and equity volatility </w:t>
      </w:r>
      <w:r>
        <w:rPr>
          <w:rFonts w:ascii="Cambria" w:eastAsia="Cambria" w:hAnsi="Cambria" w:cs="Cambria"/>
          <w:i/>
        </w:rPr>
        <w:t>σ</w:t>
      </w:r>
      <w:r>
        <w:rPr>
          <w:rFonts w:ascii="Cambria" w:eastAsia="Cambria" w:hAnsi="Cambria" w:cs="Cambria"/>
          <w:i/>
          <w:vertAlign w:val="subscript"/>
        </w:rPr>
        <w:t xml:space="preserve">S </w:t>
      </w:r>
      <w:r>
        <w:rPr>
          <w:rFonts w:ascii="Cambria" w:eastAsia="Cambria" w:hAnsi="Cambria" w:cs="Cambria"/>
        </w:rPr>
        <w:t>is as follow</w:t>
      </w:r>
      <w:r>
        <w:rPr>
          <w:rFonts w:ascii="Cambria" w:eastAsia="Cambria" w:hAnsi="Cambria" w:cs="Cambria"/>
        </w:rPr>
        <w:t>s:</w:t>
      </w:r>
    </w:p>
    <w:p w:rsidR="00EE13F6" w:rsidRDefault="002E5BC4">
      <w:pPr>
        <w:tabs>
          <w:tab w:val="center" w:pos="4712"/>
          <w:tab w:val="center" w:pos="9166"/>
        </w:tabs>
        <w:spacing w:after="410" w:line="265" w:lineRule="auto"/>
      </w:pPr>
      <w:r>
        <w:tab/>
      </w:r>
      <w:r>
        <w:rPr>
          <w:noProof/>
        </w:rPr>
        <w:drawing>
          <wp:inline distT="0" distB="0" distL="0" distR="0">
            <wp:extent cx="758952" cy="268224"/>
            <wp:effectExtent l="0" t="0" r="0" b="0"/>
            <wp:docPr id="221941" name="Picture 221941"/>
            <wp:cNvGraphicFramePr/>
            <a:graphic xmlns:a="http://schemas.openxmlformats.org/drawingml/2006/main">
              <a:graphicData uri="http://schemas.openxmlformats.org/drawingml/2006/picture">
                <pic:pic xmlns:pic="http://schemas.openxmlformats.org/drawingml/2006/picture">
                  <pic:nvPicPr>
                    <pic:cNvPr id="221941" name="Picture 221941"/>
                    <pic:cNvPicPr/>
                  </pic:nvPicPr>
                  <pic:blipFill>
                    <a:blip r:embed="rId158"/>
                    <a:stretch>
                      <a:fillRect/>
                    </a:stretch>
                  </pic:blipFill>
                  <pic:spPr>
                    <a:xfrm>
                      <a:off x="0" y="0"/>
                      <a:ext cx="758952" cy="268224"/>
                    </a:xfrm>
                    <a:prstGeom prst="rect">
                      <a:avLst/>
                    </a:prstGeom>
                  </pic:spPr>
                </pic:pic>
              </a:graphicData>
            </a:graphic>
          </wp:inline>
        </w:drawing>
      </w:r>
      <w:r>
        <w:rPr>
          <w:rFonts w:ascii="Cambria" w:eastAsia="Cambria" w:hAnsi="Cambria" w:cs="Cambria"/>
        </w:rPr>
        <w:tab/>
        <w:t>(18)</w:t>
      </w:r>
    </w:p>
    <w:p w:rsidR="00EE13F6" w:rsidRDefault="002E5BC4">
      <w:pPr>
        <w:pStyle w:val="Heading2"/>
        <w:ind w:left="608" w:right="106" w:hanging="623"/>
      </w:pPr>
      <w:r>
        <w:t>3.3 Generic Impact of the FTT on CDS Spreads Depending Upon Leverage: Comparative Statics</w:t>
      </w:r>
    </w:p>
    <w:p w:rsidR="00EE13F6" w:rsidRDefault="002E5BC4">
      <w:pPr>
        <w:spacing w:after="130" w:line="264" w:lineRule="auto"/>
        <w:ind w:left="-5" w:right="468" w:hanging="10"/>
        <w:jc w:val="both"/>
      </w:pPr>
      <w:r>
        <w:rPr>
          <w:rFonts w:ascii="Cambria" w:eastAsia="Cambria" w:hAnsi="Cambria" w:cs="Cambria"/>
        </w:rPr>
        <w:t>We consider a ”generic” corporation whose equity implied yearly volatility is 35 percent. We assess first the impact of the FTT on this volatility using ou</w:t>
      </w:r>
      <w:r>
        <w:rPr>
          <w:rFonts w:ascii="Cambria" w:eastAsia="Cambria" w:hAnsi="Cambria" w:cs="Cambria"/>
        </w:rPr>
        <w:t xml:space="preserve">r Boyle and Vorst framework. We apply the volatility level ”bump” on the sell side of options, having in mind that the agents selling credit default protection will hedge their positions by buying equity put options to market makers. We then derive, using </w:t>
      </w:r>
      <w:r>
        <w:rPr>
          <w:rFonts w:ascii="Cambria" w:eastAsia="Cambria" w:hAnsi="Cambria" w:cs="Cambria"/>
        </w:rPr>
        <w:t xml:space="preserve">CreditGrades </w:t>
      </w:r>
      <w:r>
        <w:rPr>
          <w:rFonts w:ascii="Cambria" w:eastAsia="Cambria" w:hAnsi="Cambria" w:cs="Cambria"/>
          <w:sz w:val="16"/>
        </w:rPr>
        <w:t xml:space="preserve">R </w:t>
      </w:r>
      <w:r>
        <w:rPr>
          <w:rFonts w:ascii="Cambria" w:eastAsia="Cambria" w:hAnsi="Cambria" w:cs="Cambria"/>
        </w:rPr>
        <w:t>, the subsequent generic impact on the Credit Default Swap spread. Depending upon the corporation’s balance sheet structure, this volatility level leads to various credit spreads.</w:t>
      </w:r>
    </w:p>
    <w:p w:rsidR="00EE13F6" w:rsidRDefault="002E5BC4">
      <w:pPr>
        <w:spacing w:after="217" w:line="264" w:lineRule="auto"/>
        <w:ind w:left="-5" w:right="468" w:hanging="10"/>
        <w:jc w:val="both"/>
      </w:pPr>
      <w:r>
        <w:rPr>
          <w:rFonts w:ascii="Cambria" w:eastAsia="Cambria" w:hAnsi="Cambria" w:cs="Cambria"/>
        </w:rPr>
        <w:t>As discussed before, in case there are no existing market-mak</w:t>
      </w:r>
      <w:r>
        <w:rPr>
          <w:rFonts w:ascii="Cambria" w:eastAsia="Cambria" w:hAnsi="Cambria" w:cs="Cambria"/>
        </w:rPr>
        <w:t>ers, the economic agents will try to recreate a put by replicating a portfolio consisting of shares and cash. In that case, they will incur the same cascading cost effects linked to the FTT. The results are set forth in table 3 below.</w:t>
      </w:r>
    </w:p>
    <w:p w:rsidR="00EE13F6" w:rsidRDefault="002E5BC4">
      <w:pPr>
        <w:spacing w:after="205" w:line="257" w:lineRule="auto"/>
        <w:ind w:left="-5" w:right="361" w:hanging="10"/>
      </w:pPr>
      <w:r>
        <w:rPr>
          <w:rFonts w:ascii="Cambria" w:eastAsia="Cambria" w:hAnsi="Cambria" w:cs="Cambria"/>
        </w:rPr>
        <w:t xml:space="preserve">Table 2: </w:t>
      </w:r>
      <w:r>
        <w:rPr>
          <w:rFonts w:ascii="Cambria" w:eastAsia="Cambria" w:hAnsi="Cambria" w:cs="Cambria"/>
          <w:b/>
        </w:rPr>
        <w:t>FTT impact on Corporate Debt cost in basis points per annum for Various Balance Sheet Structures, CDS Recovery Rate:0.4; Global Recovery rate: 0.5</w:t>
      </w:r>
    </w:p>
    <w:tbl>
      <w:tblPr>
        <w:tblStyle w:val="TableGrid"/>
        <w:tblW w:w="6472" w:type="dxa"/>
        <w:tblInd w:w="1444" w:type="dxa"/>
        <w:tblCellMar>
          <w:top w:w="42" w:type="dxa"/>
          <w:left w:w="124" w:type="dxa"/>
          <w:bottom w:w="0" w:type="dxa"/>
          <w:right w:w="115" w:type="dxa"/>
        </w:tblCellMar>
        <w:tblLook w:val="04A0" w:firstRow="1" w:lastRow="0" w:firstColumn="1" w:lastColumn="0" w:noHBand="0" w:noVBand="1"/>
      </w:tblPr>
      <w:tblGrid>
        <w:gridCol w:w="2006"/>
        <w:gridCol w:w="650"/>
        <w:gridCol w:w="650"/>
        <w:gridCol w:w="650"/>
        <w:gridCol w:w="650"/>
        <w:gridCol w:w="650"/>
        <w:gridCol w:w="650"/>
        <w:gridCol w:w="650"/>
      </w:tblGrid>
      <w:tr w:rsidR="00EE13F6">
        <w:trPr>
          <w:trHeight w:val="279"/>
        </w:trPr>
        <w:tc>
          <w:tcPr>
            <w:tcW w:w="2027"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TenorxDebt/Share</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0.5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3</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4</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5"/>
            </w:pPr>
            <w:r>
              <w:rPr>
                <w:rFonts w:ascii="Cambria" w:eastAsia="Cambria" w:hAnsi="Cambria" w:cs="Cambria"/>
              </w:rPr>
              <w:t>10</w:t>
            </w:r>
          </w:p>
        </w:tc>
      </w:tr>
      <w:tr w:rsidR="00EE13F6">
        <w:trPr>
          <w:trHeight w:val="279"/>
        </w:trPr>
        <w:tc>
          <w:tcPr>
            <w:tcW w:w="2027"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5Y</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5"/>
            </w:pPr>
            <w:r>
              <w:rPr>
                <w:rFonts w:ascii="Cambria" w:eastAsia="Cambria" w:hAnsi="Cambria" w:cs="Cambria"/>
              </w:rPr>
              <w:t>40</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53.7</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58.2</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85"/>
            </w:pPr>
            <w:r>
              <w:rPr>
                <w:rFonts w:ascii="Cambria" w:eastAsia="Cambria" w:hAnsi="Cambria" w:cs="Cambria"/>
              </w:rPr>
              <w:t>54</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50.4</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46.2</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33.1</w:t>
            </w:r>
          </w:p>
        </w:tc>
      </w:tr>
      <w:tr w:rsidR="00EE13F6">
        <w:trPr>
          <w:trHeight w:val="279"/>
        </w:trPr>
        <w:tc>
          <w:tcPr>
            <w:tcW w:w="2027"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10Y</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50.9</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57.7</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57.1</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53.1</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58.8</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54.9</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32.8</w:t>
            </w:r>
          </w:p>
        </w:tc>
      </w:tr>
      <w:tr w:rsidR="00EE13F6">
        <w:trPr>
          <w:trHeight w:val="279"/>
        </w:trPr>
        <w:tc>
          <w:tcPr>
            <w:tcW w:w="2027"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15Y</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54.1</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57.5</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55.4</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51.3</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57.3</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53.8</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32.5</w:t>
            </w:r>
          </w:p>
        </w:tc>
      </w:tr>
      <w:tr w:rsidR="00EE13F6">
        <w:trPr>
          <w:trHeight w:val="279"/>
        </w:trPr>
        <w:tc>
          <w:tcPr>
            <w:tcW w:w="2027"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20Y</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54.6</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56.4</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55.4</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49.8</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46.1</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42.8</w:t>
            </w:r>
          </w:p>
        </w:tc>
        <w:tc>
          <w:tcPr>
            <w:tcW w:w="63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32.3</w:t>
            </w:r>
          </w:p>
        </w:tc>
      </w:tr>
    </w:tbl>
    <w:p w:rsidR="00EE13F6" w:rsidRDefault="002E5BC4">
      <w:pPr>
        <w:pStyle w:val="Heading2"/>
        <w:ind w:left="608" w:right="106" w:hanging="623"/>
      </w:pPr>
      <w:r>
        <w:lastRenderedPageBreak/>
        <w:t>3.4</w:t>
      </w:r>
      <w:r>
        <w:tab/>
        <w:t>Quantitative Impact of the FTT on CDS Spreads by Credit Model Calibration</w:t>
      </w:r>
    </w:p>
    <w:p w:rsidR="00EE13F6" w:rsidRDefault="002E5BC4">
      <w:pPr>
        <w:spacing w:after="130" w:line="264" w:lineRule="auto"/>
        <w:ind w:left="-5" w:right="468" w:hanging="10"/>
        <w:jc w:val="both"/>
      </w:pPr>
      <w:r>
        <w:rPr>
          <w:rFonts w:ascii="Cambria" w:eastAsia="Cambria" w:hAnsi="Cambria" w:cs="Cambria"/>
        </w:rPr>
        <w:t>We consider now a set of 6 corporations listed on European stock exchanges (Axa, Michelin, Arcelor Mittal, Alsthom, Commerzbank, Unicredit). Those companies are financial or industrial companies that have both an active credit default swap market and a liq</w:t>
      </w:r>
      <w:r>
        <w:rPr>
          <w:rFonts w:ascii="Cambria" w:eastAsia="Cambria" w:hAnsi="Cambria" w:cs="Cambria"/>
        </w:rPr>
        <w:t xml:space="preserve">uid equity option market, till a maturity of three years. We observe the CDS spreads level for the 5-year tenor. Using the CreditGrades </w:t>
      </w:r>
      <w:r>
        <w:rPr>
          <w:rFonts w:ascii="Cambria" w:eastAsia="Cambria" w:hAnsi="Cambria" w:cs="Cambria"/>
          <w:sz w:val="16"/>
        </w:rPr>
        <w:t xml:space="preserve">R </w:t>
      </w:r>
      <w:r>
        <w:rPr>
          <w:rFonts w:ascii="Cambria" w:eastAsia="Cambria" w:hAnsi="Cambria" w:cs="Cambria"/>
        </w:rPr>
        <w:t>model and a standard assumption on the recovery rate characteristics (average 0.5 and standard deviation 0.50), we der</w:t>
      </w:r>
      <w:r>
        <w:rPr>
          <w:rFonts w:ascii="Cambria" w:eastAsia="Cambria" w:hAnsi="Cambria" w:cs="Cambria"/>
        </w:rPr>
        <w:t>ive the implied equity volatility which is consistent with the 5-year CDS spread levels. This gives us a starting point in terms of credit spreads.</w:t>
      </w:r>
    </w:p>
    <w:p w:rsidR="00EE13F6" w:rsidRDefault="002E5BC4">
      <w:pPr>
        <w:spacing w:after="130" w:line="264" w:lineRule="auto"/>
        <w:ind w:left="-5" w:right="468" w:hanging="10"/>
        <w:jc w:val="both"/>
      </w:pPr>
      <w:r>
        <w:rPr>
          <w:rFonts w:ascii="Cambria" w:eastAsia="Cambria" w:hAnsi="Cambria" w:cs="Cambria"/>
        </w:rPr>
        <w:t>Assuming that the equity option market for 5 to 20 years is illiquid, we apply our results about the FTT imp</w:t>
      </w:r>
      <w:r>
        <w:rPr>
          <w:rFonts w:ascii="Cambria" w:eastAsia="Cambria" w:hAnsi="Cambria" w:cs="Cambria"/>
        </w:rPr>
        <w:t>act for non liquid option markets. We compute a theoretical impact on the ”asked price” of implied volatility quoted by option market-makers, for selling put equity options. We then assume a flat volatility forward curve for 5-years and beyond.</w:t>
      </w:r>
    </w:p>
    <w:p w:rsidR="00EE13F6" w:rsidRDefault="002E5BC4">
      <w:pPr>
        <w:spacing w:after="130" w:line="264" w:lineRule="auto"/>
        <w:ind w:left="-5" w:right="468" w:hanging="10"/>
        <w:jc w:val="both"/>
      </w:pPr>
      <w:r>
        <w:rPr>
          <w:rFonts w:ascii="Cambria" w:eastAsia="Cambria" w:hAnsi="Cambria" w:cs="Cambria"/>
        </w:rPr>
        <w:t>This effect</w:t>
      </w:r>
      <w:r>
        <w:rPr>
          <w:rFonts w:ascii="Cambria" w:eastAsia="Cambria" w:hAnsi="Cambria" w:cs="Cambria"/>
        </w:rPr>
        <w:t xml:space="preserve"> is computed assuming a 2 percent based </w:t>
      </w:r>
      <w:r>
        <w:rPr>
          <w:rFonts w:ascii="Cambria" w:eastAsia="Cambria" w:hAnsi="Cambria" w:cs="Cambria"/>
          <w:i/>
        </w:rPr>
        <w:t>Delta</w:t>
      </w:r>
      <w:r>
        <w:rPr>
          <w:rFonts w:ascii="Cambria" w:eastAsia="Cambria" w:hAnsi="Cambria" w:cs="Cambria"/>
          <w:i/>
          <w:vertAlign w:val="subscript"/>
        </w:rPr>
        <w:t xml:space="preserve">s </w:t>
      </w:r>
      <w:r>
        <w:rPr>
          <w:rFonts w:ascii="Cambria" w:eastAsia="Cambria" w:hAnsi="Cambria" w:cs="Cambria"/>
        </w:rPr>
        <w:t>rule. We use a favorable assumption on the repurchase agreement taxation which is that every operation would be taxed at 0.2 percent, even if the operation is rolled over on several days. Should this assumptio</w:t>
      </w:r>
      <w:r>
        <w:rPr>
          <w:rFonts w:ascii="Cambria" w:eastAsia="Cambria" w:hAnsi="Cambria" w:cs="Cambria"/>
        </w:rPr>
        <w:t xml:space="preserve">n fail, and for instance the repo operations be taxed every time they are rolled overnight, we would have to consider that Replication portfolio should be funded at an unsecured deposit rate which is generally higher. This would increase the impact of the </w:t>
      </w:r>
      <w:r>
        <w:rPr>
          <w:rFonts w:ascii="Cambria" w:eastAsia="Cambria" w:hAnsi="Cambria" w:cs="Cambria"/>
        </w:rPr>
        <w:t>FTT on volatility.</w:t>
      </w:r>
    </w:p>
    <w:p w:rsidR="00EE13F6" w:rsidRDefault="002E5BC4">
      <w:pPr>
        <w:spacing w:after="144" w:line="252" w:lineRule="auto"/>
        <w:ind w:left="-5" w:right="468" w:hanging="10"/>
      </w:pPr>
      <w:r>
        <w:rPr>
          <w:rFonts w:ascii="Cambria" w:eastAsia="Cambria" w:hAnsi="Cambria" w:cs="Cambria"/>
        </w:rPr>
        <w:t>We do not consider any impact of stochastic volatility because of the difficulty of calibration of any stochastic volatility model, in the absence of available quotes on the option markets for the 5-years maturity.</w:t>
      </w:r>
    </w:p>
    <w:p w:rsidR="00EE13F6" w:rsidRDefault="002E5BC4">
      <w:pPr>
        <w:spacing w:after="130" w:line="264" w:lineRule="auto"/>
        <w:ind w:left="-5" w:right="468" w:hanging="10"/>
        <w:jc w:val="both"/>
      </w:pPr>
      <w:r>
        <w:rPr>
          <w:rFonts w:ascii="Cambria" w:eastAsia="Cambria" w:hAnsi="Cambria" w:cs="Cambria"/>
        </w:rPr>
        <w:t>Even in the case, where no option market-maker would willing to quote on that market, the calculation stays the same, as it is still possible to reproduce a put option using a replication portfolio consisting of selling shares, self-financed by the upfront</w:t>
      </w:r>
      <w:r>
        <w:rPr>
          <w:rFonts w:ascii="Cambria" w:eastAsia="Cambria" w:hAnsi="Cambria" w:cs="Cambria"/>
        </w:rPr>
        <w:t xml:space="preserve"> value of the CDS.</w:t>
      </w:r>
    </w:p>
    <w:p w:rsidR="00EE13F6" w:rsidRDefault="002E5BC4">
      <w:pPr>
        <w:spacing w:after="130" w:line="264" w:lineRule="auto"/>
        <w:ind w:left="-5" w:right="468" w:hanging="10"/>
        <w:jc w:val="both"/>
      </w:pPr>
      <w:r>
        <w:rPr>
          <w:rFonts w:ascii="Cambria" w:eastAsia="Cambria" w:hAnsi="Cambria" w:cs="Cambria"/>
        </w:rPr>
        <w:t>For the two reasons mentioned above our calculation represents a minimum of the possible impact on quoted volatility and therefore on credit spreads.</w:t>
      </w:r>
    </w:p>
    <w:p w:rsidR="00EE13F6" w:rsidRDefault="002E5BC4">
      <w:pPr>
        <w:spacing w:after="130" w:line="264" w:lineRule="auto"/>
        <w:ind w:left="-5" w:right="468" w:hanging="10"/>
        <w:jc w:val="both"/>
      </w:pPr>
      <w:r>
        <w:rPr>
          <w:rFonts w:ascii="Cambria" w:eastAsia="Cambria" w:hAnsi="Cambria" w:cs="Cambria"/>
        </w:rPr>
        <w:t xml:space="preserve">We find (cf Table 4 below) that the FTT triggers a substantial increase in the cost of </w:t>
      </w:r>
      <w:r>
        <w:rPr>
          <w:rFonts w:ascii="Cambria" w:eastAsia="Cambria" w:hAnsi="Cambria" w:cs="Cambria"/>
        </w:rPr>
        <w:t>funding for these corporations. For the three financial institutions (Axa,Commerzbank, UniCredit) the impact seems to be much lower than for the three industrial companies (Alsthom, Arcelor-Mittal, Michelin). For the three financial institutions, the impac</w:t>
      </w:r>
      <w:r>
        <w:rPr>
          <w:rFonts w:ascii="Cambria" w:eastAsia="Cambria" w:hAnsi="Cambria" w:cs="Cambria"/>
        </w:rPr>
        <w:t>t ranges between 27 and 47 basis points per annum, which represents between 20 and 50 percent of relative increase of the credit spread.</w:t>
      </w:r>
    </w:p>
    <w:p w:rsidR="00EE13F6" w:rsidRDefault="002E5BC4">
      <w:pPr>
        <w:spacing w:after="130" w:line="264" w:lineRule="auto"/>
        <w:ind w:left="-5" w:right="468" w:hanging="10"/>
        <w:jc w:val="both"/>
      </w:pPr>
      <w:r>
        <w:rPr>
          <w:rFonts w:ascii="Cambria" w:eastAsia="Cambria" w:hAnsi="Cambria" w:cs="Cambria"/>
        </w:rPr>
        <w:t>For the three industrial companies, the increase in the credit spreads ranges from 56 to 174 basis points, and for Mich</w:t>
      </w:r>
      <w:r>
        <w:rPr>
          <w:rFonts w:ascii="Cambria" w:eastAsia="Cambria" w:hAnsi="Cambria" w:cs="Cambria"/>
        </w:rPr>
        <w:t>elin and Alsthom is consistent with a doubling of the credit spread at 5 years.</w:t>
      </w:r>
    </w:p>
    <w:p w:rsidR="00EE13F6" w:rsidRDefault="002E5BC4">
      <w:pPr>
        <w:spacing w:after="130" w:line="264" w:lineRule="auto"/>
        <w:ind w:left="-5" w:right="468" w:hanging="10"/>
        <w:jc w:val="both"/>
      </w:pPr>
      <w:r>
        <w:rPr>
          <w:rFonts w:ascii="Cambria" w:eastAsia="Cambria" w:hAnsi="Cambria" w:cs="Cambria"/>
        </w:rPr>
        <w:t xml:space="preserve">The results compare to the analysis performed by DGLendvai et al. (2012). This study uses a general equilibrium model and concludes that the introduction of the FTT would lead </w:t>
      </w:r>
      <w:r>
        <w:rPr>
          <w:rFonts w:ascii="Cambria" w:eastAsia="Cambria" w:hAnsi="Cambria" w:cs="Cambria"/>
        </w:rPr>
        <w:t>to an increase of 9 basis points per annum of the cost of capital for European corporations.</w:t>
      </w:r>
    </w:p>
    <w:p w:rsidR="00EE13F6" w:rsidRDefault="002E5BC4">
      <w:pPr>
        <w:spacing w:after="130" w:line="264" w:lineRule="auto"/>
        <w:ind w:left="-5" w:right="468" w:hanging="10"/>
        <w:jc w:val="both"/>
      </w:pPr>
      <w:r>
        <w:rPr>
          <w:rFonts w:ascii="Cambria" w:eastAsia="Cambria" w:hAnsi="Cambria" w:cs="Cambria"/>
        </w:rPr>
        <w:t xml:space="preserve">By contrast, we find an impact that is between 5 and 20 times more, and which depends upon the balance sheet of the corporation considered, as well as the implied </w:t>
      </w:r>
      <w:r>
        <w:rPr>
          <w:rFonts w:ascii="Cambria" w:eastAsia="Cambria" w:hAnsi="Cambria" w:cs="Cambria"/>
        </w:rPr>
        <w:t>volatility of its equity shares (recall that our calculation is based upon a lenient assumption on the final decision about the taxation of stock lending and borrowing).</w:t>
      </w:r>
    </w:p>
    <w:p w:rsidR="00EE13F6" w:rsidRDefault="002E5BC4">
      <w:pPr>
        <w:spacing w:after="217" w:line="264" w:lineRule="auto"/>
        <w:ind w:left="-5" w:right="468" w:hanging="10"/>
        <w:jc w:val="both"/>
      </w:pPr>
      <w:r>
        <w:rPr>
          <w:rFonts w:ascii="Cambria" w:eastAsia="Cambria" w:hAnsi="Cambria" w:cs="Cambria"/>
        </w:rPr>
        <w:lastRenderedPageBreak/>
        <w:t>Because of the connection between CDS and corporate bond markets through ”basis arbitrage” , this increase is likely to propagate to the bond market.</w:t>
      </w:r>
    </w:p>
    <w:p w:rsidR="00EE13F6" w:rsidRDefault="002E5BC4">
      <w:pPr>
        <w:spacing w:after="5" w:line="257" w:lineRule="auto"/>
        <w:ind w:left="-5" w:right="361" w:hanging="10"/>
      </w:pPr>
      <w:r>
        <w:rPr>
          <w:rFonts w:ascii="Cambria" w:eastAsia="Cambria" w:hAnsi="Cambria" w:cs="Cambria"/>
        </w:rPr>
        <w:t xml:space="preserve">Table 3: </w:t>
      </w:r>
      <w:r>
        <w:rPr>
          <w:rFonts w:ascii="Cambria" w:eastAsia="Cambria" w:hAnsi="Cambria" w:cs="Cambria"/>
          <w:b/>
        </w:rPr>
        <w:t>FTT Impact on the CDS spreads for a sample of six European Corporate</w:t>
      </w:r>
    </w:p>
    <w:p w:rsidR="00EE13F6" w:rsidRDefault="002E5BC4">
      <w:pPr>
        <w:spacing w:after="205" w:line="257" w:lineRule="auto"/>
        <w:ind w:left="-5" w:right="361" w:hanging="10"/>
      </w:pPr>
      <w:r>
        <w:rPr>
          <w:rFonts w:ascii="Cambria" w:eastAsia="Cambria" w:hAnsi="Cambria" w:cs="Cambria"/>
          <w:b/>
        </w:rPr>
        <w:t>Firms</w:t>
      </w:r>
    </w:p>
    <w:tbl>
      <w:tblPr>
        <w:tblStyle w:val="TableGrid"/>
        <w:tblW w:w="8516" w:type="dxa"/>
        <w:tblInd w:w="422" w:type="dxa"/>
        <w:tblCellMar>
          <w:top w:w="42" w:type="dxa"/>
          <w:left w:w="124" w:type="dxa"/>
          <w:bottom w:w="0" w:type="dxa"/>
          <w:right w:w="124" w:type="dxa"/>
        </w:tblCellMar>
        <w:tblLook w:val="04A0" w:firstRow="1" w:lastRow="0" w:firstColumn="1" w:lastColumn="0" w:noHBand="0" w:noVBand="1"/>
      </w:tblPr>
      <w:tblGrid>
        <w:gridCol w:w="1622"/>
        <w:gridCol w:w="1121"/>
        <w:gridCol w:w="903"/>
        <w:gridCol w:w="1213"/>
        <w:gridCol w:w="903"/>
        <w:gridCol w:w="918"/>
        <w:gridCol w:w="918"/>
        <w:gridCol w:w="918"/>
      </w:tblGrid>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Issuer</w:t>
            </w:r>
          </w:p>
        </w:tc>
        <w:tc>
          <w:tcPr>
            <w:tcW w:w="1248"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5Y-Spread</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i/>
              </w:rPr>
              <w:t>σ</w:t>
            </w:r>
          </w:p>
        </w:tc>
        <w:tc>
          <w:tcPr>
            <w:tcW w:w="128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Mod</w:t>
            </w:r>
            <w:r>
              <w:rPr>
                <w:rFonts w:ascii="Cambria" w:eastAsia="Cambria" w:hAnsi="Cambria" w:cs="Cambria"/>
              </w:rPr>
              <w:t xml:space="preserve">ified </w:t>
            </w:r>
            <w:r>
              <w:rPr>
                <w:rFonts w:ascii="Cambria" w:eastAsia="Cambria" w:hAnsi="Cambria" w:cs="Cambria"/>
                <w:i/>
              </w:rPr>
              <w:t>σ</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9"/>
            </w:pPr>
            <w:r>
              <w:rPr>
                <w:rFonts w:ascii="Cambria" w:eastAsia="Cambria" w:hAnsi="Cambria" w:cs="Cambria"/>
              </w:rPr>
              <w:t>5Y-∆</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rPr>
              <w:t>10Y-∆</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rPr>
              <w:t>15Y-∆</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rPr>
              <w:t>20Y-∆</w:t>
            </w:r>
          </w:p>
        </w:tc>
      </w:tr>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Alsthom</w:t>
            </w:r>
          </w:p>
        </w:tc>
        <w:tc>
          <w:tcPr>
            <w:tcW w:w="124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82.3</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0.4058</w:t>
            </w:r>
          </w:p>
        </w:tc>
        <w:tc>
          <w:tcPr>
            <w:tcW w:w="128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0.4801</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55.83</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66.05</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65.05</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63.45</w:t>
            </w:r>
          </w:p>
        </w:tc>
      </w:tr>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Arcelor-Mittal</w:t>
            </w:r>
          </w:p>
        </w:tc>
        <w:tc>
          <w:tcPr>
            <w:tcW w:w="124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364.93</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0.5502</w:t>
            </w:r>
          </w:p>
        </w:tc>
        <w:tc>
          <w:tcPr>
            <w:tcW w:w="128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0.6513</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173.16</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15"/>
            </w:pPr>
            <w:r>
              <w:rPr>
                <w:rFonts w:ascii="Cambria" w:eastAsia="Cambria" w:hAnsi="Cambria" w:cs="Cambria"/>
              </w:rPr>
              <w:t>156.37</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15"/>
            </w:pPr>
            <w:r>
              <w:rPr>
                <w:rFonts w:ascii="Cambria" w:eastAsia="Cambria" w:hAnsi="Cambria" w:cs="Cambria"/>
              </w:rPr>
              <w:t>145.48</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15"/>
            </w:pPr>
            <w:r>
              <w:rPr>
                <w:rFonts w:ascii="Cambria" w:eastAsia="Cambria" w:hAnsi="Cambria" w:cs="Cambria"/>
              </w:rPr>
              <w:t>139.22</w:t>
            </w:r>
          </w:p>
        </w:tc>
      </w:tr>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Axa</w:t>
            </w:r>
          </w:p>
        </w:tc>
        <w:tc>
          <w:tcPr>
            <w:tcW w:w="124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73.62</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0.28</w:t>
            </w:r>
          </w:p>
        </w:tc>
        <w:tc>
          <w:tcPr>
            <w:tcW w:w="128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0.3313</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37.46</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44.75</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49.70</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44.97</w:t>
            </w:r>
          </w:p>
        </w:tc>
      </w:tr>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rPr>
              <w:t>Commerzbank</w:t>
            </w:r>
          </w:p>
        </w:tc>
        <w:tc>
          <w:tcPr>
            <w:tcW w:w="124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130.47</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0.2</w:t>
            </w:r>
          </w:p>
        </w:tc>
        <w:tc>
          <w:tcPr>
            <w:tcW w:w="128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0.2366</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26.39</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27.42</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27.24</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26.61</w:t>
            </w:r>
          </w:p>
        </w:tc>
      </w:tr>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Michelin</w:t>
            </w:r>
          </w:p>
        </w:tc>
        <w:tc>
          <w:tcPr>
            <w:tcW w:w="124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47.01</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0.41</w:t>
            </w:r>
          </w:p>
        </w:tc>
        <w:tc>
          <w:tcPr>
            <w:tcW w:w="128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0.4851</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55.69</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79.62</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81.84</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79.96</w:t>
            </w:r>
          </w:p>
        </w:tc>
      </w:tr>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UniCredit</w:t>
            </w:r>
          </w:p>
        </w:tc>
        <w:tc>
          <w:tcPr>
            <w:tcW w:w="124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188.9</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0.228</w:t>
            </w:r>
          </w:p>
        </w:tc>
        <w:tc>
          <w:tcPr>
            <w:tcW w:w="128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0.2698</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46.44</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43.52</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40.02</w:t>
            </w:r>
          </w:p>
        </w:tc>
        <w:tc>
          <w:tcPr>
            <w:tcW w:w="88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0"/>
            </w:pPr>
            <w:r>
              <w:rPr>
                <w:rFonts w:ascii="Cambria" w:eastAsia="Cambria" w:hAnsi="Cambria" w:cs="Cambria"/>
              </w:rPr>
              <w:t>37.02</w:t>
            </w:r>
          </w:p>
        </w:tc>
      </w:tr>
    </w:tbl>
    <w:p w:rsidR="00EE13F6" w:rsidRDefault="002E5BC4">
      <w:pPr>
        <w:pStyle w:val="Heading2"/>
        <w:tabs>
          <w:tab w:val="center" w:pos="4669"/>
        </w:tabs>
        <w:ind w:left="-15" w:firstLine="0"/>
      </w:pPr>
      <w:r>
        <w:t>3.5</w:t>
      </w:r>
      <w:r>
        <w:tab/>
        <w:t>The Consequences on The Secondary Cash Corporate Bond Markets</w:t>
      </w:r>
    </w:p>
    <w:p w:rsidR="00EE13F6" w:rsidRDefault="002E5BC4">
      <w:pPr>
        <w:spacing w:after="130" w:line="264" w:lineRule="auto"/>
        <w:ind w:left="-5" w:right="468" w:hanging="10"/>
        <w:jc w:val="both"/>
      </w:pPr>
      <w:r>
        <w:rPr>
          <w:rFonts w:ascii="Cambria" w:eastAsia="Cambria" w:hAnsi="Cambria" w:cs="Cambria"/>
        </w:rPr>
        <w:t xml:space="preserve">The increase in the Credit Default Swap Spread generated by the increase in volatility as well as the increase in the corporate bond basis will translate directly into a decrease in the corporate bond prices due to the sensitivity of the bond price toward </w:t>
      </w:r>
      <w:r>
        <w:rPr>
          <w:rFonts w:ascii="Cambria" w:eastAsia="Cambria" w:hAnsi="Cambria" w:cs="Cambria"/>
        </w:rPr>
        <w:t>the Bond interest rate.</w:t>
      </w:r>
    </w:p>
    <w:p w:rsidR="00EE13F6" w:rsidRDefault="002E5BC4">
      <w:pPr>
        <w:spacing w:after="217" w:line="264" w:lineRule="auto"/>
        <w:ind w:left="-5" w:right="468" w:hanging="10"/>
        <w:jc w:val="both"/>
      </w:pPr>
      <w:r>
        <w:rPr>
          <w:rFonts w:ascii="Cambria" w:eastAsia="Cambria" w:hAnsi="Cambria" w:cs="Cambria"/>
        </w:rPr>
        <w:t>Table 4 evidences the bond price impact on the secondary bond market for the sample of - corporate companies considered before, for various bond maturities. One can note a wide range of price impact, which ranges from 3 percent to 8</w:t>
      </w:r>
      <w:r>
        <w:rPr>
          <w:rFonts w:ascii="Cambria" w:eastAsia="Cambria" w:hAnsi="Cambria" w:cs="Cambria"/>
        </w:rPr>
        <w:t>0 percent, depending upon the corporate company initial rating, its balance sheet structure and the bond’s maturity.</w:t>
      </w:r>
    </w:p>
    <w:p w:rsidR="00EE13F6" w:rsidRDefault="002E5BC4">
      <w:pPr>
        <w:spacing w:after="205" w:line="257" w:lineRule="auto"/>
        <w:ind w:left="-5" w:right="361" w:hanging="10"/>
      </w:pPr>
      <w:r>
        <w:rPr>
          <w:rFonts w:ascii="Cambria" w:eastAsia="Cambria" w:hAnsi="Cambria" w:cs="Cambria"/>
        </w:rPr>
        <w:t xml:space="preserve">Table 4: </w:t>
      </w:r>
      <w:r>
        <w:rPr>
          <w:rFonts w:ascii="Cambria" w:eastAsia="Cambria" w:hAnsi="Cambria" w:cs="Cambria"/>
          <w:b/>
        </w:rPr>
        <w:t>Corporate Bond Relative Value Variation in Percentage of Market prices for a sample of six European Corporate Firms Depending Upon</w:t>
      </w:r>
      <w:r>
        <w:rPr>
          <w:rFonts w:ascii="Cambria" w:eastAsia="Cambria" w:hAnsi="Cambria" w:cs="Cambria"/>
          <w:b/>
        </w:rPr>
        <w:t xml:space="preserve"> Bond Maturity</w:t>
      </w:r>
    </w:p>
    <w:tbl>
      <w:tblPr>
        <w:tblStyle w:val="TableGrid"/>
        <w:tblW w:w="7036" w:type="dxa"/>
        <w:tblInd w:w="1150" w:type="dxa"/>
        <w:tblCellMar>
          <w:top w:w="42" w:type="dxa"/>
          <w:left w:w="124" w:type="dxa"/>
          <w:bottom w:w="0" w:type="dxa"/>
          <w:right w:w="124" w:type="dxa"/>
        </w:tblCellMar>
        <w:tblLook w:val="04A0" w:firstRow="1" w:lastRow="0" w:firstColumn="1" w:lastColumn="0" w:noHBand="0" w:noVBand="1"/>
      </w:tblPr>
      <w:tblGrid>
        <w:gridCol w:w="1624"/>
        <w:gridCol w:w="1266"/>
        <w:gridCol w:w="1374"/>
        <w:gridCol w:w="1374"/>
        <w:gridCol w:w="1398"/>
      </w:tblGrid>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Issuer</w:t>
            </w:r>
          </w:p>
        </w:tc>
        <w:tc>
          <w:tcPr>
            <w:tcW w:w="126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5Y-Impact</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10Y-Impact</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15Y-Impact</w:t>
            </w:r>
          </w:p>
        </w:tc>
        <w:tc>
          <w:tcPr>
            <w:tcW w:w="1398" w:type="dxa"/>
            <w:tcBorders>
              <w:top w:val="single" w:sz="3" w:space="0" w:color="000000"/>
              <w:left w:val="single" w:sz="3" w:space="0" w:color="000000"/>
              <w:bottom w:val="single" w:sz="3" w:space="0" w:color="000000"/>
              <w:right w:val="double" w:sz="3" w:space="0" w:color="000000"/>
            </w:tcBorders>
          </w:tcPr>
          <w:p w:rsidR="00EE13F6" w:rsidRDefault="002E5BC4">
            <w:pPr>
              <w:spacing w:after="0"/>
            </w:pPr>
            <w:r>
              <w:rPr>
                <w:rFonts w:ascii="Cambria" w:eastAsia="Cambria" w:hAnsi="Cambria" w:cs="Cambria"/>
              </w:rPr>
              <w:t>20Y-Impact</w:t>
            </w:r>
          </w:p>
        </w:tc>
      </w:tr>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Alsthom</w:t>
            </w:r>
          </w:p>
        </w:tc>
        <w:tc>
          <w:tcPr>
            <w:tcW w:w="126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-3.99</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-8.3</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-12.38</w:t>
            </w:r>
          </w:p>
        </w:tc>
        <w:tc>
          <w:tcPr>
            <w:tcW w:w="1398" w:type="dxa"/>
            <w:tcBorders>
              <w:top w:val="single" w:sz="3" w:space="0" w:color="000000"/>
              <w:left w:val="single" w:sz="3" w:space="0" w:color="000000"/>
              <w:bottom w:val="single" w:sz="3" w:space="0" w:color="000000"/>
              <w:right w:val="double" w:sz="3" w:space="0" w:color="000000"/>
            </w:tcBorders>
          </w:tcPr>
          <w:p w:rsidR="00EE13F6" w:rsidRDefault="002E5BC4">
            <w:pPr>
              <w:spacing w:after="0"/>
              <w:ind w:right="24"/>
              <w:jc w:val="center"/>
            </w:pPr>
            <w:r>
              <w:rPr>
                <w:rFonts w:ascii="Cambria" w:eastAsia="Cambria" w:hAnsi="Cambria" w:cs="Cambria"/>
              </w:rPr>
              <w:t>-16.98</w:t>
            </w:r>
          </w:p>
        </w:tc>
      </w:tr>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
            </w:pPr>
            <w:r>
              <w:rPr>
                <w:rFonts w:ascii="Cambria" w:eastAsia="Cambria" w:hAnsi="Cambria" w:cs="Cambria"/>
              </w:rPr>
              <w:t>Arcelor-Mittal</w:t>
            </w:r>
          </w:p>
        </w:tc>
        <w:tc>
          <w:tcPr>
            <w:tcW w:w="126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-11.82</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-26.55</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-45.34</w:t>
            </w:r>
          </w:p>
        </w:tc>
        <w:tc>
          <w:tcPr>
            <w:tcW w:w="1398" w:type="dxa"/>
            <w:tcBorders>
              <w:top w:val="single" w:sz="3" w:space="0" w:color="000000"/>
              <w:left w:val="single" w:sz="3" w:space="0" w:color="000000"/>
              <w:bottom w:val="single" w:sz="3" w:space="0" w:color="000000"/>
              <w:right w:val="double" w:sz="3" w:space="0" w:color="000000"/>
            </w:tcBorders>
          </w:tcPr>
          <w:p w:rsidR="00EE13F6" w:rsidRDefault="002E5BC4">
            <w:pPr>
              <w:spacing w:after="0"/>
              <w:ind w:right="24"/>
              <w:jc w:val="center"/>
            </w:pPr>
            <w:r>
              <w:rPr>
                <w:rFonts w:ascii="Cambria" w:eastAsia="Cambria" w:hAnsi="Cambria" w:cs="Cambria"/>
              </w:rPr>
              <w:t>-81.46</w:t>
            </w:r>
          </w:p>
        </w:tc>
      </w:tr>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Axa</w:t>
            </w:r>
          </w:p>
        </w:tc>
        <w:tc>
          <w:tcPr>
            <w:tcW w:w="126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-3.72</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-5.72</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-8.84</w:t>
            </w:r>
          </w:p>
        </w:tc>
        <w:tc>
          <w:tcPr>
            <w:tcW w:w="1398" w:type="dxa"/>
            <w:tcBorders>
              <w:top w:val="single" w:sz="3" w:space="0" w:color="000000"/>
              <w:left w:val="single" w:sz="3" w:space="0" w:color="000000"/>
              <w:bottom w:val="single" w:sz="3" w:space="0" w:color="000000"/>
              <w:right w:val="double" w:sz="3" w:space="0" w:color="000000"/>
            </w:tcBorders>
          </w:tcPr>
          <w:p w:rsidR="00EE13F6" w:rsidRDefault="002E5BC4">
            <w:pPr>
              <w:spacing w:after="0"/>
              <w:ind w:right="24"/>
              <w:jc w:val="center"/>
            </w:pPr>
            <w:r>
              <w:rPr>
                <w:rFonts w:ascii="Cambria" w:eastAsia="Cambria" w:hAnsi="Cambria" w:cs="Cambria"/>
              </w:rPr>
              <w:t>-10.47</w:t>
            </w:r>
          </w:p>
        </w:tc>
      </w:tr>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rPr>
              <w:t>Commerzbank</w:t>
            </w:r>
          </w:p>
        </w:tc>
        <w:tc>
          <w:tcPr>
            <w:tcW w:w="126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-2.23</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-4.76</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-9.66</w:t>
            </w:r>
          </w:p>
        </w:tc>
        <w:tc>
          <w:tcPr>
            <w:tcW w:w="1398" w:type="dxa"/>
            <w:tcBorders>
              <w:top w:val="single" w:sz="3" w:space="0" w:color="000000"/>
              <w:left w:val="single" w:sz="3" w:space="0" w:color="000000"/>
              <w:bottom w:val="single" w:sz="3" w:space="0" w:color="000000"/>
              <w:right w:val="double" w:sz="3" w:space="0" w:color="000000"/>
            </w:tcBorders>
          </w:tcPr>
          <w:p w:rsidR="00EE13F6" w:rsidRDefault="002E5BC4">
            <w:pPr>
              <w:spacing w:after="0"/>
              <w:ind w:right="24"/>
              <w:jc w:val="center"/>
            </w:pPr>
            <w:r>
              <w:rPr>
                <w:rFonts w:ascii="Cambria" w:eastAsia="Cambria" w:hAnsi="Cambria" w:cs="Cambria"/>
              </w:rPr>
              <w:t>-11.81</w:t>
            </w:r>
          </w:p>
        </w:tc>
      </w:tr>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Michelin</w:t>
            </w:r>
          </w:p>
        </w:tc>
        <w:tc>
          <w:tcPr>
            <w:tcW w:w="126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-3.70</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-9.12</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-13.5</w:t>
            </w:r>
          </w:p>
        </w:tc>
        <w:tc>
          <w:tcPr>
            <w:tcW w:w="1398" w:type="dxa"/>
            <w:tcBorders>
              <w:top w:val="single" w:sz="3" w:space="0" w:color="000000"/>
              <w:left w:val="single" w:sz="3" w:space="0" w:color="000000"/>
              <w:bottom w:val="single" w:sz="3" w:space="0" w:color="000000"/>
              <w:right w:val="double" w:sz="3" w:space="0" w:color="000000"/>
            </w:tcBorders>
          </w:tcPr>
          <w:p w:rsidR="00EE13F6" w:rsidRDefault="002E5BC4">
            <w:pPr>
              <w:spacing w:after="0"/>
              <w:ind w:right="24"/>
              <w:jc w:val="center"/>
            </w:pPr>
            <w:r>
              <w:rPr>
                <w:rFonts w:ascii="Cambria" w:eastAsia="Cambria" w:hAnsi="Cambria" w:cs="Cambria"/>
              </w:rPr>
              <w:t>-17.06</w:t>
            </w:r>
          </w:p>
        </w:tc>
      </w:tr>
      <w:tr w:rsidR="00EE13F6">
        <w:trPr>
          <w:trHeight w:val="279"/>
        </w:trPr>
        <w:tc>
          <w:tcPr>
            <w:tcW w:w="162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UniCredit</w:t>
            </w:r>
          </w:p>
        </w:tc>
        <w:tc>
          <w:tcPr>
            <w:tcW w:w="126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-3.41</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-6.14</w:t>
            </w:r>
          </w:p>
        </w:tc>
        <w:tc>
          <w:tcPr>
            <w:tcW w:w="137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-8.76</w:t>
            </w:r>
          </w:p>
        </w:tc>
        <w:tc>
          <w:tcPr>
            <w:tcW w:w="1398" w:type="dxa"/>
            <w:tcBorders>
              <w:top w:val="single" w:sz="3" w:space="0" w:color="000000"/>
              <w:left w:val="single" w:sz="3" w:space="0" w:color="000000"/>
              <w:bottom w:val="single" w:sz="3" w:space="0" w:color="000000"/>
              <w:right w:val="double" w:sz="3" w:space="0" w:color="000000"/>
            </w:tcBorders>
          </w:tcPr>
          <w:p w:rsidR="00EE13F6" w:rsidRDefault="002E5BC4">
            <w:pPr>
              <w:spacing w:after="0"/>
              <w:ind w:right="24"/>
              <w:jc w:val="center"/>
            </w:pPr>
            <w:r>
              <w:rPr>
                <w:rFonts w:ascii="Cambria" w:eastAsia="Cambria" w:hAnsi="Cambria" w:cs="Cambria"/>
              </w:rPr>
              <w:t>-11.38</w:t>
            </w:r>
          </w:p>
        </w:tc>
      </w:tr>
    </w:tbl>
    <w:p w:rsidR="00EE13F6" w:rsidRDefault="002E5BC4">
      <w:pPr>
        <w:pStyle w:val="Heading1"/>
        <w:tabs>
          <w:tab w:val="center" w:pos="1364"/>
        </w:tabs>
        <w:spacing w:after="279"/>
        <w:ind w:left="-15" w:firstLine="0"/>
      </w:pPr>
      <w:r>
        <w:t>4</w:t>
      </w:r>
      <w:r>
        <w:tab/>
        <w:t>Conclusion</w:t>
      </w:r>
    </w:p>
    <w:p w:rsidR="00EE13F6" w:rsidRDefault="002E5BC4">
      <w:pPr>
        <w:spacing w:after="130" w:line="264" w:lineRule="auto"/>
        <w:ind w:left="-5" w:right="468" w:hanging="10"/>
        <w:jc w:val="both"/>
      </w:pPr>
      <w:r>
        <w:rPr>
          <w:rFonts w:ascii="Cambria" w:eastAsia="Cambria" w:hAnsi="Cambria" w:cs="Cambria"/>
        </w:rPr>
        <w:t>In part I, we have reviewed the interconnection between bond, credit and equity derivatives markets through simple arbitrages aimed to take advantage of the differences between those financial instruments, or for hedging purposes. As an illustration, of th</w:t>
      </w:r>
      <w:r>
        <w:rPr>
          <w:rFonts w:ascii="Cambria" w:eastAsia="Cambria" w:hAnsi="Cambria" w:cs="Cambria"/>
        </w:rPr>
        <w:t>e fact that more and more Credit Default Swap (CDS) market-makers rely on equity put options for hedging, we reviewed the specific case of AXA a well known financial institution and derived the rule of hedging for CDS.</w:t>
      </w:r>
    </w:p>
    <w:p w:rsidR="00EE13F6" w:rsidRDefault="002E5BC4">
      <w:pPr>
        <w:spacing w:after="130" w:line="264" w:lineRule="auto"/>
        <w:ind w:left="-5" w:right="468" w:hanging="10"/>
        <w:jc w:val="both"/>
      </w:pPr>
      <w:r>
        <w:rPr>
          <w:rFonts w:ascii="Cambria" w:eastAsia="Cambria" w:hAnsi="Cambria" w:cs="Cambria"/>
        </w:rPr>
        <w:t>In part II, we have considered struct</w:t>
      </w:r>
      <w:r>
        <w:rPr>
          <w:rFonts w:ascii="Cambria" w:eastAsia="Cambria" w:hAnsi="Cambria" w:cs="Cambria"/>
        </w:rPr>
        <w:t xml:space="preserve">ural models of the corporate firm, which give a theoretical framework for capital structure arbitrage (CSE) between the various funding instruments issued by </w:t>
      </w:r>
      <w:r>
        <w:rPr>
          <w:rFonts w:ascii="Cambria" w:eastAsia="Cambria" w:hAnsi="Cambria" w:cs="Cambria"/>
        </w:rPr>
        <w:lastRenderedPageBreak/>
        <w:t>the same corporate firm. Such arbitrage dates back to Modigliani-Miller proposition, whose corolla</w:t>
      </w:r>
      <w:r>
        <w:rPr>
          <w:rFonts w:ascii="Cambria" w:eastAsia="Cambria" w:hAnsi="Cambria" w:cs="Cambria"/>
        </w:rPr>
        <w:t>ry is that all debt related instruments issued by a corporate firm can be arbitrated one against another.</w:t>
      </w:r>
    </w:p>
    <w:p w:rsidR="00EE13F6" w:rsidRDefault="002E5BC4">
      <w:pPr>
        <w:spacing w:after="130" w:line="264" w:lineRule="auto"/>
        <w:ind w:left="-5" w:right="468" w:hanging="10"/>
        <w:jc w:val="both"/>
      </w:pPr>
      <w:r>
        <w:rPr>
          <w:rFonts w:ascii="Cambria" w:eastAsia="Cambria" w:hAnsi="Cambria" w:cs="Cambria"/>
        </w:rPr>
        <w:t>We have first considered voluntarily a stripped version based on Merton model that we calibrated using the CDS market as of 30/09/2016. We derived a m</w:t>
      </w:r>
      <w:r>
        <w:rPr>
          <w:rFonts w:ascii="Cambria" w:eastAsia="Cambria" w:hAnsi="Cambria" w:cs="Cambria"/>
        </w:rPr>
        <w:t>aximum theoretical impact, which establish a lower bound fro the FTT impact, given the limitation of the Merton model. We found, that even using such model, the theoretical impact of the FTT could be a multiple of what is currently assessed by the EEC.</w:t>
      </w:r>
    </w:p>
    <w:p w:rsidR="00EE13F6" w:rsidRDefault="002E5BC4">
      <w:pPr>
        <w:spacing w:after="130" w:line="264" w:lineRule="auto"/>
        <w:ind w:left="-5" w:right="468" w:hanging="10"/>
        <w:jc w:val="both"/>
      </w:pPr>
      <w:r>
        <w:rPr>
          <w:rFonts w:ascii="Cambria" w:eastAsia="Cambria" w:hAnsi="Cambria" w:cs="Cambria"/>
        </w:rPr>
        <w:t>Sec</w:t>
      </w:r>
      <w:r>
        <w:rPr>
          <w:rFonts w:ascii="Cambria" w:eastAsia="Cambria" w:hAnsi="Cambria" w:cs="Cambria"/>
        </w:rPr>
        <w:t>ond, we focused on Credit Grades which is an ”Off-the-Shelf” arbitrage model derived from the Black-Cox framework and which links equity derivatives volatility and credit spreads. This model is abundantly used in today’s markets and is based, too, on capit</w:t>
      </w:r>
      <w:r>
        <w:rPr>
          <w:rFonts w:ascii="Cambria" w:eastAsia="Cambria" w:hAnsi="Cambria" w:cs="Cambria"/>
        </w:rPr>
        <w:t>al structure arbitrage. We have then used the fact, that the equity put option market for long dated maturities is quite illiquid. According to part I, the introduction of the FTT in such markets should have a maximum increasing effect on the implied volat</w:t>
      </w:r>
      <w:r>
        <w:rPr>
          <w:rFonts w:ascii="Cambria" w:eastAsia="Cambria" w:hAnsi="Cambria" w:cs="Cambria"/>
        </w:rPr>
        <w:t>ility, for option buyers.</w:t>
      </w:r>
    </w:p>
    <w:p w:rsidR="00EE13F6" w:rsidRDefault="002E5BC4">
      <w:pPr>
        <w:spacing w:after="130" w:line="264" w:lineRule="auto"/>
        <w:ind w:left="-5" w:right="468" w:hanging="10"/>
        <w:jc w:val="both"/>
      </w:pPr>
      <w:r>
        <w:rPr>
          <w:rFonts w:ascii="Cambria" w:eastAsia="Cambria" w:hAnsi="Cambria" w:cs="Cambria"/>
        </w:rPr>
        <w:t>Using then the Credit Grades model, we derive the theoretical impact of the FTT introduction on Credit Default Swaps (CDS) spreads depending upon balance sheet term structure and implied volatility. We find a significant effect of</w:t>
      </w:r>
      <w:r>
        <w:rPr>
          <w:rFonts w:ascii="Cambria" w:eastAsia="Cambria" w:hAnsi="Cambria" w:cs="Cambria"/>
        </w:rPr>
        <w:t xml:space="preserve"> the FTT on the CDS spreads.</w:t>
      </w:r>
    </w:p>
    <w:p w:rsidR="00EE13F6" w:rsidRDefault="002E5BC4">
      <w:pPr>
        <w:spacing w:after="130" w:line="264" w:lineRule="auto"/>
        <w:ind w:left="-5" w:right="468" w:hanging="10"/>
        <w:jc w:val="both"/>
      </w:pPr>
      <w:r>
        <w:rPr>
          <w:rFonts w:ascii="Cambria" w:eastAsia="Cambria" w:hAnsi="Cambria" w:cs="Cambria"/>
        </w:rPr>
        <w:t>Going further, we sample a group of six corporate companies and snap the corresponding CDS spreads on the Credit Default Swap markets as of 30/09/2016. For each company, using their balance sheet structure, we derive a theoreti</w:t>
      </w:r>
      <w:r>
        <w:rPr>
          <w:rFonts w:ascii="Cambria" w:eastAsia="Cambria" w:hAnsi="Cambria" w:cs="Cambria"/>
        </w:rPr>
        <w:t>cal ATM volatility consistent with those CDS spreads. We then apply a systematic shock on the implied volatility using Boyle and Vorst calculation and the FTT rates as they stand in the EEC project (Lendvai et al., 2012).</w:t>
      </w:r>
    </w:p>
    <w:p w:rsidR="00EE13F6" w:rsidRDefault="002E5BC4">
      <w:pPr>
        <w:spacing w:after="130" w:line="264" w:lineRule="auto"/>
        <w:ind w:left="-5" w:right="468" w:hanging="10"/>
        <w:jc w:val="both"/>
      </w:pPr>
      <w:r>
        <w:rPr>
          <w:rFonts w:ascii="Cambria" w:eastAsia="Cambria" w:hAnsi="Cambria" w:cs="Cambria"/>
        </w:rPr>
        <w:t>We finally derive the effect on th</w:t>
      </w:r>
      <w:r>
        <w:rPr>
          <w:rFonts w:ascii="Cambria" w:eastAsia="Cambria" w:hAnsi="Cambria" w:cs="Cambria"/>
        </w:rPr>
        <w:t>e CDS spreads using again Credit Grades Model. As explained, in section 2.3, we find in one case, that the effect of the introduction of the FTT could be about 20 times the impact as it has been computed by the EEC.</w:t>
      </w:r>
    </w:p>
    <w:p w:rsidR="00EE13F6" w:rsidRDefault="002E5BC4">
      <w:pPr>
        <w:spacing w:after="130" w:line="264" w:lineRule="auto"/>
        <w:ind w:left="-5" w:right="468" w:hanging="10"/>
        <w:jc w:val="both"/>
      </w:pPr>
      <w:r>
        <w:rPr>
          <w:rFonts w:ascii="Cambria" w:eastAsia="Cambria" w:hAnsi="Cambria" w:cs="Cambria"/>
        </w:rPr>
        <w:t>Finally, using both the impact on the ar</w:t>
      </w:r>
      <w:r>
        <w:rPr>
          <w:rFonts w:ascii="Cambria" w:eastAsia="Cambria" w:hAnsi="Cambria" w:cs="Cambria"/>
        </w:rPr>
        <w:t>bitrage between CDS and bonds and CDS and equity derivatives, we have derived the final impact of the FTT on the corporate bond market. As evidenced before, this impact is balance sheet dependent. We found that the potential impact on the corporate bond ma</w:t>
      </w:r>
      <w:r>
        <w:rPr>
          <w:rFonts w:ascii="Cambria" w:eastAsia="Cambria" w:hAnsi="Cambria" w:cs="Cambria"/>
        </w:rPr>
        <w:t xml:space="preserve">rket can be very significant, especially for corporate firms with an unfavorable balance sheet structure. This potential impact might conduct to a very sharp decrease of the prices recorded on the corporate bond markets, leading in some cases to financial </w:t>
      </w:r>
      <w:r>
        <w:rPr>
          <w:rFonts w:ascii="Cambria" w:eastAsia="Cambria" w:hAnsi="Cambria" w:cs="Cambria"/>
        </w:rPr>
        <w:t>turmoil.</w:t>
      </w:r>
    </w:p>
    <w:p w:rsidR="00EE13F6" w:rsidRDefault="002E5BC4">
      <w:pPr>
        <w:spacing w:after="3" w:line="252" w:lineRule="auto"/>
        <w:ind w:left="-5" w:right="468" w:hanging="10"/>
      </w:pPr>
      <w:r>
        <w:rPr>
          <w:rFonts w:ascii="Cambria" w:eastAsia="Cambria" w:hAnsi="Cambria" w:cs="Cambria"/>
        </w:rPr>
        <w:t>From an economic policy standpoint, results evidence that the FTT effect will bear heavily on the high yield corporate bond market. The magnitude particularly heavy for industrial firms, suggests that even if the FTT is introduced in all the EEC a</w:t>
      </w:r>
      <w:r>
        <w:rPr>
          <w:rFonts w:ascii="Cambria" w:eastAsia="Cambria" w:hAnsi="Cambria" w:cs="Cambria"/>
        </w:rPr>
        <w:t>nd targets financial institutions, its effects go well beyond the EEC borders. For instance, considering the case of ”Arcelor Mittal” corporation, a well known steel mill, the potential drop in its bond price would literally impeach this company to find co</w:t>
      </w:r>
      <w:r>
        <w:rPr>
          <w:rFonts w:ascii="Cambria" w:eastAsia="Cambria" w:hAnsi="Cambria" w:cs="Cambria"/>
        </w:rPr>
        <w:t>mpetitive financing, and could even drive this company into default. This would create a strong distortion in competitiveness as the company’s main competitors are outside the EEC.</w:t>
      </w:r>
    </w:p>
    <w:p w:rsidR="00EE13F6" w:rsidRDefault="002E5BC4">
      <w:pPr>
        <w:pStyle w:val="Heading1"/>
        <w:spacing w:after="148"/>
        <w:ind w:left="-5" w:hanging="10"/>
      </w:pPr>
      <w:r>
        <w:t>References</w:t>
      </w:r>
    </w:p>
    <w:p w:rsidR="00EE13F6" w:rsidRDefault="002E5BC4">
      <w:pPr>
        <w:spacing w:after="194" w:line="264" w:lineRule="auto"/>
        <w:ind w:left="203" w:right="468" w:hanging="218"/>
        <w:jc w:val="both"/>
      </w:pPr>
      <w:r>
        <w:rPr>
          <w:rFonts w:ascii="Cambria" w:eastAsia="Cambria" w:hAnsi="Cambria" w:cs="Cambria"/>
        </w:rPr>
        <w:t>Allen, P., Einchcomb, S., and Granger, N. (2006). Investment str</w:t>
      </w:r>
      <w:r>
        <w:rPr>
          <w:rFonts w:ascii="Cambria" w:eastAsia="Cambria" w:hAnsi="Cambria" w:cs="Cambria"/>
        </w:rPr>
        <w:t xml:space="preserve">ategies. </w:t>
      </w:r>
      <w:r>
        <w:rPr>
          <w:rFonts w:ascii="Cambria" w:eastAsia="Cambria" w:hAnsi="Cambria" w:cs="Cambria"/>
          <w:i/>
        </w:rPr>
        <w:t>JP Morgan–European Equity Derivatives Research</w:t>
      </w:r>
      <w:r>
        <w:rPr>
          <w:rFonts w:ascii="Cambria" w:eastAsia="Cambria" w:hAnsi="Cambria" w:cs="Cambria"/>
        </w:rPr>
        <w:t>, (28).</w:t>
      </w:r>
    </w:p>
    <w:p w:rsidR="00EE13F6" w:rsidRDefault="002E5BC4">
      <w:pPr>
        <w:spacing w:after="194" w:line="264" w:lineRule="auto"/>
        <w:ind w:left="203" w:right="468" w:hanging="218"/>
        <w:jc w:val="both"/>
      </w:pPr>
      <w:r>
        <w:rPr>
          <w:rFonts w:ascii="Cambria" w:eastAsia="Cambria" w:hAnsi="Cambria" w:cs="Cambria"/>
        </w:rPr>
        <w:t xml:space="preserve">Almgren, R. and Chriss, N. (2001). Optimal execution of portfolio transactions. </w:t>
      </w:r>
      <w:r>
        <w:rPr>
          <w:rFonts w:ascii="Cambria" w:eastAsia="Cambria" w:hAnsi="Cambria" w:cs="Cambria"/>
          <w:i/>
        </w:rPr>
        <w:t>Journal of Risk</w:t>
      </w:r>
      <w:r>
        <w:rPr>
          <w:rFonts w:ascii="Cambria" w:eastAsia="Cambria" w:hAnsi="Cambria" w:cs="Cambria"/>
        </w:rPr>
        <w:t>, 3:5–40.</w:t>
      </w:r>
    </w:p>
    <w:p w:rsidR="00EE13F6" w:rsidRDefault="002E5BC4">
      <w:pPr>
        <w:spacing w:after="201" w:line="264" w:lineRule="auto"/>
        <w:ind w:left="203" w:right="468" w:hanging="218"/>
        <w:jc w:val="both"/>
      </w:pPr>
      <w:r>
        <w:rPr>
          <w:rFonts w:ascii="Cambria" w:eastAsia="Cambria" w:hAnsi="Cambria" w:cs="Cambria"/>
        </w:rPr>
        <w:lastRenderedPageBreak/>
        <w:t>Altman, E. I. (1968). Financial ratios, discriminant analysis and the prediction of corp</w:t>
      </w:r>
      <w:r>
        <w:rPr>
          <w:rFonts w:ascii="Cambria" w:eastAsia="Cambria" w:hAnsi="Cambria" w:cs="Cambria"/>
        </w:rPr>
        <w:t xml:space="preserve">orate bankruptcy. </w:t>
      </w:r>
      <w:r>
        <w:rPr>
          <w:rFonts w:ascii="Cambria" w:eastAsia="Cambria" w:hAnsi="Cambria" w:cs="Cambria"/>
          <w:i/>
        </w:rPr>
        <w:t>The journal of finance</w:t>
      </w:r>
      <w:r>
        <w:rPr>
          <w:rFonts w:ascii="Cambria" w:eastAsia="Cambria" w:hAnsi="Cambria" w:cs="Cambria"/>
        </w:rPr>
        <w:t>, 23(4):589–609.</w:t>
      </w:r>
    </w:p>
    <w:p w:rsidR="00EE13F6" w:rsidRDefault="002E5BC4">
      <w:pPr>
        <w:spacing w:after="167" w:line="264" w:lineRule="auto"/>
        <w:ind w:left="203" w:right="468" w:hanging="218"/>
        <w:jc w:val="both"/>
      </w:pPr>
      <w:r>
        <w:rPr>
          <w:rFonts w:ascii="Cambria" w:eastAsia="Cambria" w:hAnsi="Cambria" w:cs="Cambria"/>
        </w:rPr>
        <w:t xml:space="preserve">Amihud, Y. and Mendelson, H. (1991). Liquidity, asset prices and financial policy. </w:t>
      </w:r>
      <w:r>
        <w:rPr>
          <w:rFonts w:ascii="Cambria" w:eastAsia="Cambria" w:hAnsi="Cambria" w:cs="Cambria"/>
          <w:i/>
        </w:rPr>
        <w:t>Financial Analysts Journal</w:t>
      </w:r>
      <w:r>
        <w:rPr>
          <w:rFonts w:ascii="Cambria" w:eastAsia="Cambria" w:hAnsi="Cambria" w:cs="Cambria"/>
        </w:rPr>
        <w:t>, 47(6):56–66.</w:t>
      </w:r>
    </w:p>
    <w:p w:rsidR="00EE13F6" w:rsidRDefault="002E5BC4">
      <w:pPr>
        <w:spacing w:after="193" w:line="264" w:lineRule="auto"/>
        <w:ind w:left="203" w:right="468" w:hanging="218"/>
        <w:jc w:val="both"/>
      </w:pPr>
      <w:r>
        <w:rPr>
          <w:rFonts w:ascii="Cambria" w:eastAsia="Cambria" w:hAnsi="Cambria" w:cs="Cambria"/>
        </w:rPr>
        <w:t xml:space="preserve">Anthony, J., Bijlsma, M., Elbourne, A., Lever, M., and Zwart, G. (2012). Financial transaction tax: review and assessment. </w:t>
      </w:r>
      <w:r>
        <w:rPr>
          <w:rFonts w:ascii="Cambria" w:eastAsia="Cambria" w:hAnsi="Cambria" w:cs="Cambria"/>
          <w:i/>
        </w:rPr>
        <w:t>CPB Netherlands Bureau For Economic Policy Analysis. CPB Discussion Paper</w:t>
      </w:r>
      <w:r>
        <w:rPr>
          <w:rFonts w:ascii="Cambria" w:eastAsia="Cambria" w:hAnsi="Cambria" w:cs="Cambria"/>
        </w:rPr>
        <w:t>.</w:t>
      </w:r>
    </w:p>
    <w:p w:rsidR="00EE13F6" w:rsidRDefault="002E5BC4">
      <w:pPr>
        <w:spacing w:after="167" w:line="264" w:lineRule="auto"/>
        <w:ind w:left="203" w:right="468" w:hanging="218"/>
        <w:jc w:val="both"/>
      </w:pPr>
      <w:r>
        <w:rPr>
          <w:rFonts w:ascii="Cambria" w:eastAsia="Cambria" w:hAnsi="Cambria" w:cs="Cambria"/>
        </w:rPr>
        <w:t>Avellaneda, M. and Stoikov, S. (2008). High-frequency trad</w:t>
      </w:r>
      <w:r>
        <w:rPr>
          <w:rFonts w:ascii="Cambria" w:eastAsia="Cambria" w:hAnsi="Cambria" w:cs="Cambria"/>
        </w:rPr>
        <w:t xml:space="preserve">ing in a limit order book. </w:t>
      </w:r>
      <w:r>
        <w:rPr>
          <w:rFonts w:ascii="Cambria" w:eastAsia="Cambria" w:hAnsi="Cambria" w:cs="Cambria"/>
          <w:i/>
        </w:rPr>
        <w:t>Quantitative Finance</w:t>
      </w:r>
      <w:r>
        <w:rPr>
          <w:rFonts w:ascii="Cambria" w:eastAsia="Cambria" w:hAnsi="Cambria" w:cs="Cambria"/>
        </w:rPr>
        <w:t>, 8(3):217–224.</w:t>
      </w:r>
    </w:p>
    <w:p w:rsidR="00EE13F6" w:rsidRDefault="002E5BC4">
      <w:pPr>
        <w:spacing w:after="202" w:line="264" w:lineRule="auto"/>
        <w:ind w:left="203" w:right="468" w:hanging="218"/>
        <w:jc w:val="both"/>
      </w:pPr>
      <w:r>
        <w:rPr>
          <w:rFonts w:ascii="Cambria" w:eastAsia="Cambria" w:hAnsi="Cambria" w:cs="Cambria"/>
        </w:rPr>
        <w:t xml:space="preserve">Black, F. and Cox, J. C. (1976). Valuing corporate securities: Some effects of bond indenture provisions. </w:t>
      </w:r>
      <w:r>
        <w:rPr>
          <w:rFonts w:ascii="Cambria" w:eastAsia="Cambria" w:hAnsi="Cambria" w:cs="Cambria"/>
          <w:i/>
        </w:rPr>
        <w:t>The Journal of Finance</w:t>
      </w:r>
      <w:r>
        <w:rPr>
          <w:rFonts w:ascii="Cambria" w:eastAsia="Cambria" w:hAnsi="Cambria" w:cs="Cambria"/>
        </w:rPr>
        <w:t>, 31(2):351–367.</w:t>
      </w:r>
    </w:p>
    <w:p w:rsidR="00EE13F6" w:rsidRDefault="002E5BC4">
      <w:pPr>
        <w:spacing w:after="194" w:line="264" w:lineRule="auto"/>
        <w:ind w:left="203" w:right="468" w:hanging="218"/>
        <w:jc w:val="both"/>
      </w:pPr>
      <w:r>
        <w:rPr>
          <w:rFonts w:ascii="Cambria" w:eastAsia="Cambria" w:hAnsi="Cambria" w:cs="Cambria"/>
        </w:rPr>
        <w:t xml:space="preserve">Black, F. and Scholes, M. (1973). The pricing of options and corporate liabilities. </w:t>
      </w:r>
      <w:r>
        <w:rPr>
          <w:rFonts w:ascii="Cambria" w:eastAsia="Cambria" w:hAnsi="Cambria" w:cs="Cambria"/>
          <w:i/>
        </w:rPr>
        <w:t>Journal of political economy</w:t>
      </w:r>
      <w:r>
        <w:rPr>
          <w:rFonts w:ascii="Cambria" w:eastAsia="Cambria" w:hAnsi="Cambria" w:cs="Cambria"/>
        </w:rPr>
        <w:t>, 81(3):637–654.</w:t>
      </w:r>
    </w:p>
    <w:p w:rsidR="00EE13F6" w:rsidRDefault="002E5BC4">
      <w:pPr>
        <w:spacing w:after="194" w:line="264" w:lineRule="auto"/>
        <w:ind w:left="203" w:right="468" w:hanging="218"/>
        <w:jc w:val="both"/>
      </w:pPr>
      <w:r>
        <w:rPr>
          <w:rFonts w:ascii="Cambria" w:eastAsia="Cambria" w:hAnsi="Cambria" w:cs="Cambria"/>
        </w:rPr>
        <w:t xml:space="preserve">Boyle, P. P. and Vorst, T. (1992). Option replication in discrete time with transaction costs. </w:t>
      </w:r>
      <w:r>
        <w:rPr>
          <w:rFonts w:ascii="Cambria" w:eastAsia="Cambria" w:hAnsi="Cambria" w:cs="Cambria"/>
          <w:i/>
        </w:rPr>
        <w:t>The Journal of Finance</w:t>
      </w:r>
      <w:r>
        <w:rPr>
          <w:rFonts w:ascii="Cambria" w:eastAsia="Cambria" w:hAnsi="Cambria" w:cs="Cambria"/>
        </w:rPr>
        <w:t>, 47(1):27</w:t>
      </w:r>
      <w:r>
        <w:rPr>
          <w:rFonts w:ascii="Cambria" w:eastAsia="Cambria" w:hAnsi="Cambria" w:cs="Cambria"/>
        </w:rPr>
        <w:t>1–293.</w:t>
      </w:r>
    </w:p>
    <w:p w:rsidR="00EE13F6" w:rsidRDefault="002E5BC4">
      <w:pPr>
        <w:spacing w:after="194" w:line="264" w:lineRule="auto"/>
        <w:ind w:left="203" w:right="468" w:hanging="218"/>
        <w:jc w:val="both"/>
      </w:pPr>
      <w:r>
        <w:rPr>
          <w:rFonts w:ascii="Cambria" w:eastAsia="Cambria" w:hAnsi="Cambria" w:cs="Cambria"/>
        </w:rPr>
        <w:t xml:space="preserve">Duffie, D. and Singleton, K. J. (1999). Modeling term structures of defaultable bonds. </w:t>
      </w:r>
      <w:r>
        <w:rPr>
          <w:rFonts w:ascii="Cambria" w:eastAsia="Cambria" w:hAnsi="Cambria" w:cs="Cambria"/>
          <w:i/>
        </w:rPr>
        <w:t>The review of financial studies</w:t>
      </w:r>
      <w:r>
        <w:rPr>
          <w:rFonts w:ascii="Cambria" w:eastAsia="Cambria" w:hAnsi="Cambria" w:cs="Cambria"/>
        </w:rPr>
        <w:t>, 12(4):687–720.</w:t>
      </w:r>
    </w:p>
    <w:p w:rsidR="00EE13F6" w:rsidRDefault="002E5BC4">
      <w:pPr>
        <w:spacing w:after="167" w:line="264" w:lineRule="auto"/>
        <w:ind w:left="203" w:right="468" w:hanging="218"/>
        <w:jc w:val="both"/>
      </w:pPr>
      <w:r>
        <w:rPr>
          <w:rFonts w:ascii="Cambria" w:eastAsia="Cambria" w:hAnsi="Cambria" w:cs="Cambria"/>
        </w:rPr>
        <w:t xml:space="preserve">Finkelstein, V. (2013). Assessing default probabilities from equity markets. </w:t>
      </w:r>
      <w:r>
        <w:rPr>
          <w:rFonts w:ascii="Cambria" w:eastAsia="Cambria" w:hAnsi="Cambria" w:cs="Cambria"/>
          <w:i/>
        </w:rPr>
        <w:t>Presentation, Credit Risk Summit</w:t>
      </w:r>
      <w:r>
        <w:rPr>
          <w:rFonts w:ascii="Cambria" w:eastAsia="Cambria" w:hAnsi="Cambria" w:cs="Cambria"/>
        </w:rPr>
        <w:t>.</w:t>
      </w:r>
    </w:p>
    <w:p w:rsidR="00EE13F6" w:rsidRDefault="002E5BC4">
      <w:pPr>
        <w:spacing w:after="176" w:line="264" w:lineRule="auto"/>
        <w:ind w:left="203" w:right="468" w:hanging="218"/>
        <w:jc w:val="both"/>
      </w:pPr>
      <w:r>
        <w:rPr>
          <w:rFonts w:ascii="Cambria" w:eastAsia="Cambria" w:hAnsi="Cambria" w:cs="Cambria"/>
        </w:rPr>
        <w:t>Fin</w:t>
      </w:r>
      <w:r>
        <w:rPr>
          <w:rFonts w:ascii="Cambria" w:eastAsia="Cambria" w:hAnsi="Cambria" w:cs="Cambria"/>
        </w:rPr>
        <w:t xml:space="preserve">kelstein, V. and Lardy, J. (2001). Assessing default probabilities from equity markets. simple closed-form solution. </w:t>
      </w:r>
      <w:r>
        <w:rPr>
          <w:rFonts w:ascii="Cambria" w:eastAsia="Cambria" w:hAnsi="Cambria" w:cs="Cambria"/>
          <w:i/>
        </w:rPr>
        <w:t>Presentation ICBI Global Derivatives and Risk Management, Credit Risk</w:t>
      </w:r>
      <w:r>
        <w:rPr>
          <w:rFonts w:ascii="Cambria" w:eastAsia="Cambria" w:hAnsi="Cambria" w:cs="Cambria"/>
        </w:rPr>
        <w:t>.</w:t>
      </w:r>
    </w:p>
    <w:p w:rsidR="00EE13F6" w:rsidRDefault="002E5BC4">
      <w:pPr>
        <w:spacing w:after="168" w:line="264" w:lineRule="auto"/>
        <w:ind w:left="-5" w:right="468" w:hanging="10"/>
        <w:jc w:val="both"/>
      </w:pPr>
      <w:r>
        <w:rPr>
          <w:rFonts w:ascii="Cambria" w:eastAsia="Cambria" w:hAnsi="Cambria" w:cs="Cambria"/>
        </w:rPr>
        <w:t>Finkelstein, V., Lardy, J., Pan, G., Ta, T., and Tierney, J. (2002).</w:t>
      </w:r>
      <w:r>
        <w:rPr>
          <w:rFonts w:ascii="Cambria" w:eastAsia="Cambria" w:hAnsi="Cambria" w:cs="Cambria"/>
        </w:rPr>
        <w:t xml:space="preserve"> Credit grades technical document.</w:t>
      </w:r>
    </w:p>
    <w:p w:rsidR="00EE13F6" w:rsidRDefault="002E5BC4">
      <w:pPr>
        <w:spacing w:after="196" w:line="264" w:lineRule="auto"/>
        <w:ind w:left="203" w:right="468" w:hanging="218"/>
        <w:jc w:val="both"/>
      </w:pPr>
      <w:r>
        <w:rPr>
          <w:rFonts w:ascii="Cambria" w:eastAsia="Cambria" w:hAnsi="Cambria" w:cs="Cambria"/>
        </w:rPr>
        <w:t xml:space="preserve">Habermeier, K. and Kirilenko, A. A. (2003). Securities transaction taxes and financial markets. </w:t>
      </w:r>
      <w:r>
        <w:rPr>
          <w:rFonts w:ascii="Cambria" w:eastAsia="Cambria" w:hAnsi="Cambria" w:cs="Cambria"/>
          <w:i/>
        </w:rPr>
        <w:t>IMF Staff Papers, Special Issue International Monetary Fund</w:t>
      </w:r>
      <w:r>
        <w:rPr>
          <w:rFonts w:ascii="Cambria" w:eastAsia="Cambria" w:hAnsi="Cambria" w:cs="Cambria"/>
        </w:rPr>
        <w:t>, 50(1):165–180.</w:t>
      </w:r>
    </w:p>
    <w:p w:rsidR="00EE13F6" w:rsidRDefault="002E5BC4">
      <w:pPr>
        <w:spacing w:after="194" w:line="264" w:lineRule="auto"/>
        <w:ind w:left="203" w:right="468" w:hanging="218"/>
        <w:jc w:val="both"/>
      </w:pPr>
      <w:r>
        <w:rPr>
          <w:rFonts w:ascii="Cambria" w:eastAsia="Cambria" w:hAnsi="Cambria" w:cs="Cambria"/>
        </w:rPr>
        <w:t xml:space="preserve">Hakkio, C. S. et al. (1994). Should we throw sand in the gears of financial markets? </w:t>
      </w:r>
      <w:r>
        <w:rPr>
          <w:rFonts w:ascii="Cambria" w:eastAsia="Cambria" w:hAnsi="Cambria" w:cs="Cambria"/>
          <w:i/>
        </w:rPr>
        <w:t>Economic Review</w:t>
      </w:r>
      <w:r>
        <w:rPr>
          <w:rFonts w:ascii="Cambria" w:eastAsia="Cambria" w:hAnsi="Cambria" w:cs="Cambria"/>
        </w:rPr>
        <w:t>, 79:17–30.</w:t>
      </w:r>
    </w:p>
    <w:p w:rsidR="00EE13F6" w:rsidRDefault="002E5BC4">
      <w:pPr>
        <w:spacing w:after="194" w:line="264" w:lineRule="auto"/>
        <w:ind w:left="203" w:right="468" w:hanging="218"/>
        <w:jc w:val="both"/>
      </w:pPr>
      <w:r>
        <w:rPr>
          <w:rFonts w:ascii="Cambria" w:eastAsia="Cambria" w:hAnsi="Cambria" w:cs="Cambria"/>
        </w:rPr>
        <w:t xml:space="preserve">Hawkins, M. and McCrae, J. (2002). </w:t>
      </w:r>
      <w:r>
        <w:rPr>
          <w:rFonts w:ascii="Cambria" w:eastAsia="Cambria" w:hAnsi="Cambria" w:cs="Cambria"/>
          <w:i/>
        </w:rPr>
        <w:t xml:space="preserve">Stamp duty on share transactions: is there a case for change? </w:t>
      </w:r>
      <w:r>
        <w:rPr>
          <w:rFonts w:ascii="Cambria" w:eastAsia="Cambria" w:hAnsi="Cambria" w:cs="Cambria"/>
        </w:rPr>
        <w:t>Institute For Fiscal Studies.</w:t>
      </w:r>
    </w:p>
    <w:p w:rsidR="00EE13F6" w:rsidRDefault="002E5BC4">
      <w:pPr>
        <w:spacing w:after="130" w:line="264" w:lineRule="auto"/>
        <w:ind w:left="203" w:right="468" w:hanging="218"/>
        <w:jc w:val="both"/>
      </w:pPr>
      <w:r>
        <w:rPr>
          <w:rFonts w:ascii="Cambria" w:eastAsia="Cambria" w:hAnsi="Cambria" w:cs="Cambria"/>
        </w:rPr>
        <w:t>Ho, T. and Stoll,</w:t>
      </w:r>
      <w:r>
        <w:rPr>
          <w:rFonts w:ascii="Cambria" w:eastAsia="Cambria" w:hAnsi="Cambria" w:cs="Cambria"/>
        </w:rPr>
        <w:t xml:space="preserve"> H. R. (1980). On dealer markets under competition. </w:t>
      </w:r>
      <w:r>
        <w:rPr>
          <w:rFonts w:ascii="Cambria" w:eastAsia="Cambria" w:hAnsi="Cambria" w:cs="Cambria"/>
          <w:i/>
        </w:rPr>
        <w:t>The Journal of Finance</w:t>
      </w:r>
      <w:r>
        <w:rPr>
          <w:rFonts w:ascii="Cambria" w:eastAsia="Cambria" w:hAnsi="Cambria" w:cs="Cambria"/>
        </w:rPr>
        <w:t>, 35(2):259–267.</w:t>
      </w:r>
    </w:p>
    <w:p w:rsidR="00EE13F6" w:rsidRDefault="002E5BC4">
      <w:pPr>
        <w:spacing w:after="162" w:line="264" w:lineRule="auto"/>
        <w:ind w:left="203" w:right="468" w:hanging="218"/>
        <w:jc w:val="both"/>
      </w:pPr>
      <w:r>
        <w:rPr>
          <w:rFonts w:ascii="Cambria" w:eastAsia="Cambria" w:hAnsi="Cambria" w:cs="Cambria"/>
        </w:rPr>
        <w:t xml:space="preserve">Ho, T. S. and Macris, R. G. (1984). Dealer bid-ask quotes and transaction prices: An empirical study of some amex options. </w:t>
      </w:r>
      <w:r>
        <w:rPr>
          <w:rFonts w:ascii="Cambria" w:eastAsia="Cambria" w:hAnsi="Cambria" w:cs="Cambria"/>
          <w:i/>
        </w:rPr>
        <w:t>The Journal of Finance</w:t>
      </w:r>
      <w:r>
        <w:rPr>
          <w:rFonts w:ascii="Cambria" w:eastAsia="Cambria" w:hAnsi="Cambria" w:cs="Cambria"/>
        </w:rPr>
        <w:t>, 39(1):23–45.</w:t>
      </w:r>
    </w:p>
    <w:p w:rsidR="00EE13F6" w:rsidRDefault="002E5BC4">
      <w:pPr>
        <w:spacing w:after="189" w:line="264" w:lineRule="auto"/>
        <w:ind w:left="203" w:right="468" w:hanging="218"/>
        <w:jc w:val="both"/>
      </w:pPr>
      <w:r>
        <w:rPr>
          <w:rFonts w:ascii="Cambria" w:eastAsia="Cambria" w:hAnsi="Cambria" w:cs="Cambria"/>
        </w:rPr>
        <w:t>Jarro</w:t>
      </w:r>
      <w:r>
        <w:rPr>
          <w:rFonts w:ascii="Cambria" w:eastAsia="Cambria" w:hAnsi="Cambria" w:cs="Cambria"/>
        </w:rPr>
        <w:t xml:space="preserve">w, R. A. and Turnbull, S. M. (1995). Pricing derivatives on financial securities subject to credit risk. </w:t>
      </w:r>
      <w:r>
        <w:rPr>
          <w:rFonts w:ascii="Cambria" w:eastAsia="Cambria" w:hAnsi="Cambria" w:cs="Cambria"/>
          <w:i/>
        </w:rPr>
        <w:t>The journal of finance</w:t>
      </w:r>
      <w:r>
        <w:rPr>
          <w:rFonts w:ascii="Cambria" w:eastAsia="Cambria" w:hAnsi="Cambria" w:cs="Cambria"/>
        </w:rPr>
        <w:t>, 50(1):53–85.</w:t>
      </w:r>
    </w:p>
    <w:p w:rsidR="00EE13F6" w:rsidRDefault="002E5BC4">
      <w:pPr>
        <w:spacing w:after="154" w:line="264" w:lineRule="auto"/>
        <w:ind w:left="203" w:right="468" w:hanging="218"/>
        <w:jc w:val="both"/>
      </w:pPr>
      <w:r>
        <w:rPr>
          <w:rFonts w:ascii="Cambria" w:eastAsia="Cambria" w:hAnsi="Cambria" w:cs="Cambria"/>
        </w:rPr>
        <w:t xml:space="preserve">Kupiec, P. (June 1996). Noise traders, excess volatility, and a securities transaction tax. </w:t>
      </w:r>
      <w:r>
        <w:rPr>
          <w:rFonts w:ascii="Cambria" w:eastAsia="Cambria" w:hAnsi="Cambria" w:cs="Cambria"/>
          <w:i/>
        </w:rPr>
        <w:t>Journal of Financial S</w:t>
      </w:r>
      <w:r>
        <w:rPr>
          <w:rFonts w:ascii="Cambria" w:eastAsia="Cambria" w:hAnsi="Cambria" w:cs="Cambria"/>
          <w:i/>
        </w:rPr>
        <w:t>ervices Reseach</w:t>
      </w:r>
      <w:r>
        <w:rPr>
          <w:rFonts w:ascii="Cambria" w:eastAsia="Cambria" w:hAnsi="Cambria" w:cs="Cambria"/>
        </w:rPr>
        <w:t>, 10(2):115–129.</w:t>
      </w:r>
    </w:p>
    <w:p w:rsidR="00EE13F6" w:rsidRDefault="002E5BC4">
      <w:pPr>
        <w:spacing w:after="181" w:line="264" w:lineRule="auto"/>
        <w:ind w:left="-5" w:right="468" w:hanging="10"/>
        <w:jc w:val="both"/>
      </w:pPr>
      <w:r>
        <w:rPr>
          <w:rFonts w:ascii="Cambria" w:eastAsia="Cambria" w:hAnsi="Cambria" w:cs="Cambria"/>
        </w:rPr>
        <w:lastRenderedPageBreak/>
        <w:t>Lardy, J.-P. (2001). A simple closed-form formula to price credit. Presentation, Risk, Paris.</w:t>
      </w:r>
    </w:p>
    <w:p w:rsidR="00EE13F6" w:rsidRDefault="002E5BC4">
      <w:pPr>
        <w:spacing w:after="181" w:line="264" w:lineRule="auto"/>
        <w:ind w:left="203" w:right="468" w:hanging="218"/>
        <w:jc w:val="both"/>
      </w:pPr>
      <w:r>
        <w:rPr>
          <w:rFonts w:ascii="Cambria" w:eastAsia="Cambria" w:hAnsi="Cambria" w:cs="Cambria"/>
        </w:rPr>
        <w:t xml:space="preserve">Leland, H. (1985). Option pricing and replication with transaction costs. </w:t>
      </w:r>
      <w:r>
        <w:rPr>
          <w:rFonts w:ascii="Cambria" w:eastAsia="Cambria" w:hAnsi="Cambria" w:cs="Cambria"/>
          <w:i/>
        </w:rPr>
        <w:t>The Journal of Finance</w:t>
      </w:r>
      <w:r>
        <w:rPr>
          <w:rFonts w:ascii="Cambria" w:eastAsia="Cambria" w:hAnsi="Cambria" w:cs="Cambria"/>
        </w:rPr>
        <w:t>, 40:1283–1301.</w:t>
      </w:r>
    </w:p>
    <w:p w:rsidR="00EE13F6" w:rsidRDefault="002E5BC4">
      <w:pPr>
        <w:spacing w:after="181" w:line="264" w:lineRule="auto"/>
        <w:ind w:left="203" w:right="468" w:hanging="218"/>
        <w:jc w:val="both"/>
      </w:pPr>
      <w:r>
        <w:rPr>
          <w:rFonts w:ascii="Cambria" w:eastAsia="Cambria" w:hAnsi="Cambria" w:cs="Cambria"/>
        </w:rPr>
        <w:t>Leland, H. (1994).</w:t>
      </w:r>
      <w:r>
        <w:rPr>
          <w:rFonts w:ascii="Cambria" w:eastAsia="Cambria" w:hAnsi="Cambria" w:cs="Cambria"/>
        </w:rPr>
        <w:t xml:space="preserve"> Corporate debt value, bond covenants, and optimal capital structure. </w:t>
      </w:r>
      <w:r>
        <w:rPr>
          <w:rFonts w:ascii="Cambria" w:eastAsia="Cambria" w:hAnsi="Cambria" w:cs="Cambria"/>
          <w:i/>
        </w:rPr>
        <w:t>The Journal of Finance</w:t>
      </w:r>
      <w:r>
        <w:rPr>
          <w:rFonts w:ascii="Cambria" w:eastAsia="Cambria" w:hAnsi="Cambria" w:cs="Cambria"/>
        </w:rPr>
        <w:t>, 49:1213–1252.</w:t>
      </w:r>
    </w:p>
    <w:p w:rsidR="00EE13F6" w:rsidRDefault="002E5BC4">
      <w:pPr>
        <w:spacing w:after="152" w:line="264" w:lineRule="auto"/>
        <w:ind w:left="203" w:right="468" w:hanging="218"/>
        <w:jc w:val="both"/>
      </w:pPr>
      <w:r>
        <w:rPr>
          <w:rFonts w:ascii="Cambria" w:eastAsia="Cambria" w:hAnsi="Cambria" w:cs="Cambria"/>
        </w:rPr>
        <w:t xml:space="preserve">Leland, H. E. et al. (2007). Comments on ”hedging errors with leland’s option model in the presence of transactions costs”. </w:t>
      </w:r>
      <w:r>
        <w:rPr>
          <w:rFonts w:ascii="Cambria" w:eastAsia="Cambria" w:hAnsi="Cambria" w:cs="Cambria"/>
          <w:i/>
        </w:rPr>
        <w:t>Finance Research Letters</w:t>
      </w:r>
      <w:r>
        <w:rPr>
          <w:rFonts w:ascii="Cambria" w:eastAsia="Cambria" w:hAnsi="Cambria" w:cs="Cambria"/>
        </w:rPr>
        <w:t>, 4(3):200–202. Haas School of Business, University of California, Berkeley, USA.</w:t>
      </w:r>
    </w:p>
    <w:p w:rsidR="00EE13F6" w:rsidRDefault="002E5BC4">
      <w:pPr>
        <w:spacing w:after="189" w:line="264" w:lineRule="auto"/>
        <w:ind w:left="203" w:right="468" w:hanging="218"/>
        <w:jc w:val="both"/>
      </w:pPr>
      <w:r>
        <w:rPr>
          <w:rFonts w:ascii="Cambria" w:eastAsia="Cambria" w:hAnsi="Cambria" w:cs="Cambria"/>
        </w:rPr>
        <w:t xml:space="preserve">Lendvai, J., Raciborski, R., and Vogel, L. (2012). Securities transaction taxes: Macroeconomic implications in a general equilibrium model. </w:t>
      </w:r>
      <w:r>
        <w:rPr>
          <w:rFonts w:ascii="Cambria" w:eastAsia="Cambria" w:hAnsi="Cambria" w:cs="Cambria"/>
          <w:i/>
        </w:rPr>
        <w:t>European Economy: Economic Papers</w:t>
      </w:r>
      <w:r>
        <w:rPr>
          <w:rFonts w:ascii="Cambria" w:eastAsia="Cambria" w:hAnsi="Cambria" w:cs="Cambria"/>
        </w:rPr>
        <w:t>,</w:t>
      </w:r>
      <w:r>
        <w:rPr>
          <w:rFonts w:ascii="Cambria" w:eastAsia="Cambria" w:hAnsi="Cambria" w:cs="Cambria"/>
        </w:rPr>
        <w:t xml:space="preserve"> (450).</w:t>
      </w:r>
    </w:p>
    <w:p w:rsidR="00EE13F6" w:rsidRDefault="002E5BC4">
      <w:pPr>
        <w:spacing w:after="154" w:line="264" w:lineRule="auto"/>
        <w:ind w:left="203" w:right="468" w:hanging="218"/>
        <w:jc w:val="both"/>
      </w:pPr>
      <w:r>
        <w:rPr>
          <w:rFonts w:ascii="Cambria" w:eastAsia="Cambria" w:hAnsi="Cambria" w:cs="Cambria"/>
        </w:rPr>
        <w:t xml:space="preserve">Matheson, M. T. (2003). </w:t>
      </w:r>
      <w:r>
        <w:rPr>
          <w:rFonts w:ascii="Cambria" w:eastAsia="Cambria" w:hAnsi="Cambria" w:cs="Cambria"/>
          <w:i/>
        </w:rPr>
        <w:t>Taxing financial transactions: Issues and evidence</w:t>
      </w:r>
      <w:r>
        <w:rPr>
          <w:rFonts w:ascii="Cambria" w:eastAsia="Cambria" w:hAnsi="Cambria" w:cs="Cambria"/>
        </w:rPr>
        <w:t>, volume 3, Special Issue. IMF Staff Papers, International Monetary Fund.</w:t>
      </w:r>
    </w:p>
    <w:p w:rsidR="00EE13F6" w:rsidRDefault="002E5BC4">
      <w:pPr>
        <w:spacing w:after="162" w:line="264" w:lineRule="auto"/>
        <w:ind w:left="203" w:right="468" w:hanging="218"/>
        <w:jc w:val="both"/>
      </w:pPr>
      <w:r>
        <w:rPr>
          <w:rFonts w:ascii="Cambria" w:eastAsia="Cambria" w:hAnsi="Cambria" w:cs="Cambria"/>
        </w:rPr>
        <w:t xml:space="preserve">Modigliani, F. and Miller, M. H. (1958). The cost of capital, corporation finance and the theory of </w:t>
      </w:r>
      <w:r>
        <w:rPr>
          <w:rFonts w:ascii="Cambria" w:eastAsia="Cambria" w:hAnsi="Cambria" w:cs="Cambria"/>
        </w:rPr>
        <w:t xml:space="preserve">investment. </w:t>
      </w:r>
      <w:r>
        <w:rPr>
          <w:rFonts w:ascii="Cambria" w:eastAsia="Cambria" w:hAnsi="Cambria" w:cs="Cambria"/>
          <w:i/>
        </w:rPr>
        <w:t>The American economic review</w:t>
      </w:r>
      <w:r>
        <w:rPr>
          <w:rFonts w:ascii="Cambria" w:eastAsia="Cambria" w:hAnsi="Cambria" w:cs="Cambria"/>
        </w:rPr>
        <w:t>, 48(3):261–297.</w:t>
      </w:r>
    </w:p>
    <w:p w:rsidR="00EE13F6" w:rsidRDefault="002E5BC4">
      <w:pPr>
        <w:spacing w:after="182" w:line="264" w:lineRule="auto"/>
        <w:ind w:left="203" w:right="468" w:hanging="218"/>
        <w:jc w:val="both"/>
      </w:pPr>
      <w:r>
        <w:rPr>
          <w:rFonts w:ascii="Cambria" w:eastAsia="Cambria" w:hAnsi="Cambria" w:cs="Cambria"/>
        </w:rPr>
        <w:t xml:space="preserve">Musiela, M. and Rutkowski, M. (1998). Martingale methods in financial modeling, 2nd edition. </w:t>
      </w:r>
      <w:r>
        <w:rPr>
          <w:rFonts w:ascii="Cambria" w:eastAsia="Cambria" w:hAnsi="Cambria" w:cs="Cambria"/>
          <w:i/>
        </w:rPr>
        <w:t>Stochastic Modelling and Applied Probability</w:t>
      </w:r>
      <w:r>
        <w:rPr>
          <w:rFonts w:ascii="Cambria" w:eastAsia="Cambria" w:hAnsi="Cambria" w:cs="Cambria"/>
        </w:rPr>
        <w:t>, 36.</w:t>
      </w:r>
    </w:p>
    <w:p w:rsidR="00EE13F6" w:rsidRDefault="002E5BC4">
      <w:pPr>
        <w:spacing w:after="155" w:line="262" w:lineRule="auto"/>
        <w:ind w:left="213" w:hanging="228"/>
      </w:pPr>
      <w:r>
        <w:rPr>
          <w:rFonts w:ascii="Cambria" w:eastAsia="Cambria" w:hAnsi="Cambria" w:cs="Cambria"/>
        </w:rPr>
        <w:t>Oxera (2007). Stamp duty: Its impact and the benefits of</w:t>
      </w:r>
      <w:r>
        <w:rPr>
          <w:rFonts w:ascii="Cambria" w:eastAsia="Cambria" w:hAnsi="Cambria" w:cs="Cambria"/>
        </w:rPr>
        <w:t xml:space="preserve"> its abolition. </w:t>
      </w:r>
      <w:r>
        <w:rPr>
          <w:rFonts w:ascii="Cambria" w:eastAsia="Cambria" w:hAnsi="Cambria" w:cs="Cambria"/>
          <w:i/>
        </w:rPr>
        <w:t>Prepared for ABI, City of London Corporation, IMA and London Stock Exchange</w:t>
      </w:r>
      <w:r>
        <w:rPr>
          <w:rFonts w:ascii="Cambria" w:eastAsia="Cambria" w:hAnsi="Cambria" w:cs="Cambria"/>
        </w:rPr>
        <w:t>.</w:t>
      </w:r>
    </w:p>
    <w:p w:rsidR="00EE13F6" w:rsidRDefault="002E5BC4">
      <w:pPr>
        <w:spacing w:after="182" w:line="264" w:lineRule="auto"/>
        <w:ind w:left="203" w:right="468" w:hanging="218"/>
        <w:jc w:val="both"/>
      </w:pPr>
      <w:r>
        <w:rPr>
          <w:rFonts w:ascii="Cambria" w:eastAsia="Cambria" w:hAnsi="Cambria" w:cs="Cambria"/>
        </w:rPr>
        <w:t>Oxera (2014). What could be the economic impact of the proposed financial transaction tax? a comprehensive assessment of the potential macroeconomic impact. Techni</w:t>
      </w:r>
      <w:r>
        <w:rPr>
          <w:rFonts w:ascii="Cambria" w:eastAsia="Cambria" w:hAnsi="Cambria" w:cs="Cambria"/>
        </w:rPr>
        <w:t>cal report, Oxera.</w:t>
      </w:r>
    </w:p>
    <w:p w:rsidR="00EE13F6" w:rsidRDefault="002E5BC4">
      <w:pPr>
        <w:spacing w:after="165" w:line="264" w:lineRule="auto"/>
        <w:ind w:left="-5" w:right="468" w:hanging="10"/>
        <w:jc w:val="both"/>
      </w:pPr>
      <w:r>
        <w:rPr>
          <w:rFonts w:ascii="Cambria" w:eastAsia="Cambria" w:hAnsi="Cambria" w:cs="Cambria"/>
        </w:rPr>
        <w:t xml:space="preserve">Rubinstein, M. and Reiner, C. (1991). Breaking down the barriers. </w:t>
      </w:r>
      <w:r>
        <w:rPr>
          <w:rFonts w:ascii="Cambria" w:eastAsia="Cambria" w:hAnsi="Cambria" w:cs="Cambria"/>
          <w:i/>
        </w:rPr>
        <w:t>Risk</w:t>
      </w:r>
      <w:r>
        <w:rPr>
          <w:rFonts w:ascii="Cambria" w:eastAsia="Cambria" w:hAnsi="Cambria" w:cs="Cambria"/>
        </w:rPr>
        <w:t>, 4:28–35.</w:t>
      </w:r>
    </w:p>
    <w:p w:rsidR="00EE13F6" w:rsidRDefault="002E5BC4">
      <w:pPr>
        <w:spacing w:after="156" w:line="264" w:lineRule="auto"/>
        <w:ind w:left="203" w:right="468" w:hanging="218"/>
        <w:jc w:val="both"/>
      </w:pPr>
      <w:r>
        <w:rPr>
          <w:rFonts w:ascii="Cambria" w:eastAsia="Cambria" w:hAnsi="Cambria" w:cs="Cambria"/>
        </w:rPr>
        <w:t>Saporta, V. and Kan, K. (1997). The effects of stamp duty on the level and volatility of equity prices.</w:t>
      </w:r>
    </w:p>
    <w:p w:rsidR="00EE13F6" w:rsidRDefault="002E5BC4">
      <w:pPr>
        <w:spacing w:after="189" w:line="264" w:lineRule="auto"/>
        <w:ind w:left="203" w:right="468" w:hanging="218"/>
        <w:jc w:val="both"/>
      </w:pPr>
      <w:r>
        <w:rPr>
          <w:rFonts w:ascii="Cambria" w:eastAsia="Cambria" w:hAnsi="Cambria" w:cs="Cambria"/>
        </w:rPr>
        <w:t xml:space="preserve">Schwert, G. W. and Seguin, P. J. (1993). Securities transaction taxes: an overview of costs, benefits and unresolved questions. </w:t>
      </w:r>
      <w:r>
        <w:rPr>
          <w:rFonts w:ascii="Cambria" w:eastAsia="Cambria" w:hAnsi="Cambria" w:cs="Cambria"/>
          <w:i/>
        </w:rPr>
        <w:t>Financial Analysts Journal</w:t>
      </w:r>
      <w:r>
        <w:rPr>
          <w:rFonts w:ascii="Cambria" w:eastAsia="Cambria" w:hAnsi="Cambria" w:cs="Cambria"/>
        </w:rPr>
        <w:t>, 49(5):27–35.</w:t>
      </w:r>
    </w:p>
    <w:p w:rsidR="00EE13F6" w:rsidRDefault="002E5BC4">
      <w:pPr>
        <w:spacing w:after="182" w:line="262" w:lineRule="auto"/>
        <w:ind w:left="213" w:hanging="228"/>
      </w:pPr>
      <w:r>
        <w:rPr>
          <w:rFonts w:ascii="Cambria" w:eastAsia="Cambria" w:hAnsi="Cambria" w:cs="Cambria"/>
        </w:rPr>
        <w:t xml:space="preserve">Taleb, N. (2005). </w:t>
      </w:r>
      <w:r>
        <w:rPr>
          <w:rFonts w:ascii="Cambria" w:eastAsia="Cambria" w:hAnsi="Cambria" w:cs="Cambria"/>
          <w:i/>
        </w:rPr>
        <w:t>Fooled by randomness: The hidden role of chance in life and in the ma</w:t>
      </w:r>
      <w:r>
        <w:rPr>
          <w:rFonts w:ascii="Cambria" w:eastAsia="Cambria" w:hAnsi="Cambria" w:cs="Cambria"/>
          <w:i/>
        </w:rPr>
        <w:t>rkets</w:t>
      </w:r>
      <w:r>
        <w:rPr>
          <w:rFonts w:ascii="Cambria" w:eastAsia="Cambria" w:hAnsi="Cambria" w:cs="Cambria"/>
        </w:rPr>
        <w:t>, volume 1. Random House Incorporated.</w:t>
      </w:r>
    </w:p>
    <w:p w:rsidR="00EE13F6" w:rsidRDefault="002E5BC4">
      <w:pPr>
        <w:spacing w:after="181" w:line="264" w:lineRule="auto"/>
        <w:ind w:left="203" w:right="468" w:hanging="218"/>
        <w:jc w:val="both"/>
      </w:pPr>
      <w:r>
        <w:rPr>
          <w:rFonts w:ascii="Cambria" w:eastAsia="Cambria" w:hAnsi="Cambria" w:cs="Cambria"/>
        </w:rPr>
        <w:t xml:space="preserve">Umlauf, S. R. (1993). Transaction taxes and the behavior of the swedish stock market. </w:t>
      </w:r>
      <w:r>
        <w:rPr>
          <w:rFonts w:ascii="Cambria" w:eastAsia="Cambria" w:hAnsi="Cambria" w:cs="Cambria"/>
          <w:i/>
        </w:rPr>
        <w:t>Journal of Financial Economics</w:t>
      </w:r>
      <w:r>
        <w:rPr>
          <w:rFonts w:ascii="Cambria" w:eastAsia="Cambria" w:hAnsi="Cambria" w:cs="Cambria"/>
        </w:rPr>
        <w:t>, 33(2):227–240.</w:t>
      </w:r>
    </w:p>
    <w:p w:rsidR="00EE13F6" w:rsidRDefault="002E5BC4">
      <w:pPr>
        <w:spacing w:after="130" w:line="264" w:lineRule="auto"/>
        <w:ind w:left="203" w:right="468" w:hanging="218"/>
        <w:jc w:val="both"/>
      </w:pPr>
      <w:r>
        <w:rPr>
          <w:rFonts w:ascii="Cambria" w:eastAsia="Cambria" w:hAnsi="Cambria" w:cs="Cambria"/>
        </w:rPr>
        <w:t>Vasicek, O. KMV (Kealhofer, M. and Vasicek) (2012). Structural models in credit</w:t>
      </w:r>
      <w:r>
        <w:rPr>
          <w:rFonts w:ascii="Cambria" w:eastAsia="Cambria" w:hAnsi="Cambria" w:cs="Cambria"/>
        </w:rPr>
        <w:t xml:space="preserve"> valuation. </w:t>
      </w:r>
      <w:r>
        <w:rPr>
          <w:rFonts w:ascii="Cambria" w:eastAsia="Cambria" w:hAnsi="Cambria" w:cs="Cambria"/>
          <w:i/>
        </w:rPr>
        <w:t>NYU Stern</w:t>
      </w:r>
      <w:r>
        <w:rPr>
          <w:rFonts w:ascii="Cambria" w:eastAsia="Cambria" w:hAnsi="Cambria" w:cs="Cambria"/>
        </w:rPr>
        <w:t>.</w:t>
      </w:r>
    </w:p>
    <w:p w:rsidR="00EE13F6" w:rsidRDefault="002E5BC4">
      <w:pPr>
        <w:spacing w:after="202" w:line="264" w:lineRule="auto"/>
        <w:ind w:left="203" w:right="468" w:hanging="218"/>
        <w:jc w:val="both"/>
      </w:pPr>
      <w:r>
        <w:rPr>
          <w:rFonts w:ascii="Cambria" w:eastAsia="Cambria" w:hAnsi="Cambria" w:cs="Cambria"/>
        </w:rPr>
        <w:t xml:space="preserve">Wang, G. and Yau, J. (2012). Would a financial transaction tax affect financial market activity? insights from future markets. </w:t>
      </w:r>
      <w:r>
        <w:rPr>
          <w:rFonts w:ascii="Cambria" w:eastAsia="Cambria" w:hAnsi="Cambria" w:cs="Cambria"/>
          <w:i/>
        </w:rPr>
        <w:t>Policy Analysis</w:t>
      </w:r>
      <w:r>
        <w:rPr>
          <w:rFonts w:ascii="Cambria" w:eastAsia="Cambria" w:hAnsi="Cambria" w:cs="Cambria"/>
        </w:rPr>
        <w:t>, (702).</w:t>
      </w:r>
    </w:p>
    <w:p w:rsidR="00EE13F6" w:rsidRDefault="002E5BC4">
      <w:pPr>
        <w:spacing w:after="130" w:line="264" w:lineRule="auto"/>
        <w:ind w:left="203" w:right="468" w:hanging="218"/>
        <w:jc w:val="both"/>
      </w:pPr>
      <w:r>
        <w:rPr>
          <w:rFonts w:ascii="Cambria" w:eastAsia="Cambria" w:hAnsi="Cambria" w:cs="Cambria"/>
        </w:rPr>
        <w:t>Westerholm, P. (2003). The impact of transaction costs on turnover, asset prices a</w:t>
      </w:r>
      <w:r>
        <w:rPr>
          <w:rFonts w:ascii="Cambria" w:eastAsia="Cambria" w:hAnsi="Cambria" w:cs="Cambria"/>
        </w:rPr>
        <w:t xml:space="preserve">nd volatility: the cases of sweden’s and finland’s security transaction tax reductions. </w:t>
      </w:r>
      <w:r>
        <w:rPr>
          <w:rFonts w:ascii="Cambria" w:eastAsia="Cambria" w:hAnsi="Cambria" w:cs="Cambria"/>
          <w:i/>
        </w:rPr>
        <w:t>Liiketaloudellinen Aikakauskirja</w:t>
      </w:r>
      <w:r>
        <w:rPr>
          <w:rFonts w:ascii="Cambria" w:eastAsia="Cambria" w:hAnsi="Cambria" w:cs="Cambria"/>
        </w:rPr>
        <w:t>, pages 213–241.</w:t>
      </w:r>
      <w:r>
        <w:br w:type="page"/>
      </w:r>
    </w:p>
    <w:p w:rsidR="00EE13F6" w:rsidRDefault="002E5BC4">
      <w:pPr>
        <w:spacing w:after="0" w:line="266" w:lineRule="auto"/>
        <w:ind w:left="135"/>
      </w:pPr>
      <w:r>
        <w:rPr>
          <w:rFonts w:ascii="Cambria" w:eastAsia="Cambria" w:hAnsi="Cambria" w:cs="Cambria"/>
          <w:sz w:val="34"/>
        </w:rPr>
        <w:lastRenderedPageBreak/>
        <w:t>Chapter III: Study of The Effect of the EU Financial Transaction</w:t>
      </w:r>
    </w:p>
    <w:p w:rsidR="00EE13F6" w:rsidRDefault="002E5BC4">
      <w:pPr>
        <w:spacing w:after="355" w:line="266" w:lineRule="auto"/>
        <w:ind w:left="1642" w:hanging="1507"/>
      </w:pPr>
      <w:r>
        <w:rPr>
          <w:rFonts w:ascii="Cambria" w:eastAsia="Cambria" w:hAnsi="Cambria" w:cs="Cambria"/>
          <w:sz w:val="34"/>
        </w:rPr>
        <w:t>Tax on Corporate Stock Markets Prices, Corporate Valu</w:t>
      </w:r>
      <w:r>
        <w:rPr>
          <w:rFonts w:ascii="Cambria" w:eastAsia="Cambria" w:hAnsi="Cambria" w:cs="Cambria"/>
          <w:sz w:val="34"/>
        </w:rPr>
        <w:t xml:space="preserve">ation and Volumes on the Primary Securities Markets </w:t>
      </w:r>
      <w:r>
        <w:rPr>
          <w:rFonts w:ascii="Cambria" w:eastAsia="Cambria" w:hAnsi="Cambria" w:cs="Cambria"/>
          <w:sz w:val="34"/>
          <w:vertAlign w:val="superscript"/>
        </w:rPr>
        <w:t>∗</w:t>
      </w:r>
    </w:p>
    <w:p w:rsidR="00EE13F6" w:rsidRDefault="002E5BC4">
      <w:pPr>
        <w:spacing w:after="15" w:line="265" w:lineRule="auto"/>
        <w:ind w:left="11" w:right="408" w:hanging="10"/>
        <w:jc w:val="center"/>
      </w:pPr>
      <w:r>
        <w:rPr>
          <w:rFonts w:ascii="Cambria" w:eastAsia="Cambria" w:hAnsi="Cambria" w:cs="Cambria"/>
          <w:sz w:val="24"/>
        </w:rPr>
        <w:t>Jean Pierre Fraichot</w:t>
      </w:r>
      <w:r>
        <w:rPr>
          <w:rFonts w:ascii="Cambria" w:eastAsia="Cambria" w:hAnsi="Cambria" w:cs="Cambria"/>
          <w:sz w:val="24"/>
          <w:vertAlign w:val="superscript"/>
        </w:rPr>
        <w:t>†</w:t>
      </w:r>
    </w:p>
    <w:p w:rsidR="00EE13F6" w:rsidRDefault="002E5BC4">
      <w:pPr>
        <w:spacing w:after="348" w:line="265" w:lineRule="auto"/>
        <w:ind w:left="10" w:right="483" w:hanging="10"/>
        <w:jc w:val="center"/>
      </w:pPr>
      <w:r>
        <w:rPr>
          <w:rFonts w:ascii="Cambria" w:eastAsia="Cambria" w:hAnsi="Cambria" w:cs="Cambria"/>
        </w:rPr>
        <w:t>LEDa, U. Paris Dauphine, PSL Research University</w:t>
      </w:r>
    </w:p>
    <w:p w:rsidR="00EE13F6" w:rsidRDefault="002E5BC4">
      <w:pPr>
        <w:spacing w:after="837" w:line="265" w:lineRule="auto"/>
        <w:ind w:left="11" w:right="484" w:hanging="10"/>
        <w:jc w:val="center"/>
      </w:pPr>
      <w:r>
        <w:rPr>
          <w:rFonts w:ascii="Cambria" w:eastAsia="Cambria" w:hAnsi="Cambria" w:cs="Cambria"/>
          <w:sz w:val="24"/>
        </w:rPr>
        <w:t>November 13, 2018</w:t>
      </w:r>
    </w:p>
    <w:p w:rsidR="00EE13F6" w:rsidRDefault="002E5BC4">
      <w:pPr>
        <w:pStyle w:val="Heading2"/>
        <w:spacing w:after="184" w:line="259" w:lineRule="auto"/>
        <w:ind w:left="0" w:right="483" w:firstLine="0"/>
        <w:jc w:val="center"/>
      </w:pPr>
      <w:r>
        <w:rPr>
          <w:sz w:val="20"/>
        </w:rPr>
        <w:t>Abstract</w:t>
      </w:r>
    </w:p>
    <w:p w:rsidR="00EE13F6" w:rsidRDefault="002E5BC4">
      <w:pPr>
        <w:spacing w:after="3" w:line="252" w:lineRule="auto"/>
        <w:ind w:left="530" w:right="1014" w:firstLine="289"/>
        <w:jc w:val="both"/>
      </w:pPr>
      <w:r>
        <w:rPr>
          <w:rFonts w:ascii="Cambria" w:eastAsia="Cambria" w:hAnsi="Cambria" w:cs="Cambria"/>
          <w:sz w:val="20"/>
        </w:rPr>
        <w:t xml:space="preserve">We consider the EU project of implementing an FTT for all securities transactions. We study its short and long term impact on the expected theoretical values of corporate equity and debt, as well as corporate firm’s value, under a risk neutral assumption. </w:t>
      </w:r>
      <w:r>
        <w:rPr>
          <w:rFonts w:ascii="Cambria" w:eastAsia="Cambria" w:hAnsi="Cambria" w:cs="Cambria"/>
          <w:sz w:val="20"/>
        </w:rPr>
        <w:t>The risk neutral measure is the one induced by the stochastic diffusion process followed by the corporate asset value.</w:t>
      </w:r>
    </w:p>
    <w:p w:rsidR="00EE13F6" w:rsidRDefault="002E5BC4">
      <w:pPr>
        <w:spacing w:after="3" w:line="252" w:lineRule="auto"/>
        <w:ind w:left="530" w:right="1014" w:firstLine="289"/>
        <w:jc w:val="both"/>
      </w:pPr>
      <w:r>
        <w:rPr>
          <w:rFonts w:ascii="Cambria" w:eastAsia="Cambria" w:hAnsi="Cambria" w:cs="Cambria"/>
          <w:sz w:val="20"/>
        </w:rPr>
        <w:t>We use the results of chapter I and II stating that the introduction of the FTT will raise both corporate asset volatility and credit spr</w:t>
      </w:r>
      <w:r>
        <w:rPr>
          <w:rFonts w:ascii="Cambria" w:eastAsia="Cambria" w:hAnsi="Cambria" w:cs="Cambria"/>
          <w:sz w:val="20"/>
        </w:rPr>
        <w:t>eads. Using corporate structure models, we find that it will lead to a decrease in both corporate debt and firm valuations. As a consequence, the value of preferred shares, subordinated notes and quasi-equity which all can be likened to perpetual debt will</w:t>
      </w:r>
      <w:r>
        <w:rPr>
          <w:rFonts w:ascii="Cambria" w:eastAsia="Cambria" w:hAnsi="Cambria" w:cs="Cambria"/>
          <w:sz w:val="20"/>
        </w:rPr>
        <w:t xml:space="preserve"> be negatively affected by the introduction of the FTT. We then focus on the impact of the FTT on the theoretical equity share price.</w:t>
      </w:r>
    </w:p>
    <w:p w:rsidR="00EE13F6" w:rsidRDefault="002E5BC4">
      <w:pPr>
        <w:spacing w:after="3" w:line="252" w:lineRule="auto"/>
        <w:ind w:left="530" w:right="1014" w:firstLine="289"/>
        <w:jc w:val="both"/>
      </w:pPr>
      <w:r>
        <w:rPr>
          <w:rFonts w:ascii="Cambria" w:eastAsia="Cambria" w:hAnsi="Cambria" w:cs="Cambria"/>
          <w:sz w:val="20"/>
        </w:rPr>
        <w:t xml:space="preserve">First, we review the case of corporations funded exclusively through equity, quasi-equity, preferred shares and perpetual </w:t>
      </w:r>
      <w:r>
        <w:rPr>
          <w:rFonts w:ascii="Cambria" w:eastAsia="Cambria" w:hAnsi="Cambria" w:cs="Cambria"/>
          <w:sz w:val="20"/>
        </w:rPr>
        <w:t>debt. For such firms, we find that the immediate short term effect consists in an increase of the equity share price, whereas the prices of preferred shares and quasi-equity should drop, as well as the overall firm’s value. In the same time, corporations w</w:t>
      </w:r>
      <w:r>
        <w:rPr>
          <w:rFonts w:ascii="Cambria" w:eastAsia="Cambria" w:hAnsi="Cambria" w:cs="Cambria"/>
          <w:sz w:val="20"/>
        </w:rPr>
        <w:t>hich are ”perpetual debt free” and are issuing new perpetual debt, would record a drop in the theoretical prices of equity, quasi-equity as well as preferred shares and firm’s value.</w:t>
      </w:r>
    </w:p>
    <w:p w:rsidR="00EE13F6" w:rsidRDefault="002E5BC4">
      <w:pPr>
        <w:spacing w:after="3" w:line="252" w:lineRule="auto"/>
        <w:ind w:left="530" w:right="1014" w:firstLine="289"/>
        <w:jc w:val="both"/>
      </w:pPr>
      <w:r>
        <w:rPr>
          <w:rFonts w:ascii="Cambria" w:eastAsia="Cambria" w:hAnsi="Cambria" w:cs="Cambria"/>
          <w:sz w:val="20"/>
        </w:rPr>
        <w:t>Second, we review the case of corporations funded through intermediate fi</w:t>
      </w:r>
      <w:r>
        <w:rPr>
          <w:rFonts w:ascii="Cambria" w:eastAsia="Cambria" w:hAnsi="Cambria" w:cs="Cambria"/>
          <w:sz w:val="20"/>
        </w:rPr>
        <w:t>xed term debt. This is the most common way for european corporations to raise debt. In general, we find an immediate price decrease in the equity share price, for intermediate debt maturities (up to 20 years). In this particular case, we find that corporat</w:t>
      </w:r>
      <w:r>
        <w:rPr>
          <w:rFonts w:ascii="Cambria" w:eastAsia="Cambria" w:hAnsi="Cambria" w:cs="Cambria"/>
          <w:sz w:val="20"/>
        </w:rPr>
        <w:t>ions aiming to keep a constant ratio between the respective values of debt and assets, will record a significant decrease in their debt price. For corporations aiming to keep an optimal capital structure maximizing the corporation value, we find that the d</w:t>
      </w:r>
      <w:r>
        <w:rPr>
          <w:rFonts w:ascii="Cambria" w:eastAsia="Cambria" w:hAnsi="Cambria" w:cs="Cambria"/>
          <w:sz w:val="20"/>
        </w:rPr>
        <w:t>rop in equity price is generally greater, while the decrease in the debt price is less important than for fixed capital structure.</w:t>
      </w:r>
    </w:p>
    <w:p w:rsidR="00EE13F6" w:rsidRDefault="002E5BC4">
      <w:pPr>
        <w:spacing w:after="3" w:line="252" w:lineRule="auto"/>
        <w:ind w:left="530" w:right="1014" w:firstLine="289"/>
        <w:jc w:val="both"/>
      </w:pPr>
      <w:r>
        <w:rPr>
          <w:rFonts w:ascii="Cambria" w:eastAsia="Cambria" w:hAnsi="Cambria" w:cs="Cambria"/>
          <w:sz w:val="20"/>
        </w:rPr>
        <w:t>The only notable exception for this decrease in equity prices occurs for highly leveraged corporations, with important credit</w:t>
      </w:r>
      <w:r>
        <w:rPr>
          <w:rFonts w:ascii="Cambria" w:eastAsia="Cambria" w:hAnsi="Cambria" w:cs="Cambria"/>
          <w:sz w:val="20"/>
        </w:rPr>
        <w:t xml:space="preserve"> spreads, which are close to bankruptcy and are issuing ”junk-bonds”. In this case, we encounter an ”agency effect”, where the increase in the riskiness of the asset is beneficial for shareholders. Consequently, we find that the introduction of the FTT</w:t>
      </w:r>
    </w:p>
    <w:p w:rsidR="00EE13F6" w:rsidRDefault="002E5BC4">
      <w:pPr>
        <w:spacing w:after="43"/>
      </w:pPr>
      <w:r>
        <w:rPr>
          <w:noProof/>
        </w:rPr>
        <mc:AlternateContent>
          <mc:Choice Requires="wpg">
            <w:drawing>
              <wp:inline distT="0" distB="0" distL="0" distR="0">
                <wp:extent cx="2377402" cy="5055"/>
                <wp:effectExtent l="0" t="0" r="0" b="0"/>
                <wp:docPr id="189800" name="Group 189800"/>
                <wp:cNvGraphicFramePr/>
                <a:graphic xmlns:a="http://schemas.openxmlformats.org/drawingml/2006/main">
                  <a:graphicData uri="http://schemas.microsoft.com/office/word/2010/wordprocessingGroup">
                    <wpg:wgp>
                      <wpg:cNvGrpSpPr/>
                      <wpg:grpSpPr>
                        <a:xfrm>
                          <a:off x="0" y="0"/>
                          <a:ext cx="2377402" cy="5055"/>
                          <a:chOff x="0" y="0"/>
                          <a:chExt cx="2377402" cy="5055"/>
                        </a:xfrm>
                      </wpg:grpSpPr>
                      <wps:wsp>
                        <wps:cNvPr id="14708" name="Shape 14708"/>
                        <wps:cNvSpPr/>
                        <wps:spPr>
                          <a:xfrm>
                            <a:off x="0" y="0"/>
                            <a:ext cx="2377402" cy="0"/>
                          </a:xfrm>
                          <a:custGeom>
                            <a:avLst/>
                            <a:gdLst/>
                            <a:ahLst/>
                            <a:cxnLst/>
                            <a:rect l="0" t="0" r="0" b="0"/>
                            <a:pathLst>
                              <a:path w="2377402">
                                <a:moveTo>
                                  <a:pt x="0" y="0"/>
                                </a:moveTo>
                                <a:lnTo>
                                  <a:pt x="237740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27341A" id="Group 189800" o:spid="_x0000_s1026" style="width:187.2pt;height:.4pt;mso-position-horizontal-relative:char;mso-position-vertical-relative:line" coordsize="237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">
                <v:shape id="Shape 14708" o:spid="_x0000_s1027" style="position:absolute;width:23774;height:0;visibility:visible;mso-wrap-style:square;v-text-anchor:top" coordsize="2377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n8MkA&#10;AADeAAAADwAAAGRycy9kb3ducmV2LnhtbESPQWvCQBCF70L/wzKCF9FNS2kldZVaKEhphVpRehuz&#10;k2wwOxuyW03/fedQ8DbDe/PeN/Nl7xt1pi7WgQ3cTjNQxEWwNVcGdl+vkxmomJAtNoHJwC9FWC5u&#10;BnPMbbjwJ523qVISwjFHAy6lNtc6Fo48xmloiUUrQ+cxydpV2nZ4kXDf6Lsse9Aea5YGhy29OCpO&#10;2x9v4LTZv5XlbLVyx/cP/O7b8bg4bIwZDfvnJ1CJ+nQ1/1+vreDfP2bCK+/IDHr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Zn8MkAAADeAAAADwAAAAAAAAAAAAAAAACYAgAA&#10;ZHJzL2Rvd25yZXYueG1sUEsFBgAAAAAEAAQA9QAAAI4DAAAAAA==&#10;" path="m,l2377402,e" filled="f" strokeweight=".14042mm">
                  <v:stroke miterlimit="83231f" joinstyle="miter"/>
                  <v:path arrowok="t" textboxrect="0,0,2377402,0"/>
                </v:shape>
                <w10:anchorlock/>
              </v:group>
            </w:pict>
          </mc:Fallback>
        </mc:AlternateContent>
      </w:r>
    </w:p>
    <w:p w:rsidR="00EE13F6" w:rsidRDefault="002E5BC4">
      <w:pPr>
        <w:spacing w:after="0"/>
        <w:ind w:left="248" w:hanging="10"/>
      </w:pPr>
      <w:r>
        <w:rPr>
          <w:rFonts w:ascii="Cambria" w:eastAsia="Cambria" w:hAnsi="Cambria" w:cs="Cambria"/>
          <w:sz w:val="12"/>
        </w:rPr>
        <w:t>∗</w:t>
      </w:r>
    </w:p>
    <w:p w:rsidR="00EE13F6" w:rsidRDefault="002E5BC4">
      <w:pPr>
        <w:spacing w:after="5" w:line="254" w:lineRule="auto"/>
        <w:ind w:left="-15" w:firstLine="332"/>
      </w:pPr>
      <w:r>
        <w:rPr>
          <w:rFonts w:ascii="Cambria" w:eastAsia="Cambria" w:hAnsi="Cambria" w:cs="Cambria"/>
          <w:sz w:val="18"/>
        </w:rPr>
        <w:t>I thank Martine Carr´e-Tallon, Ren´e A¨ıd, Jeroˆme Mathis and participants to Doctorants Workshop (Paris Dauphine, June 2016) for useful comments.</w:t>
      </w:r>
    </w:p>
    <w:p w:rsidR="00EE13F6" w:rsidRDefault="002E5BC4">
      <w:pPr>
        <w:spacing w:after="0"/>
        <w:ind w:left="248" w:hanging="10"/>
      </w:pPr>
      <w:r>
        <w:rPr>
          <w:rFonts w:ascii="Cambria" w:eastAsia="Cambria" w:hAnsi="Cambria" w:cs="Cambria"/>
          <w:sz w:val="12"/>
        </w:rPr>
        <w:t>†</w:t>
      </w:r>
    </w:p>
    <w:p w:rsidR="00EE13F6" w:rsidRDefault="002E5BC4">
      <w:pPr>
        <w:spacing w:after="18"/>
        <w:ind w:left="10" w:right="468" w:hanging="10"/>
        <w:jc w:val="right"/>
      </w:pPr>
      <w:r>
        <w:rPr>
          <w:rFonts w:ascii="Cambria" w:eastAsia="Cambria" w:hAnsi="Cambria" w:cs="Cambria"/>
          <w:sz w:val="18"/>
        </w:rPr>
        <w:t>Address: Universit´e Paris-Dauphine, PSL Research University, LEDa, Place du Mar´echal de Lattre de Tassigny,</w:t>
      </w:r>
    </w:p>
    <w:p w:rsidR="00EE13F6" w:rsidRDefault="002E5BC4">
      <w:pPr>
        <w:spacing w:after="5" w:line="254" w:lineRule="auto"/>
        <w:ind w:left="-5" w:hanging="10"/>
      </w:pPr>
      <w:r>
        <w:rPr>
          <w:rFonts w:ascii="Cambria" w:eastAsia="Cambria" w:hAnsi="Cambria" w:cs="Cambria"/>
          <w:sz w:val="18"/>
        </w:rPr>
        <w:t xml:space="preserve">75775 Paris Cedex 16, France. E-mail: </w:t>
      </w:r>
      <w:r>
        <w:rPr>
          <w:sz w:val="18"/>
        </w:rPr>
        <w:t>fraichot@yahoo.com</w:t>
      </w:r>
    </w:p>
    <w:p w:rsidR="00EE13F6" w:rsidRDefault="002E5BC4">
      <w:pPr>
        <w:spacing w:after="3" w:line="252" w:lineRule="auto"/>
        <w:ind w:left="530" w:right="1014"/>
        <w:jc w:val="both"/>
      </w:pPr>
      <w:r>
        <w:rPr>
          <w:rFonts w:ascii="Cambria" w:eastAsia="Cambria" w:hAnsi="Cambria" w:cs="Cambria"/>
          <w:sz w:val="20"/>
        </w:rPr>
        <w:lastRenderedPageBreak/>
        <w:t>would create an adverse selection bias, favouring highly leveraged and credit risky corporations issuing junk bonds.</w:t>
      </w:r>
    </w:p>
    <w:p w:rsidR="00EE13F6" w:rsidRDefault="002E5BC4">
      <w:pPr>
        <w:spacing w:after="3" w:line="252" w:lineRule="auto"/>
        <w:ind w:left="530" w:right="1014" w:firstLine="289"/>
        <w:jc w:val="both"/>
      </w:pPr>
      <w:r>
        <w:rPr>
          <w:rFonts w:ascii="Cambria" w:eastAsia="Cambria" w:hAnsi="Cambria" w:cs="Cambria"/>
          <w:sz w:val="20"/>
        </w:rPr>
        <w:t>In the long run, we find, that the reaction of corporations to the introduction of the FTT, would favor a drop in the equity share price. I</w:t>
      </w:r>
      <w:r>
        <w:rPr>
          <w:rFonts w:ascii="Cambria" w:eastAsia="Cambria" w:hAnsi="Cambria" w:cs="Cambria"/>
          <w:sz w:val="20"/>
        </w:rPr>
        <w:t>n general corporations looking for an optimal capital structure, maximizing the firm’s value, would tend to react by issuing more shares, and deleveraging their balance sheet by substituting equity to debt. This should lead to a negative impact on the equi</w:t>
      </w:r>
      <w:r>
        <w:rPr>
          <w:rFonts w:ascii="Cambria" w:eastAsia="Cambria" w:hAnsi="Cambria" w:cs="Cambria"/>
          <w:sz w:val="20"/>
        </w:rPr>
        <w:t>ty price through equity dilution. Furthermore, the drop in equity price should increase the volumes issued on the primary markets, every time the corporation choose to issue new equity instead of debt. In the long run, corporate firms raising capital on th</w:t>
      </w:r>
      <w:r>
        <w:rPr>
          <w:rFonts w:ascii="Cambria" w:eastAsia="Cambria" w:hAnsi="Cambria" w:cs="Cambria"/>
          <w:sz w:val="20"/>
        </w:rPr>
        <w:t>e primary market will have no other choice than to issue more equity shares available for trading on financial exchanges to raise the same amount of capital. This will, in turn, increase the volumes of shares available for trading. Those findings are diffe</w:t>
      </w:r>
      <w:r>
        <w:rPr>
          <w:rFonts w:ascii="Cambria" w:eastAsia="Cambria" w:hAnsi="Cambria" w:cs="Cambria"/>
          <w:sz w:val="20"/>
        </w:rPr>
        <w:t>rent from the literature which generally considers a negative impact on volumes traded by a classical effect of transaction cost increase. This difference is due to the fact that our approaches considers, through structural models, the fact that securities</w:t>
      </w:r>
      <w:r>
        <w:rPr>
          <w:rFonts w:ascii="Cambria" w:eastAsia="Cambria" w:hAnsi="Cambria" w:cs="Cambria"/>
          <w:sz w:val="20"/>
        </w:rPr>
        <w:t xml:space="preserve"> are instruments used for funding corporations, and that their supply is affected by the tax.</w:t>
      </w:r>
    </w:p>
    <w:p w:rsidR="00EE13F6" w:rsidRDefault="002E5BC4">
      <w:pPr>
        <w:spacing w:after="3" w:line="252" w:lineRule="auto"/>
        <w:ind w:left="530" w:right="1014" w:firstLine="289"/>
        <w:jc w:val="both"/>
      </w:pPr>
      <w:r>
        <w:rPr>
          <w:rFonts w:ascii="Cambria" w:eastAsia="Cambria" w:hAnsi="Cambria" w:cs="Cambria"/>
          <w:sz w:val="20"/>
        </w:rPr>
        <w:t>We then calibrate both models of perpetual and fixed term debt on a sample of 6 European corporations, funded either through intermediate or perpetual debt. We fi</w:t>
      </w:r>
      <w:r>
        <w:rPr>
          <w:rFonts w:ascii="Cambria" w:eastAsia="Cambria" w:hAnsi="Cambria" w:cs="Cambria"/>
          <w:sz w:val="20"/>
        </w:rPr>
        <w:t>nd a significant negative impact on the theoretical equity share price, as well as a substantial increasing effect on the corporate credit spread.</w:t>
      </w:r>
    </w:p>
    <w:p w:rsidR="00EE13F6" w:rsidRDefault="002E5BC4">
      <w:pPr>
        <w:spacing w:after="3" w:line="252" w:lineRule="auto"/>
        <w:ind w:left="530" w:right="1014" w:firstLine="289"/>
        <w:jc w:val="both"/>
      </w:pPr>
      <w:r>
        <w:rPr>
          <w:rFonts w:ascii="Cambria" w:eastAsia="Cambria" w:hAnsi="Cambria" w:cs="Cambria"/>
          <w:sz w:val="20"/>
        </w:rPr>
        <w:t>We find that the impact of the FTT on equity price is itself affected by the level of corporate tax. The drop</w:t>
      </w:r>
      <w:r>
        <w:rPr>
          <w:rFonts w:ascii="Cambria" w:eastAsia="Cambria" w:hAnsi="Cambria" w:cs="Cambria"/>
          <w:sz w:val="20"/>
        </w:rPr>
        <w:t xml:space="preserve"> in theoretical equity prices is stronger for higher risk-free rate levels. A higher corporate tax rate entails a slightly higher price decrease for low leveraged corporations. Conversely, highly leveraged coprorations domiciled in countries with low incom</w:t>
      </w:r>
      <w:r>
        <w:rPr>
          <w:rFonts w:ascii="Cambria" w:eastAsia="Cambria" w:hAnsi="Cambria" w:cs="Cambria"/>
          <w:sz w:val="20"/>
        </w:rPr>
        <w:t>e tax rate, will record a more significant decrease than the ones located in countries having higher tax rates. Therefore, in order to avoid a competitive distortion, national corporate tax rates would have to be equalized throughout the EU prior to the in</w:t>
      </w:r>
      <w:r>
        <w:rPr>
          <w:rFonts w:ascii="Cambria" w:eastAsia="Cambria" w:hAnsi="Cambria" w:cs="Cambria"/>
          <w:sz w:val="20"/>
        </w:rPr>
        <w:t>troduction of the FTT.</w:t>
      </w:r>
    </w:p>
    <w:p w:rsidR="00EE13F6" w:rsidRDefault="002E5BC4">
      <w:pPr>
        <w:spacing w:after="3" w:line="252" w:lineRule="auto"/>
        <w:ind w:left="530" w:right="1014" w:firstLine="289"/>
        <w:jc w:val="both"/>
      </w:pPr>
      <w:r>
        <w:rPr>
          <w:rFonts w:ascii="Cambria" w:eastAsia="Cambria" w:hAnsi="Cambria" w:cs="Cambria"/>
          <w:sz w:val="20"/>
        </w:rPr>
        <w:t>Our results which are established on the use of theoretical models appear in line with the results from the existing literature, based on empirical reviews of the stock market prices, following the introduction of a STET in Sweden or</w:t>
      </w:r>
      <w:r>
        <w:rPr>
          <w:rFonts w:ascii="Cambria" w:eastAsia="Cambria" w:hAnsi="Cambria" w:cs="Cambria"/>
          <w:sz w:val="20"/>
        </w:rPr>
        <w:t xml:space="preserve"> the United Kingdom. The magnitude of the depressing effects on the equity share prices are comparable, though the specifics of the FTT in the European project are different from the respective specifics of the STET introduced in both countries.</w:t>
      </w:r>
    </w:p>
    <w:p w:rsidR="00EE13F6" w:rsidRDefault="002E5BC4">
      <w:pPr>
        <w:spacing w:after="301" w:line="252" w:lineRule="auto"/>
        <w:ind w:left="530" w:right="1014" w:firstLine="289"/>
        <w:jc w:val="both"/>
      </w:pPr>
      <w:r>
        <w:rPr>
          <w:rFonts w:ascii="Cambria" w:eastAsia="Cambria" w:hAnsi="Cambria" w:cs="Cambria"/>
          <w:sz w:val="20"/>
        </w:rPr>
        <w:t>In additio</w:t>
      </w:r>
      <w:r>
        <w:rPr>
          <w:rFonts w:ascii="Cambria" w:eastAsia="Cambria" w:hAnsi="Cambria" w:cs="Cambria"/>
          <w:sz w:val="20"/>
        </w:rPr>
        <w:t>n, we find that the introduction of the FTT conflicts with the goal of the new CRD IV (Basel III) regulation. This regulation requires a minimum capital structure, where the equity and quasi-equity must represent a portion of the asset value greater than a</w:t>
      </w:r>
      <w:r>
        <w:rPr>
          <w:rFonts w:ascii="Cambria" w:eastAsia="Cambria" w:hAnsi="Cambria" w:cs="Cambria"/>
          <w:sz w:val="20"/>
        </w:rPr>
        <w:t xml:space="preserve"> given threshold prescribed by the regulation. This requirement corresponds exactly to our framework consisting of a fixed capital structure. In order to fulfil capital requirements imposed by CRD IV, banks have engineered new types of securities, such as </w:t>
      </w:r>
      <w:r>
        <w:rPr>
          <w:rFonts w:ascii="Cambria" w:eastAsia="Cambria" w:hAnsi="Cambria" w:cs="Cambria"/>
          <w:sz w:val="20"/>
        </w:rPr>
        <w:t>fixed term or perpetual debt, which are convertible in equity, should the equity value fall under a predetermined threshold. We find that the valuation of those securities, can be addressed with our valuation models. We find that the introduction of the FT</w:t>
      </w:r>
      <w:r>
        <w:rPr>
          <w:rFonts w:ascii="Cambria" w:eastAsia="Cambria" w:hAnsi="Cambria" w:cs="Cambria"/>
          <w:sz w:val="20"/>
        </w:rPr>
        <w:t>T, would increase the volatility of shares and lower the value of those instruments having in fact a complete antagonistic effect to the new regulation.</w:t>
      </w:r>
    </w:p>
    <w:p w:rsidR="00EE13F6" w:rsidRDefault="002E5BC4">
      <w:pPr>
        <w:spacing w:after="3" w:line="252" w:lineRule="auto"/>
        <w:ind w:left="530" w:right="1014"/>
        <w:jc w:val="both"/>
      </w:pPr>
      <w:r>
        <w:rPr>
          <w:rFonts w:ascii="Cambria" w:eastAsia="Cambria" w:hAnsi="Cambria" w:cs="Cambria"/>
          <w:b/>
          <w:sz w:val="20"/>
        </w:rPr>
        <w:t xml:space="preserve">Keywords: </w:t>
      </w:r>
      <w:r>
        <w:rPr>
          <w:rFonts w:ascii="Cambria" w:eastAsia="Cambria" w:hAnsi="Cambria" w:cs="Cambria"/>
          <w:sz w:val="20"/>
        </w:rPr>
        <w:t>Tax reform, options, volatility, liquidity, credit spread</w:t>
      </w:r>
    </w:p>
    <w:p w:rsidR="00EE13F6" w:rsidRDefault="002E5BC4">
      <w:pPr>
        <w:spacing w:after="0"/>
        <w:ind w:left="545"/>
      </w:pPr>
      <w:r>
        <w:rPr>
          <w:rFonts w:ascii="Cambria" w:eastAsia="Cambria" w:hAnsi="Cambria" w:cs="Cambria"/>
          <w:b/>
          <w:sz w:val="20"/>
        </w:rPr>
        <w:t>JEL Classifications: G02,G11,G12,H2</w:t>
      </w:r>
      <w:r>
        <w:rPr>
          <w:rFonts w:ascii="Cambria" w:eastAsia="Cambria" w:hAnsi="Cambria" w:cs="Cambria"/>
          <w:b/>
          <w:sz w:val="20"/>
        </w:rPr>
        <w:t>2,H39</w:t>
      </w:r>
    </w:p>
    <w:p w:rsidR="00EE13F6" w:rsidRDefault="002E5BC4">
      <w:pPr>
        <w:pStyle w:val="Heading1"/>
        <w:spacing w:after="263" w:line="261" w:lineRule="auto"/>
        <w:ind w:left="-5" w:right="468" w:hanging="10"/>
        <w:jc w:val="both"/>
      </w:pPr>
      <w:r>
        <w:t>Introduction</w:t>
      </w:r>
    </w:p>
    <w:p w:rsidR="00EE13F6" w:rsidRDefault="002E5BC4">
      <w:pPr>
        <w:spacing w:after="135" w:line="264" w:lineRule="auto"/>
        <w:ind w:left="-5" w:right="468" w:hanging="10"/>
        <w:jc w:val="both"/>
      </w:pPr>
      <w:r>
        <w:rPr>
          <w:rFonts w:ascii="Cambria" w:eastAsia="Cambria" w:hAnsi="Cambria" w:cs="Cambria"/>
        </w:rPr>
        <w:t>We consider here the impact of the European Financial Transaction Tax (FTT) on the theoretical prices of corporate equity and quasi-equity. The FTT is in fact a standard turnover excise tax (STET) that would apply certain rates to the no</w:t>
      </w:r>
      <w:r>
        <w:rPr>
          <w:rFonts w:ascii="Cambria" w:eastAsia="Cambria" w:hAnsi="Cambria" w:cs="Cambria"/>
        </w:rPr>
        <w:t xml:space="preserve">tional value of all transactions related to securities and </w:t>
      </w:r>
      <w:r>
        <w:rPr>
          <w:rFonts w:ascii="Cambria" w:eastAsia="Cambria" w:hAnsi="Cambria" w:cs="Cambria"/>
        </w:rPr>
        <w:lastRenderedPageBreak/>
        <w:t>derivatives taking place in the European Union (EU) or performed by financial institutions domiciled in the EU.</w:t>
      </w:r>
    </w:p>
    <w:p w:rsidR="00EE13F6" w:rsidRDefault="002E5BC4">
      <w:pPr>
        <w:spacing w:after="135" w:line="264" w:lineRule="auto"/>
        <w:ind w:left="-5" w:right="468" w:hanging="10"/>
        <w:jc w:val="both"/>
      </w:pPr>
      <w:r>
        <w:rPr>
          <w:rFonts w:ascii="Cambria" w:eastAsia="Cambria" w:hAnsi="Cambria" w:cs="Cambria"/>
        </w:rPr>
        <w:t>The relatively large number of empirical contributions analysing the effect of a Stan</w:t>
      </w:r>
      <w:r>
        <w:rPr>
          <w:rFonts w:ascii="Cambria" w:eastAsia="Cambria" w:hAnsi="Cambria" w:cs="Cambria"/>
        </w:rPr>
        <w:t>dard Turnover Excise Tax (STET) on asset prices has focused mainly on the corporate stock market. The existing literature relies on theoretical general equilibrium models, simulations and empirical analyses to assess the impact of STETs on the level and vo</w:t>
      </w:r>
      <w:r>
        <w:rPr>
          <w:rFonts w:ascii="Cambria" w:eastAsia="Cambria" w:hAnsi="Cambria" w:cs="Cambria"/>
        </w:rPr>
        <w:t>latility of asset prices, capital costs and real investment. Focused on the experience of countries such as the United States (Amihud and Mendelson (1991), Hakkio et al. (1994), Matheson (2011), among others), United Kingdom (Saporta and Kan (1997), Hawkin</w:t>
      </w:r>
      <w:r>
        <w:rPr>
          <w:rFonts w:ascii="Cambria" w:eastAsia="Cambria" w:hAnsi="Cambria" w:cs="Cambria"/>
        </w:rPr>
        <w:t>s and McCrae (2002), Oxera (2007)), or Sweden (Umlauf (1993), Westerholm (2003)), it concludes that financial transaction taxes would be associated with a decrease in the price of assets, mainly corporate equity shares, and an increase in the cost of capit</w:t>
      </w:r>
      <w:r>
        <w:rPr>
          <w:rFonts w:ascii="Cambria" w:eastAsia="Cambria" w:hAnsi="Cambria" w:cs="Cambria"/>
        </w:rPr>
        <w:t>al.</w:t>
      </w:r>
    </w:p>
    <w:p w:rsidR="00EE13F6" w:rsidRDefault="002E5BC4">
      <w:pPr>
        <w:spacing w:after="135" w:line="264" w:lineRule="auto"/>
        <w:ind w:left="-5" w:right="468" w:hanging="10"/>
        <w:jc w:val="both"/>
      </w:pPr>
      <w:r>
        <w:rPr>
          <w:rFonts w:ascii="Cambria" w:eastAsia="Cambria" w:hAnsi="Cambria" w:cs="Cambria"/>
        </w:rPr>
        <w:t>We follow the path we already took in chapter II, which considers that capital structure arbitrage may occur between the various instruments used by the same corporate firm for its funding. i.e. either equity or debt. Our approach is new and is based o</w:t>
      </w:r>
      <w:r>
        <w:rPr>
          <w:rFonts w:ascii="Cambria" w:eastAsia="Cambria" w:hAnsi="Cambria" w:cs="Cambria"/>
        </w:rPr>
        <w:t>n micro-economic characteristics at the corporate level. We consider the possibility that the specifics of a given corporation directly determine the impact of the FTT in terms of capital costs. Therefore we study a framework where a uniform taxation dispo</w:t>
      </w:r>
      <w:r>
        <w:rPr>
          <w:rFonts w:ascii="Cambria" w:eastAsia="Cambria" w:hAnsi="Cambria" w:cs="Cambria"/>
        </w:rPr>
        <w:t>sition can induce heterogeneous responses at the micro-economic level. There is good reason to review the potential effects of the FTT on capital structure arbitrage between corporate debt and equity.</w:t>
      </w:r>
    </w:p>
    <w:p w:rsidR="00EE13F6" w:rsidRDefault="002E5BC4">
      <w:pPr>
        <w:spacing w:after="135" w:line="264" w:lineRule="auto"/>
        <w:ind w:left="-5" w:right="468" w:hanging="10"/>
        <w:jc w:val="both"/>
      </w:pPr>
      <w:r>
        <w:rPr>
          <w:rFonts w:ascii="Cambria" w:eastAsia="Cambria" w:hAnsi="Cambria" w:cs="Cambria"/>
        </w:rPr>
        <w:t>Modigliani and Miller (1958), postulate corporate indif</w:t>
      </w:r>
      <w:r>
        <w:rPr>
          <w:rFonts w:ascii="Cambria" w:eastAsia="Cambria" w:hAnsi="Cambria" w:cs="Cambria"/>
        </w:rPr>
        <w:t xml:space="preserve">ference between issuing debt or equity, requires the absence of tax and transaction costs. This is not the case where the FTT applies. Second, the existing literature on structural models, such as Leland (1994a) and Leland and Toft (1996) or Black and Cox </w:t>
      </w:r>
      <w:r>
        <w:rPr>
          <w:rFonts w:ascii="Cambria" w:eastAsia="Cambria" w:hAnsi="Cambria" w:cs="Cambria"/>
        </w:rPr>
        <w:t xml:space="preserve">(1976), suggests that these two asset classes fare differently in the presence of taxation. A review of such models suggests that this is due to tax code provisions favoring financing through corporate debt, by way of a tax deduction for interest payments </w:t>
      </w:r>
      <w:r>
        <w:rPr>
          <w:rFonts w:ascii="Cambria" w:eastAsia="Cambria" w:hAnsi="Cambria" w:cs="Cambria"/>
        </w:rPr>
        <w:t>made to bondholders. Third, the liquidity of both markets is asymmetric, the stock market being generally more liquid than the corporate bond market. This suggests, in the vein of Chapter I, that the cascading effects of the FTT are split among a greater n</w:t>
      </w:r>
      <w:r>
        <w:rPr>
          <w:rFonts w:ascii="Cambria" w:eastAsia="Cambria" w:hAnsi="Cambria" w:cs="Cambria"/>
        </w:rPr>
        <w:t>umber of players in the stock market than in the corporate bond market.</w:t>
      </w:r>
    </w:p>
    <w:p w:rsidR="00EE13F6" w:rsidRDefault="002E5BC4">
      <w:pPr>
        <w:spacing w:after="135" w:line="264" w:lineRule="auto"/>
        <w:ind w:left="-5" w:right="468" w:hanging="10"/>
        <w:jc w:val="both"/>
      </w:pPr>
      <w:r>
        <w:rPr>
          <w:rFonts w:ascii="Cambria" w:eastAsia="Cambria" w:hAnsi="Cambria" w:cs="Cambria"/>
        </w:rPr>
        <w:t xml:space="preserve">There exists an abundant literature on structural models linking the default of corporate firms to the behavior of their asset value.Those structural models can be classified according to the maturity of the debt considered, as well as the manner in which </w:t>
      </w:r>
      <w:r>
        <w:rPr>
          <w:rFonts w:ascii="Cambria" w:eastAsia="Cambria" w:hAnsi="Cambria" w:cs="Cambria"/>
        </w:rPr>
        <w:t>the bankruptcy is triggered. First, the bankruptcy is due to exogenous causes and is introduced through the existence of positive net worth covenants attached to the debt. The bankruptcy may be triggered by bond holders as soon as the level of the asset va</w:t>
      </w:r>
      <w:r>
        <w:rPr>
          <w:rFonts w:ascii="Cambria" w:eastAsia="Cambria" w:hAnsi="Cambria" w:cs="Cambria"/>
        </w:rPr>
        <w:t>lue falls below a predetermined threshold, set as a fixed fraction of the face value of the debt issued by the firm. In the alternative, the bankruptcy may still be based on the asset value falling below a certain threshold, but this threshold is determine</w:t>
      </w:r>
      <w:r>
        <w:rPr>
          <w:rFonts w:ascii="Cambria" w:eastAsia="Cambria" w:hAnsi="Cambria" w:cs="Cambria"/>
        </w:rPr>
        <w:t>d endogenously by the company in order to maximize its equity at bankruptcy time</w:t>
      </w:r>
    </w:p>
    <w:p w:rsidR="00EE13F6" w:rsidRDefault="002E5BC4">
      <w:pPr>
        <w:spacing w:after="135" w:line="264" w:lineRule="auto"/>
        <w:ind w:left="-5" w:right="468" w:hanging="10"/>
        <w:jc w:val="both"/>
      </w:pPr>
      <w:r>
        <w:rPr>
          <w:rFonts w:ascii="Cambria" w:eastAsia="Cambria" w:hAnsi="Cambria" w:cs="Cambria"/>
        </w:rPr>
        <w:t>Authors such as Black and Cox, generally assume that the bankruptcy is due to exogenous causes through positive net worth covenants attached to the debt. Leland and Leland and</w:t>
      </w:r>
      <w:r>
        <w:rPr>
          <w:rFonts w:ascii="Cambria" w:eastAsia="Cambria" w:hAnsi="Cambria" w:cs="Cambria"/>
        </w:rPr>
        <w:t xml:space="preserve"> Toft consider both of those possible bankruptcy triggers based on the corporate firm’s asset level. However, in their discussion they mainly consider the endogenous determination of bankruptcy. They proceed to compute the equity value by subtracting the c</w:t>
      </w:r>
      <w:r>
        <w:rPr>
          <w:rFonts w:ascii="Cambria" w:eastAsia="Cambria" w:hAnsi="Cambria" w:cs="Cambria"/>
        </w:rPr>
        <w:t xml:space="preserve">orporate debt from the company value. The above authors explore the possibility for the company to maximize its value by issuing an optimal amount </w:t>
      </w:r>
      <w:r>
        <w:rPr>
          <w:rFonts w:ascii="Cambria" w:eastAsia="Cambria" w:hAnsi="Cambria" w:cs="Cambria"/>
        </w:rPr>
        <w:lastRenderedPageBreak/>
        <w:t>of debt. They prove that the corporate value is inversely related to the asset volatility, and that in the ca</w:t>
      </w:r>
      <w:r>
        <w:rPr>
          <w:rFonts w:ascii="Cambria" w:eastAsia="Cambria" w:hAnsi="Cambria" w:cs="Cambria"/>
        </w:rPr>
        <w:t>se of an endogenous determination of bankruptcy, there is a natural limitation of the corporate debt capacity when the asset volatility increases. The original work of Leland, assumes, in the vein of Modigliani-Miller, that the debt is perpetual. Further w</w:t>
      </w:r>
      <w:r>
        <w:rPr>
          <w:rFonts w:ascii="Cambria" w:eastAsia="Cambria" w:hAnsi="Cambria" w:cs="Cambria"/>
        </w:rPr>
        <w:t>orks by Leland and Toft (1996) explore the case where the firm is continuously issuing and reimbursing fixed maturity debt. They find that, in the case of short to intermediate debt maturity, endogenous determination of bankruptcy and capital structure clo</w:t>
      </w:r>
      <w:r>
        <w:rPr>
          <w:rFonts w:ascii="Cambria" w:eastAsia="Cambria" w:hAnsi="Cambria" w:cs="Cambria"/>
        </w:rPr>
        <w:t>se to the optimal value, any increase in the riskiness of assets will lead to a decrease in equity value, except for very special situations where the corporate firm is on the brink of bankruptcy. However, the work of Leland and Toft was completed at a tim</w:t>
      </w:r>
      <w:r>
        <w:rPr>
          <w:rFonts w:ascii="Cambria" w:eastAsia="Cambria" w:hAnsi="Cambria" w:cs="Cambria"/>
        </w:rPr>
        <w:t>e when the credit derivatives market was not yet developed, and the main argument that the corporation can choose both the level of coupon paid and the time of bankruptcy suggests that this entity would act as a price maker on the credit derivatives market</w:t>
      </w:r>
      <w:r>
        <w:rPr>
          <w:rFonts w:ascii="Cambria" w:eastAsia="Cambria" w:hAnsi="Cambria" w:cs="Cambria"/>
        </w:rPr>
        <w:t>. This is not not generally the case, and, nowadays the credit derivative prices are set up by demand and supply on the credit default swap market.</w:t>
      </w:r>
    </w:p>
    <w:p w:rsidR="00EE13F6" w:rsidRDefault="002E5BC4">
      <w:pPr>
        <w:spacing w:after="135" w:line="264" w:lineRule="auto"/>
        <w:ind w:left="-5" w:right="339" w:hanging="10"/>
        <w:jc w:val="both"/>
      </w:pPr>
      <w:r>
        <w:rPr>
          <w:rFonts w:ascii="Cambria" w:eastAsia="Cambria" w:hAnsi="Cambria" w:cs="Cambria"/>
        </w:rPr>
        <w:t>We use two simple structural models inspired by Leland (Leland (1994b), and Leland and Toft (1996)). However</w:t>
      </w:r>
      <w:r>
        <w:rPr>
          <w:rFonts w:ascii="Cambria" w:eastAsia="Cambria" w:hAnsi="Cambria" w:cs="Cambria"/>
        </w:rPr>
        <w:t xml:space="preserve"> instead of considering as those authors, an endogenous determination of bankruptcy by the firm itself, we are assuming an exogenous determination of corporate bankruptcy. The bankruptcy is triggered as soon as the value of assets falls below a predetermin</w:t>
      </w:r>
      <w:r>
        <w:rPr>
          <w:rFonts w:ascii="Cambria" w:eastAsia="Cambria" w:hAnsi="Cambria" w:cs="Cambria"/>
        </w:rPr>
        <w:t>ed threshold set up as a fixed proportion of the outstanding total debt. We assess the quantitative impact of the FTT on the theoretical expectations of equity, quasi-equity, debt and company value, computed under a risk-neutral assumption. The measure con</w:t>
      </w:r>
      <w:r>
        <w:rPr>
          <w:rFonts w:ascii="Cambria" w:eastAsia="Cambria" w:hAnsi="Cambria" w:cs="Cambria"/>
        </w:rPr>
        <w:t>sidered is the natural risk measure induced by the stochastic diffusion process followed by the corporate assets value. We derive a formulation of a stationary state of the corporate debt for a company funded through the issuance of both perpetual debt and</w:t>
      </w:r>
      <w:r>
        <w:rPr>
          <w:rFonts w:ascii="Cambria" w:eastAsia="Cambria" w:hAnsi="Cambria" w:cs="Cambria"/>
        </w:rPr>
        <w:t xml:space="preserve"> fixed term debt. As a general result we find that both firm’s valuation and corporate debt values are negatively affected by the introduction of the FTT. We then focus on the possible FTT impact on the theoretical equity share price.</w:t>
      </w:r>
    </w:p>
    <w:p w:rsidR="00EE13F6" w:rsidRDefault="002E5BC4">
      <w:pPr>
        <w:spacing w:after="135" w:line="264" w:lineRule="auto"/>
        <w:ind w:left="-5" w:right="468" w:hanging="10"/>
        <w:jc w:val="both"/>
      </w:pPr>
      <w:r>
        <w:rPr>
          <w:rFonts w:ascii="Cambria" w:eastAsia="Cambria" w:hAnsi="Cambria" w:cs="Cambria"/>
        </w:rPr>
        <w:t>First, we compute the</w:t>
      </w:r>
      <w:r>
        <w:rPr>
          <w:rFonts w:ascii="Cambria" w:eastAsia="Cambria" w:hAnsi="Cambria" w:cs="Cambria"/>
        </w:rPr>
        <w:t xml:space="preserve"> effect of the FTT for a corporation funded solely through the issuance of equity and perpetual debt. We find that in the short run the implementation of the FTT will raise the theoretical equity share price for corporations which are already carrying an i</w:t>
      </w:r>
      <w:r>
        <w:rPr>
          <w:rFonts w:ascii="Cambria" w:eastAsia="Cambria" w:hAnsi="Cambria" w:cs="Cambria"/>
        </w:rPr>
        <w:t>nventory of perpetual debt on their balance sheet, whereas the prices of preferred shares and quasi-equity should be lower. Conversely, the issuance of new perpetual debt after the introduction of the FTT will tend to lower the equity share price.</w:t>
      </w:r>
    </w:p>
    <w:p w:rsidR="00EE13F6" w:rsidRDefault="002E5BC4">
      <w:pPr>
        <w:spacing w:after="135" w:line="264" w:lineRule="auto"/>
        <w:ind w:left="-5" w:right="468" w:hanging="10"/>
        <w:jc w:val="both"/>
      </w:pPr>
      <w:r>
        <w:rPr>
          <w:rFonts w:ascii="Cambria" w:eastAsia="Cambria" w:hAnsi="Cambria" w:cs="Cambria"/>
        </w:rPr>
        <w:t>Second w</w:t>
      </w:r>
      <w:r>
        <w:rPr>
          <w:rFonts w:ascii="Cambria" w:eastAsia="Cambria" w:hAnsi="Cambria" w:cs="Cambria"/>
        </w:rPr>
        <w:t>e focus on companies funded through fixed term debt and find both immediate and long term impacts. The long term impact is computed after the adjustment of the corporation to its new target of principal amount of debt. This target is computed either throug</w:t>
      </w:r>
      <w:r>
        <w:rPr>
          <w:rFonts w:ascii="Cambria" w:eastAsia="Cambria" w:hAnsi="Cambria" w:cs="Cambria"/>
        </w:rPr>
        <w:t>h a fixed capital structure or an optimal capital structure, aiming to maximize the corporation’s value.</w:t>
      </w:r>
    </w:p>
    <w:p w:rsidR="00EE13F6" w:rsidRDefault="002E5BC4">
      <w:pPr>
        <w:spacing w:after="135" w:line="264" w:lineRule="auto"/>
        <w:ind w:left="-5" w:right="468" w:hanging="10"/>
        <w:jc w:val="both"/>
      </w:pPr>
      <w:r>
        <w:rPr>
          <w:rFonts w:ascii="Cambria" w:eastAsia="Cambria" w:hAnsi="Cambria" w:cs="Cambria"/>
        </w:rPr>
        <w:t>For highly leveraged or very risky entities, paying high credit spreads the increase in the asset volatility following the introduction of the FTT woul</w:t>
      </w:r>
      <w:r>
        <w:rPr>
          <w:rFonts w:ascii="Cambria" w:eastAsia="Cambria" w:hAnsi="Cambria" w:cs="Cambria"/>
        </w:rPr>
        <w:t>d increase, in fact, immediately, the equity theoretical price, for all debt maturities. This effect, known as the ”agency” effect, was first mentioned in the original work of Leland and Leland and Toft, in the particular case of endogenous determination o</w:t>
      </w:r>
      <w:r>
        <w:rPr>
          <w:rFonts w:ascii="Cambria" w:eastAsia="Cambria" w:hAnsi="Cambria" w:cs="Cambria"/>
        </w:rPr>
        <w:t>f bankruptcy. By contrast, in this work, we consider an exogenous cause of bankruptcy. Consequently, the introduction of the FTT would generate an adverse selection bias.</w:t>
      </w:r>
    </w:p>
    <w:p w:rsidR="00EE13F6" w:rsidRDefault="002E5BC4">
      <w:pPr>
        <w:spacing w:after="135" w:line="264" w:lineRule="auto"/>
        <w:ind w:left="-5" w:right="468" w:hanging="10"/>
        <w:jc w:val="both"/>
      </w:pPr>
      <w:r>
        <w:rPr>
          <w:rFonts w:ascii="Cambria" w:eastAsia="Cambria" w:hAnsi="Cambria" w:cs="Cambria"/>
        </w:rPr>
        <w:lastRenderedPageBreak/>
        <w:t>For companies funded through intermediate fixed term debt(5 to 20 years), and under c</w:t>
      </w:r>
      <w:r>
        <w:rPr>
          <w:rFonts w:ascii="Cambria" w:eastAsia="Cambria" w:hAnsi="Cambria" w:cs="Cambria"/>
        </w:rPr>
        <w:t>urrent market conditions, we compute the envelope of capital structure parameters such as leverage and return on equity (ROE), leading to a decrease of the equity share prices, for several debt durations.</w:t>
      </w:r>
    </w:p>
    <w:p w:rsidR="00EE13F6" w:rsidRDefault="002E5BC4">
      <w:pPr>
        <w:spacing w:after="135" w:line="264" w:lineRule="auto"/>
        <w:ind w:left="-5" w:right="468" w:hanging="10"/>
        <w:jc w:val="both"/>
      </w:pPr>
      <w:r>
        <w:rPr>
          <w:rFonts w:ascii="Cambria" w:eastAsia="Cambria" w:hAnsi="Cambria" w:cs="Cambria"/>
        </w:rPr>
        <w:t>We find that for common values of ROE and leverage,</w:t>
      </w:r>
      <w:r>
        <w:rPr>
          <w:rFonts w:ascii="Cambria" w:eastAsia="Cambria" w:hAnsi="Cambria" w:cs="Cambria"/>
        </w:rPr>
        <w:t xml:space="preserve"> the impact will be negative for both short and long run. Using the models described above, we find, for companies funded through fixed term debt, that corporate values and equity share prices will generally be lower for intermediate debt maturity (5 to 20</w:t>
      </w:r>
      <w:r>
        <w:rPr>
          <w:rFonts w:ascii="Cambria" w:eastAsia="Cambria" w:hAnsi="Cambria" w:cs="Cambria"/>
        </w:rPr>
        <w:t xml:space="preserve"> years). For instance, we find that such is the case for most companies in the French CAC 40 index.</w:t>
      </w:r>
    </w:p>
    <w:p w:rsidR="00EE13F6" w:rsidRDefault="002E5BC4">
      <w:pPr>
        <w:spacing w:after="135" w:line="264" w:lineRule="auto"/>
        <w:ind w:left="-5" w:right="468" w:hanging="10"/>
        <w:jc w:val="both"/>
      </w:pPr>
      <w:r>
        <w:rPr>
          <w:rFonts w:ascii="Cambria" w:eastAsia="Cambria" w:hAnsi="Cambria" w:cs="Cambria"/>
        </w:rPr>
        <w:t xml:space="preserve">We demonstrate that this negative impact on the above values will increase with both the company’s leverage and the risk-free interest rate, for both fixed </w:t>
      </w:r>
      <w:r>
        <w:rPr>
          <w:rFonts w:ascii="Cambria" w:eastAsia="Cambria" w:hAnsi="Cambria" w:cs="Cambria"/>
        </w:rPr>
        <w:t>term and perpetual debt.</w:t>
      </w:r>
    </w:p>
    <w:p w:rsidR="00EE13F6" w:rsidRDefault="002E5BC4">
      <w:pPr>
        <w:spacing w:after="135" w:line="264" w:lineRule="auto"/>
        <w:ind w:left="-5" w:right="468" w:hanging="10"/>
        <w:jc w:val="both"/>
      </w:pPr>
      <w:r>
        <w:rPr>
          <w:rFonts w:ascii="Cambria" w:eastAsia="Cambria" w:hAnsi="Cambria" w:cs="Cambria"/>
        </w:rPr>
        <w:t>We find that the impact of the FTT will depend upon the combination of corporate tax rate and leverage. Highly leveraged corporations located in countries with low corporate tax rates will record a significantly more important equi</w:t>
      </w:r>
      <w:r>
        <w:rPr>
          <w:rFonts w:ascii="Cambria" w:eastAsia="Cambria" w:hAnsi="Cambria" w:cs="Cambria"/>
        </w:rPr>
        <w:t>ty price drop than corporations located in countries with higher tax rates. At the same time, corporations with a low leverage and located in countries with high tax rates will record a slightly more important drop in their equity price than the corporatio</w:t>
      </w:r>
      <w:r>
        <w:rPr>
          <w:rFonts w:ascii="Cambria" w:eastAsia="Cambria" w:hAnsi="Cambria" w:cs="Cambria"/>
        </w:rPr>
        <w:t>ns with the same leverage and located in countries with lower tax rates.</w:t>
      </w:r>
    </w:p>
    <w:p w:rsidR="00EE13F6" w:rsidRDefault="002E5BC4">
      <w:pPr>
        <w:spacing w:after="135" w:line="264" w:lineRule="auto"/>
        <w:ind w:left="-5" w:right="468" w:hanging="10"/>
        <w:jc w:val="both"/>
      </w:pPr>
      <w:r>
        <w:rPr>
          <w:rFonts w:ascii="Cambria" w:eastAsia="Cambria" w:hAnsi="Cambria" w:cs="Cambria"/>
        </w:rPr>
        <w:t>We derive that the introduction of the FTT is likely to lead to an increase in the volume of equity shares issued by companies on the primary equity market. In the case of corporation</w:t>
      </w:r>
      <w:r>
        <w:rPr>
          <w:rFonts w:ascii="Cambria" w:eastAsia="Cambria" w:hAnsi="Cambria" w:cs="Cambria"/>
        </w:rPr>
        <w:t>s aiming for the maximization of the firm’s value, this increase will lead, in the long run, to a further decrease of the equity share price through dilution. Consequently, we can project that in the long run, the introduction of the FTT will lead to an in</w:t>
      </w:r>
      <w:r>
        <w:rPr>
          <w:rFonts w:ascii="Cambria" w:eastAsia="Cambria" w:hAnsi="Cambria" w:cs="Cambria"/>
        </w:rPr>
        <w:t>crease in the volumes traded.</w:t>
      </w:r>
    </w:p>
    <w:p w:rsidR="00EE13F6" w:rsidRDefault="002E5BC4">
      <w:pPr>
        <w:spacing w:after="135" w:line="264" w:lineRule="auto"/>
        <w:ind w:left="-5" w:right="468" w:hanging="10"/>
        <w:jc w:val="both"/>
      </w:pPr>
      <w:r>
        <w:rPr>
          <w:rFonts w:ascii="Cambria" w:eastAsia="Cambria" w:hAnsi="Cambria" w:cs="Cambria"/>
        </w:rPr>
        <w:t>We then calibrate our model on a sample of 6 European companies and find that the introduction of the FTT will lead to a significant decrease in theoretical corporate value and equity price, as well as a substantial increase i</w:t>
      </w:r>
      <w:r>
        <w:rPr>
          <w:rFonts w:ascii="Cambria" w:eastAsia="Cambria" w:hAnsi="Cambria" w:cs="Cambria"/>
        </w:rPr>
        <w:t>n corporate credit spreads for those entities.</w:t>
      </w:r>
    </w:p>
    <w:p w:rsidR="00EE13F6" w:rsidRDefault="002E5BC4">
      <w:pPr>
        <w:spacing w:after="135" w:line="264" w:lineRule="auto"/>
        <w:ind w:left="-5" w:right="468" w:hanging="10"/>
        <w:jc w:val="both"/>
      </w:pPr>
      <w:r>
        <w:rPr>
          <w:rFonts w:ascii="Cambria" w:eastAsia="Cambria" w:hAnsi="Cambria" w:cs="Cambria"/>
        </w:rPr>
        <w:t>Generally speaking we find that our results, based on theoretical corporate structure models, are in line with empirical studies realized in the case of Sweden (Umlauf (1993), Westerholm (2003)) as well as for</w:t>
      </w:r>
      <w:r>
        <w:rPr>
          <w:rFonts w:ascii="Cambria" w:eastAsia="Cambria" w:hAnsi="Cambria" w:cs="Cambria"/>
        </w:rPr>
        <w:t xml:space="preserve"> the United Kingdom (Saporta and Kan (1997),Hawkins and McCrae (2002)) and which are based on historical cases of the introduction of a STET for those countries. Though the specifics of the FTT European project are quite different, from the specifics of th</w:t>
      </w:r>
      <w:r>
        <w:rPr>
          <w:rFonts w:ascii="Cambria" w:eastAsia="Cambria" w:hAnsi="Cambria" w:cs="Cambria"/>
        </w:rPr>
        <w:t>ose two respective STET, we find a significant negative impact and somehow, the magnitude seems to be comparable.</w:t>
      </w:r>
    </w:p>
    <w:p w:rsidR="00EE13F6" w:rsidRDefault="002E5BC4">
      <w:pPr>
        <w:spacing w:after="135" w:line="264" w:lineRule="auto"/>
        <w:ind w:left="-5" w:right="468" w:hanging="10"/>
        <w:jc w:val="both"/>
      </w:pPr>
      <w:r>
        <w:rPr>
          <w:rFonts w:ascii="Cambria" w:eastAsia="Cambria" w:hAnsi="Cambria" w:cs="Cambria"/>
        </w:rPr>
        <w:t>Applying these results to the particular case of banks and financial institutions, in the context of the new CRD IV regulation, we find that t</w:t>
      </w:r>
      <w:r>
        <w:rPr>
          <w:rFonts w:ascii="Cambria" w:eastAsia="Cambria" w:hAnsi="Cambria" w:cs="Cambria"/>
        </w:rPr>
        <w:t>he introduction of the FTT may conflict with the aims of CRD IV, as it requires in fact more capital because of the subsequent drop in equity prices.</w:t>
      </w:r>
    </w:p>
    <w:p w:rsidR="00EE13F6" w:rsidRDefault="002E5BC4">
      <w:pPr>
        <w:spacing w:after="135" w:line="264" w:lineRule="auto"/>
        <w:ind w:left="-5" w:right="468" w:hanging="10"/>
        <w:jc w:val="both"/>
      </w:pPr>
      <w:r>
        <w:rPr>
          <w:rFonts w:ascii="Cambria" w:eastAsia="Cambria" w:hAnsi="Cambria" w:cs="Cambria"/>
        </w:rPr>
        <w:t>Our paper is organized as follows: Section 1 is devoted to devising a structural model describing the valu</w:t>
      </w:r>
      <w:r>
        <w:rPr>
          <w:rFonts w:ascii="Cambria" w:eastAsia="Cambria" w:hAnsi="Cambria" w:cs="Cambria"/>
        </w:rPr>
        <w:t xml:space="preserve">ation of equity and quasi-equity; Section 2 studies the impact of the FTT on the equity share price for companies raising capital through equity, perpetual debt and fixed term debt; Section 3 estimates the possible impact of the introduction of the FTT on </w:t>
      </w:r>
      <w:r>
        <w:rPr>
          <w:rFonts w:ascii="Cambria" w:eastAsia="Cambria" w:hAnsi="Cambria" w:cs="Cambria"/>
        </w:rPr>
        <w:t>the theoretical prices of equity for a sample of 6 European companies; Section 4 compares our finding to the results from the existing literature and considers also the FTT impact in the particular case of the banking sector in the CRD IV regulation contex</w:t>
      </w:r>
      <w:r>
        <w:rPr>
          <w:rFonts w:ascii="Cambria" w:eastAsia="Cambria" w:hAnsi="Cambria" w:cs="Cambria"/>
        </w:rPr>
        <w:t>t. Section 5 sets forth our conclusions.</w:t>
      </w:r>
    </w:p>
    <w:p w:rsidR="00EE13F6" w:rsidRDefault="002E5BC4">
      <w:pPr>
        <w:pStyle w:val="Heading1"/>
        <w:spacing w:after="300" w:line="261" w:lineRule="auto"/>
        <w:ind w:left="-5" w:right="468" w:hanging="10"/>
        <w:jc w:val="both"/>
      </w:pPr>
      <w:r>
        <w:lastRenderedPageBreak/>
        <w:t>1</w:t>
      </w:r>
      <w:r>
        <w:tab/>
        <w:t>Structural Models of the Corporate Firm Funded through the Issuance of Quasi-Equity, Equity and Debt</w:t>
      </w:r>
    </w:p>
    <w:p w:rsidR="00EE13F6" w:rsidRDefault="002E5BC4">
      <w:pPr>
        <w:pStyle w:val="Heading2"/>
        <w:tabs>
          <w:tab w:val="center" w:pos="4904"/>
        </w:tabs>
        <w:spacing w:after="266" w:line="251" w:lineRule="auto"/>
        <w:ind w:left="-15" w:firstLine="0"/>
      </w:pPr>
      <w:r>
        <w:t>1.1</w:t>
      </w:r>
      <w:r>
        <w:tab/>
        <w:t>Assumptions on the Default Determination and the Debt Recovery Rate</w:t>
      </w:r>
    </w:p>
    <w:p w:rsidR="00EE13F6" w:rsidRDefault="002E5BC4">
      <w:pPr>
        <w:spacing w:after="135" w:line="264" w:lineRule="auto"/>
        <w:ind w:left="-5" w:right="468" w:hanging="10"/>
        <w:jc w:val="both"/>
      </w:pPr>
      <w:r>
        <w:rPr>
          <w:rFonts w:ascii="Cambria" w:eastAsia="Cambria" w:hAnsi="Cambria" w:cs="Cambria"/>
        </w:rPr>
        <w:t xml:space="preserve">We will consider that the corporation’s bankruptcy is triggered when the asset value falls below a predetermined threshold, </w:t>
      </w:r>
      <w:r>
        <w:rPr>
          <w:rFonts w:ascii="Cambria" w:eastAsia="Cambria" w:hAnsi="Cambria" w:cs="Cambria"/>
          <w:i/>
        </w:rPr>
        <w:t>K</w:t>
      </w:r>
      <w:r>
        <w:rPr>
          <w:rFonts w:ascii="Cambria" w:eastAsia="Cambria" w:hAnsi="Cambria" w:cs="Cambria"/>
        </w:rPr>
        <w:t xml:space="preserve">. At the difference of Leland and Toft, we will consider here an exogenous determination of </w:t>
      </w:r>
      <w:r>
        <w:rPr>
          <w:rFonts w:ascii="Cambria" w:eastAsia="Cambria" w:hAnsi="Cambria" w:cs="Cambria"/>
          <w:i/>
        </w:rPr>
        <w:t xml:space="preserve">K </w:t>
      </w:r>
      <w:r>
        <w:rPr>
          <w:rFonts w:ascii="Cambria" w:eastAsia="Cambria" w:hAnsi="Cambria" w:cs="Cambria"/>
        </w:rPr>
        <w:t xml:space="preserve">where the level of </w:t>
      </w:r>
      <w:r>
        <w:rPr>
          <w:rFonts w:ascii="Cambria" w:eastAsia="Cambria" w:hAnsi="Cambria" w:cs="Cambria"/>
          <w:i/>
        </w:rPr>
        <w:t xml:space="preserve">K </w:t>
      </w:r>
      <w:r>
        <w:rPr>
          <w:rFonts w:ascii="Cambria" w:eastAsia="Cambria" w:hAnsi="Cambria" w:cs="Cambria"/>
        </w:rPr>
        <w:t>is computed dire</w:t>
      </w:r>
      <w:r>
        <w:rPr>
          <w:rFonts w:ascii="Cambria" w:eastAsia="Cambria" w:hAnsi="Cambria" w:cs="Cambria"/>
        </w:rPr>
        <w:t xml:space="preserve">ctly by reference to the level of outstanding debt. We will assume that </w:t>
      </w:r>
      <w:r>
        <w:rPr>
          <w:rFonts w:ascii="Cambria" w:eastAsia="Cambria" w:hAnsi="Cambria" w:cs="Cambria"/>
          <w:i/>
        </w:rPr>
        <w:t xml:space="preserve">K </w:t>
      </w:r>
      <w:r>
        <w:rPr>
          <w:rFonts w:ascii="Cambria" w:eastAsia="Cambria" w:hAnsi="Cambria" w:cs="Cambria"/>
        </w:rPr>
        <w:t xml:space="preserve">= </w:t>
      </w:r>
      <w:r>
        <w:rPr>
          <w:rFonts w:ascii="Cambria" w:eastAsia="Cambria" w:hAnsi="Cambria" w:cs="Cambria"/>
          <w:i/>
        </w:rPr>
        <w:t xml:space="preserve">LD </w:t>
      </w:r>
      <w:r>
        <w:rPr>
          <w:rFonts w:ascii="Cambria" w:eastAsia="Cambria" w:hAnsi="Cambria" w:cs="Cambria"/>
        </w:rPr>
        <w:t xml:space="preserve">where </w:t>
      </w:r>
      <w:r>
        <w:rPr>
          <w:rFonts w:ascii="Cambria" w:eastAsia="Cambria" w:hAnsi="Cambria" w:cs="Cambria"/>
          <w:i/>
        </w:rPr>
        <w:t xml:space="preserve">L </w:t>
      </w:r>
      <w:r>
        <w:rPr>
          <w:rFonts w:ascii="Cambria" w:eastAsia="Cambria" w:hAnsi="Cambria" w:cs="Cambria"/>
        </w:rPr>
        <w:t>designates the rate of recovery of the debt on the assets. This situation corresponds, in the absence of a Credit Default Swap market, where the credit risk can be insur</w:t>
      </w:r>
      <w:r>
        <w:rPr>
          <w:rFonts w:ascii="Cambria" w:eastAsia="Cambria" w:hAnsi="Cambria" w:cs="Cambria"/>
        </w:rPr>
        <w:t>ed, to the existence of Debt covenants allowing the creditors to trigger themselves the corporate bankruptcy, when the level of assets falls behind a fixed predetermined threshold.</w:t>
      </w:r>
    </w:p>
    <w:p w:rsidR="00EE13F6" w:rsidRDefault="002E5BC4">
      <w:pPr>
        <w:spacing w:after="135" w:line="264" w:lineRule="auto"/>
        <w:ind w:left="-5" w:right="468" w:hanging="10"/>
        <w:jc w:val="both"/>
      </w:pPr>
      <w:r>
        <w:rPr>
          <w:rFonts w:ascii="Cambria" w:eastAsia="Cambria" w:hAnsi="Cambria" w:cs="Cambria"/>
        </w:rPr>
        <w:t>In the presence of a Credit Default Swap market, the logic behind is that t</w:t>
      </w:r>
      <w:r>
        <w:rPr>
          <w:rFonts w:ascii="Cambria" w:eastAsia="Cambria" w:hAnsi="Cambria" w:cs="Cambria"/>
        </w:rPr>
        <w:t xml:space="preserve">he coupons paid on the debt, encompass the credit spread premiums of a Credit Default Swap, which covers the non recoverable part of the debt. The recoverable part of the debt is paid directly on the assets. In this framework, corporate firms can run with </w:t>
      </w:r>
      <w:r>
        <w:rPr>
          <w:rFonts w:ascii="Cambria" w:eastAsia="Cambria" w:hAnsi="Cambria" w:cs="Cambria"/>
        </w:rPr>
        <w:t>negative equity for a while, as long as they respect the ”knock-out” barrier condition. Especially, they can further borrow or issue equity to fulfil their debt obligations till their net asset value falls below the level covering the recoverable part of t</w:t>
      </w:r>
      <w:r>
        <w:rPr>
          <w:rFonts w:ascii="Cambria" w:eastAsia="Cambria" w:hAnsi="Cambria" w:cs="Cambria"/>
        </w:rPr>
        <w:t>he debt which is also the barrier level triggering the bankruptcy. At this point, they will not be able to borrow more debt or issue more equity.</w:t>
      </w:r>
    </w:p>
    <w:p w:rsidR="00EE13F6" w:rsidRDefault="002E5BC4">
      <w:pPr>
        <w:spacing w:after="135" w:line="264" w:lineRule="auto"/>
        <w:ind w:left="-5" w:right="468" w:hanging="10"/>
        <w:jc w:val="both"/>
      </w:pPr>
      <w:r>
        <w:rPr>
          <w:rFonts w:ascii="Cambria" w:eastAsia="Cambria" w:hAnsi="Cambria" w:cs="Cambria"/>
        </w:rPr>
        <w:t xml:space="preserve">This condition is quite different from the condition set up by Leland and Toft. Those authors determine a threshold </w:t>
      </w:r>
      <w:r>
        <w:rPr>
          <w:rFonts w:ascii="Cambria" w:eastAsia="Cambria" w:hAnsi="Cambria" w:cs="Cambria"/>
          <w:i/>
        </w:rPr>
        <w:t xml:space="preserve">K </w:t>
      </w:r>
      <w:r>
        <w:rPr>
          <w:rFonts w:ascii="Cambria" w:eastAsia="Cambria" w:hAnsi="Cambria" w:cs="Cambria"/>
        </w:rPr>
        <w:t xml:space="preserve">computed endogenously as a function of asset levels, volatility, risk free rates and credit spreads, which maximizes the equity value for </w:t>
      </w:r>
      <w:r>
        <w:rPr>
          <w:rFonts w:ascii="Cambria" w:eastAsia="Cambria" w:hAnsi="Cambria" w:cs="Cambria"/>
        </w:rPr>
        <w:t>shareholders at bankruptcy time. Thus, the shareholders can choose an optimal time to walk away with a positive equity left, once the company is liquidated and the creditors are paid.</w:t>
      </w:r>
    </w:p>
    <w:p w:rsidR="00EE13F6" w:rsidRDefault="002E5BC4">
      <w:pPr>
        <w:spacing w:after="135" w:line="264" w:lineRule="auto"/>
        <w:ind w:left="-5" w:right="468" w:hanging="10"/>
        <w:jc w:val="both"/>
      </w:pPr>
      <w:r>
        <w:rPr>
          <w:rFonts w:ascii="Cambria" w:eastAsia="Cambria" w:hAnsi="Cambria" w:cs="Cambria"/>
        </w:rPr>
        <w:t>We will consider that in the case the corporate debt is perpetual, its l</w:t>
      </w:r>
      <w:r>
        <w:rPr>
          <w:rFonts w:ascii="Cambria" w:eastAsia="Cambria" w:hAnsi="Cambria" w:cs="Cambria"/>
        </w:rPr>
        <w:t>evel of seniority is unspecified, provided that the debt issued has only one type of seniority (either junior or senior).</w:t>
      </w:r>
    </w:p>
    <w:p w:rsidR="00EE13F6" w:rsidRDefault="002E5BC4">
      <w:pPr>
        <w:spacing w:after="475" w:line="264" w:lineRule="auto"/>
        <w:ind w:left="-15" w:right="468" w:firstLine="107"/>
        <w:jc w:val="both"/>
      </w:pPr>
      <w:r>
        <w:rPr>
          <w:rFonts w:ascii="Cambria" w:eastAsia="Cambria" w:hAnsi="Cambria" w:cs="Cambria"/>
          <w:b/>
        </w:rPr>
        <w:t>Finally, at the difference of the CreditGrades</w:t>
      </w:r>
      <w:r>
        <w:rPr>
          <w:i/>
        </w:rPr>
        <w:t xml:space="preserve"> </w:t>
      </w:r>
      <w:r>
        <w:rPr>
          <w:rFonts w:ascii="Cambria" w:eastAsia="Cambria" w:hAnsi="Cambria" w:cs="Cambria"/>
          <w:b/>
          <w:sz w:val="16"/>
        </w:rPr>
        <w:t xml:space="preserve">R </w:t>
      </w:r>
      <w:r>
        <w:rPr>
          <w:rFonts w:ascii="Cambria" w:eastAsia="Cambria" w:hAnsi="Cambria" w:cs="Cambria"/>
          <w:b/>
        </w:rPr>
        <w:t>model used in chapter II, we will assume that the recovery rate on the debt is consta</w:t>
      </w:r>
      <w:r>
        <w:rPr>
          <w:rFonts w:ascii="Cambria" w:eastAsia="Cambria" w:hAnsi="Cambria" w:cs="Cambria"/>
          <w:b/>
        </w:rPr>
        <w:t>nt and not anymore stochastic</w:t>
      </w:r>
      <w:r>
        <w:rPr>
          <w:rFonts w:ascii="Cambria" w:eastAsia="Cambria" w:hAnsi="Cambria" w:cs="Cambria"/>
        </w:rPr>
        <w:t xml:space="preserve">. This assumption is explained by the fact that, at the time CreditGrades </w:t>
      </w:r>
      <w:r>
        <w:rPr>
          <w:rFonts w:ascii="Cambria" w:eastAsia="Cambria" w:hAnsi="Cambria" w:cs="Cambria"/>
          <w:sz w:val="16"/>
        </w:rPr>
        <w:t xml:space="preserve">R </w:t>
      </w:r>
      <w:r>
        <w:rPr>
          <w:rFonts w:ascii="Cambria" w:eastAsia="Cambria" w:hAnsi="Cambria" w:cs="Cambria"/>
        </w:rPr>
        <w:t>was released, the Credit default swap (CDS) market was just at its beginning. At this time, it was not possible to issue CDS with a fixed rate of recov</w:t>
      </w:r>
      <w:r>
        <w:rPr>
          <w:rFonts w:ascii="Cambria" w:eastAsia="Cambria" w:hAnsi="Cambria" w:cs="Cambria"/>
        </w:rPr>
        <w:t xml:space="preserve">ery, and assuming a stochastic recovery rate was justified. However, since then, the CDS market has matured, and especially, new instruments such as Recovery Rate Swaps(RRS), allowing to exchange a fixed recovery rate against a variable one, are available </w:t>
      </w:r>
      <w:r>
        <w:rPr>
          <w:rFonts w:ascii="Cambria" w:eastAsia="Cambria" w:hAnsi="Cambria" w:cs="Cambria"/>
        </w:rPr>
        <w:t xml:space="preserve">on the market. Therefore, it is possible to trade CDS with a fixed recovery rate (Digital Credit Default Swaps or DCDS), by entering into a CDS with a variable rate of recovery and then locking the recovery rate by trading at the same time a recovery rate </w:t>
      </w:r>
      <w:r>
        <w:rPr>
          <w:rFonts w:ascii="Cambria" w:eastAsia="Cambria" w:hAnsi="Cambria" w:cs="Cambria"/>
        </w:rPr>
        <w:t>swap.</w:t>
      </w:r>
    </w:p>
    <w:p w:rsidR="00EE13F6" w:rsidRDefault="002E5BC4">
      <w:pPr>
        <w:pStyle w:val="Heading2"/>
        <w:tabs>
          <w:tab w:val="center" w:pos="4686"/>
        </w:tabs>
        <w:spacing w:after="266" w:line="251" w:lineRule="auto"/>
        <w:ind w:left="-15" w:firstLine="0"/>
      </w:pPr>
      <w:r>
        <w:t>1.2</w:t>
      </w:r>
      <w:r>
        <w:tab/>
        <w:t>A Structural Model when the Corporate Firm Issues Perpetual Debt</w:t>
      </w:r>
    </w:p>
    <w:p w:rsidR="00EE13F6" w:rsidRDefault="002E5BC4">
      <w:pPr>
        <w:spacing w:after="135" w:line="264" w:lineRule="auto"/>
        <w:ind w:left="-5" w:right="468" w:hanging="10"/>
        <w:jc w:val="both"/>
      </w:pPr>
      <w:r>
        <w:rPr>
          <w:rFonts w:ascii="Cambria" w:eastAsia="Cambria" w:hAnsi="Cambria" w:cs="Cambria"/>
        </w:rPr>
        <w:t>We consider a joint determination of both the corporate debt and corporate equity values, taking into account the tax deductibility of corporate debt interest from the corporate tax</w:t>
      </w:r>
      <w:r>
        <w:rPr>
          <w:rFonts w:ascii="Cambria" w:eastAsia="Cambria" w:hAnsi="Cambria" w:cs="Cambria"/>
        </w:rPr>
        <w:t xml:space="preserve">able income. We assume that the corporate firm will satisfy its capital funding needs by issuing equity as well as </w:t>
      </w:r>
      <w:r>
        <w:rPr>
          <w:rFonts w:ascii="Cambria" w:eastAsia="Cambria" w:hAnsi="Cambria" w:cs="Cambria"/>
        </w:rPr>
        <w:lastRenderedPageBreak/>
        <w:t>perpetual debt either senior or junior. In this latter case, we will consider that this kind of debt can be deemed as quasi-equity.</w:t>
      </w:r>
    </w:p>
    <w:p w:rsidR="00EE13F6" w:rsidRDefault="002E5BC4">
      <w:pPr>
        <w:spacing w:after="247" w:line="264" w:lineRule="auto"/>
        <w:ind w:left="-5" w:right="468" w:hanging="10"/>
        <w:jc w:val="both"/>
      </w:pPr>
      <w:r>
        <w:rPr>
          <w:rFonts w:ascii="Cambria" w:eastAsia="Cambria" w:hAnsi="Cambria" w:cs="Cambria"/>
        </w:rPr>
        <w:t>We assume</w:t>
      </w:r>
      <w:r>
        <w:rPr>
          <w:rFonts w:ascii="Cambria" w:eastAsia="Cambria" w:hAnsi="Cambria" w:cs="Cambria"/>
        </w:rPr>
        <w:t xml:space="preserve"> that the corporate asset value follows up the differential stochastic equation listed below:</w:t>
      </w:r>
    </w:p>
    <w:p w:rsidR="00EE13F6" w:rsidRDefault="002E5BC4">
      <w:pPr>
        <w:tabs>
          <w:tab w:val="center" w:pos="4675"/>
          <w:tab w:val="center" w:pos="9221"/>
        </w:tabs>
        <w:spacing w:after="411" w:line="265" w:lineRule="auto"/>
      </w:pPr>
      <w:r>
        <w:tab/>
      </w:r>
      <w:r>
        <w:rPr>
          <w:rFonts w:ascii="Cambria" w:eastAsia="Cambria" w:hAnsi="Cambria" w:cs="Cambria"/>
          <w:i/>
        </w:rPr>
        <w:t>dA</w:t>
      </w:r>
      <w:r>
        <w:rPr>
          <w:rFonts w:ascii="Cambria" w:eastAsia="Cambria" w:hAnsi="Cambria" w:cs="Cambria"/>
          <w:i/>
          <w:vertAlign w:val="subscript"/>
        </w:rPr>
        <w:t xml:space="preserve">t </w:t>
      </w:r>
      <w:r>
        <w:rPr>
          <w:rFonts w:ascii="Cambria" w:eastAsia="Cambria" w:hAnsi="Cambria" w:cs="Cambria"/>
        </w:rPr>
        <w:t>= (</w:t>
      </w:r>
      <w:r>
        <w:rPr>
          <w:rFonts w:ascii="Cambria" w:eastAsia="Cambria" w:hAnsi="Cambria" w:cs="Cambria"/>
          <w:i/>
        </w:rPr>
        <w:t xml:space="preserve">r </w:t>
      </w:r>
      <w:r>
        <w:rPr>
          <w:rFonts w:ascii="Cambria" w:eastAsia="Cambria" w:hAnsi="Cambria" w:cs="Cambria"/>
        </w:rPr>
        <w:t>−</w:t>
      </w:r>
      <w:r>
        <w:rPr>
          <w:rFonts w:ascii="Cambria" w:eastAsia="Cambria" w:hAnsi="Cambria" w:cs="Cambria"/>
        </w:rPr>
        <w:t xml:space="preserve"> </w:t>
      </w:r>
      <w:r>
        <w:rPr>
          <w:rFonts w:ascii="Cambria" w:eastAsia="Cambria" w:hAnsi="Cambria" w:cs="Cambria"/>
          <w:i/>
        </w:rPr>
        <w:t>d</w:t>
      </w:r>
      <w:r>
        <w:rPr>
          <w:rFonts w:ascii="Cambria" w:eastAsia="Cambria" w:hAnsi="Cambria" w:cs="Cambria"/>
        </w:rPr>
        <w:t>)</w:t>
      </w:r>
      <w:r>
        <w:rPr>
          <w:rFonts w:ascii="Cambria" w:eastAsia="Cambria" w:hAnsi="Cambria" w:cs="Cambria"/>
          <w:i/>
        </w:rPr>
        <w:t xml:space="preserve">dt </w:t>
      </w:r>
      <w:r>
        <w:rPr>
          <w:rFonts w:ascii="Cambria" w:eastAsia="Cambria" w:hAnsi="Cambria" w:cs="Cambria"/>
        </w:rPr>
        <w:t xml:space="preserve">+ </w:t>
      </w:r>
      <w:r>
        <w:rPr>
          <w:rFonts w:ascii="Cambria" w:eastAsia="Cambria" w:hAnsi="Cambria" w:cs="Cambria"/>
          <w:i/>
        </w:rPr>
        <w:t>σA</w:t>
      </w:r>
      <w:r>
        <w:rPr>
          <w:rFonts w:ascii="Cambria" w:eastAsia="Cambria" w:hAnsi="Cambria" w:cs="Cambria"/>
          <w:i/>
          <w:vertAlign w:val="subscript"/>
        </w:rPr>
        <w:t>t</w:t>
      </w:r>
      <w:r>
        <w:rPr>
          <w:rFonts w:ascii="Cambria" w:eastAsia="Cambria" w:hAnsi="Cambria" w:cs="Cambria"/>
          <w:i/>
        </w:rPr>
        <w:t>dW</w:t>
      </w:r>
      <w:r>
        <w:rPr>
          <w:rFonts w:ascii="Cambria" w:eastAsia="Cambria" w:hAnsi="Cambria" w:cs="Cambria"/>
          <w:i/>
          <w:vertAlign w:val="subscript"/>
        </w:rPr>
        <w:t>t</w:t>
      </w:r>
      <w:r>
        <w:rPr>
          <w:rFonts w:ascii="Cambria" w:eastAsia="Cambria" w:hAnsi="Cambria" w:cs="Cambria"/>
          <w:i/>
          <w:vertAlign w:val="subscript"/>
        </w:rPr>
        <w:tab/>
      </w:r>
      <w:r>
        <w:rPr>
          <w:rFonts w:ascii="Cambria" w:eastAsia="Cambria" w:hAnsi="Cambria" w:cs="Cambria"/>
        </w:rPr>
        <w:t>(1)</w:t>
      </w:r>
    </w:p>
    <w:p w:rsidR="00EE13F6" w:rsidRDefault="002E5BC4">
      <w:pPr>
        <w:spacing w:after="187" w:line="264" w:lineRule="auto"/>
        <w:ind w:left="-5" w:right="468" w:hanging="10"/>
        <w:jc w:val="both"/>
      </w:pPr>
      <w:r>
        <w:rPr>
          <w:rFonts w:ascii="Cambria" w:eastAsia="Cambria" w:hAnsi="Cambria" w:cs="Cambria"/>
        </w:rPr>
        <w:t xml:space="preserve">with </w:t>
      </w:r>
      <w:r>
        <w:rPr>
          <w:rFonts w:ascii="Cambria" w:eastAsia="Cambria" w:hAnsi="Cambria" w:cs="Cambria"/>
          <w:i/>
        </w:rPr>
        <w:t>A</w:t>
      </w:r>
      <w:r>
        <w:rPr>
          <w:rFonts w:ascii="Cambria" w:eastAsia="Cambria" w:hAnsi="Cambria" w:cs="Cambria"/>
          <w:vertAlign w:val="subscript"/>
        </w:rPr>
        <w:t xml:space="preserve">0 </w:t>
      </w:r>
      <w:r>
        <w:rPr>
          <w:rFonts w:ascii="Cambria" w:eastAsia="Cambria" w:hAnsi="Cambria" w:cs="Cambria"/>
          <w:i/>
        </w:rPr>
        <w:t xml:space="preserve">&gt; </w:t>
      </w:r>
      <w:r>
        <w:rPr>
          <w:rFonts w:ascii="Cambria" w:eastAsia="Cambria" w:hAnsi="Cambria" w:cs="Cambria"/>
        </w:rPr>
        <w:t>0</w:t>
      </w:r>
    </w:p>
    <w:p w:rsidR="00EE13F6" w:rsidRDefault="002E5BC4">
      <w:pPr>
        <w:spacing w:after="180" w:line="264" w:lineRule="auto"/>
        <w:ind w:left="-5" w:right="468" w:hanging="10"/>
        <w:jc w:val="both"/>
      </w:pPr>
      <w:r>
        <w:rPr>
          <w:rFonts w:ascii="Cambria" w:eastAsia="Cambria" w:hAnsi="Cambria" w:cs="Cambria"/>
          <w:i/>
        </w:rPr>
        <w:t xml:space="preserve">σ </w:t>
      </w:r>
      <w:r>
        <w:rPr>
          <w:rFonts w:ascii="Cambria" w:eastAsia="Cambria" w:hAnsi="Cambria" w:cs="Cambria"/>
        </w:rPr>
        <w:t xml:space="preserve">designates the asset volatility and </w:t>
      </w:r>
      <w:r>
        <w:rPr>
          <w:rFonts w:ascii="Cambria" w:eastAsia="Cambria" w:hAnsi="Cambria" w:cs="Cambria"/>
          <w:i/>
        </w:rPr>
        <w:t>W</w:t>
      </w:r>
      <w:r>
        <w:rPr>
          <w:rFonts w:ascii="Cambria" w:eastAsia="Cambria" w:hAnsi="Cambria" w:cs="Cambria"/>
          <w:i/>
          <w:vertAlign w:val="subscript"/>
        </w:rPr>
        <w:t xml:space="preserve">t </w:t>
      </w:r>
      <w:r>
        <w:rPr>
          <w:rFonts w:ascii="Cambria" w:eastAsia="Cambria" w:hAnsi="Cambria" w:cs="Cambria"/>
        </w:rPr>
        <w:t>designates a standard Wiener process.</w:t>
      </w:r>
    </w:p>
    <w:p w:rsidR="00EE13F6" w:rsidRDefault="002E5BC4">
      <w:pPr>
        <w:spacing w:after="135" w:line="264" w:lineRule="auto"/>
        <w:ind w:left="-5" w:right="468" w:hanging="10"/>
        <w:jc w:val="both"/>
      </w:pPr>
      <w:r>
        <w:rPr>
          <w:rFonts w:ascii="Cambria" w:eastAsia="Cambria" w:hAnsi="Cambria" w:cs="Cambria"/>
          <w:i/>
        </w:rPr>
        <w:t xml:space="preserve">r </w:t>
      </w:r>
      <w:r>
        <w:rPr>
          <w:rFonts w:ascii="Cambria" w:eastAsia="Cambria" w:hAnsi="Cambria" w:cs="Cambria"/>
        </w:rPr>
        <w:t xml:space="preserve">is the risk-free interest rate and </w:t>
      </w:r>
      <w:r>
        <w:rPr>
          <w:rFonts w:ascii="Cambria" w:eastAsia="Cambria" w:hAnsi="Cambria" w:cs="Cambria"/>
          <w:i/>
        </w:rPr>
        <w:t xml:space="preserve">d </w:t>
      </w:r>
      <w:r>
        <w:rPr>
          <w:rFonts w:ascii="Cambria" w:eastAsia="Cambria" w:hAnsi="Cambria" w:cs="Cambria"/>
        </w:rPr>
        <w:t>is the continuous yield of the cash dividend paid by the corporate assets.</w:t>
      </w:r>
    </w:p>
    <w:p w:rsidR="00EE13F6" w:rsidRDefault="002E5BC4">
      <w:pPr>
        <w:spacing w:after="454" w:line="264" w:lineRule="auto"/>
        <w:ind w:left="-5" w:right="468" w:hanging="10"/>
        <w:jc w:val="both"/>
      </w:pPr>
      <w:r>
        <w:rPr>
          <w:rFonts w:ascii="Cambria" w:eastAsia="Cambria" w:hAnsi="Cambria" w:cs="Cambria"/>
        </w:rPr>
        <w:t>We know from basic calculus that:</w:t>
      </w:r>
    </w:p>
    <w:p w:rsidR="00EE13F6" w:rsidRDefault="002E5BC4">
      <w:pPr>
        <w:spacing w:after="195" w:line="265" w:lineRule="auto"/>
        <w:ind w:left="10" w:right="483" w:hanging="10"/>
        <w:jc w:val="center"/>
      </w:pP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w:t>
      </w:r>
      <w:r>
        <w:rPr>
          <w:rFonts w:ascii="Cambria" w:eastAsia="Cambria" w:hAnsi="Cambria" w:cs="Cambria"/>
          <w:i/>
        </w:rPr>
        <w:t>A</w:t>
      </w:r>
      <w:r>
        <w:rPr>
          <w:rFonts w:ascii="Cambria" w:eastAsia="Cambria" w:hAnsi="Cambria" w:cs="Cambria"/>
          <w:i/>
          <w:vertAlign w:val="subscript"/>
        </w:rPr>
        <w:t>t</w:t>
      </w:r>
      <w:r>
        <w:rPr>
          <w:rFonts w:ascii="Cambria" w:eastAsia="Cambria" w:hAnsi="Cambria" w:cs="Cambria"/>
        </w:rPr>
        <w:t xml:space="preserve">) = </w:t>
      </w:r>
      <w:r>
        <w:rPr>
          <w:rFonts w:ascii="Cambria" w:eastAsia="Cambria" w:hAnsi="Cambria" w:cs="Cambria"/>
          <w:i/>
        </w:rPr>
        <w:t>A</w:t>
      </w:r>
      <w:r>
        <w:rPr>
          <w:rFonts w:ascii="Cambria" w:eastAsia="Cambria" w:hAnsi="Cambria" w:cs="Cambria"/>
          <w:vertAlign w:val="subscript"/>
        </w:rPr>
        <w:t xml:space="preserve">0 </w:t>
      </w:r>
      <w:r>
        <w:rPr>
          <w:rFonts w:ascii="Cambria" w:eastAsia="Cambria" w:hAnsi="Cambria" w:cs="Cambria"/>
        </w:rPr>
        <w:t>exp[(</w:t>
      </w:r>
      <w:r>
        <w:rPr>
          <w:rFonts w:ascii="Cambria" w:eastAsia="Cambria" w:hAnsi="Cambria" w:cs="Cambria"/>
          <w:i/>
        </w:rPr>
        <w:t xml:space="preserve">r </w:t>
      </w:r>
      <w:r>
        <w:rPr>
          <w:rFonts w:ascii="Cambria" w:eastAsia="Cambria" w:hAnsi="Cambria" w:cs="Cambria"/>
        </w:rPr>
        <w:t>−</w:t>
      </w:r>
      <w:r>
        <w:rPr>
          <w:rFonts w:ascii="Cambria" w:eastAsia="Cambria" w:hAnsi="Cambria" w:cs="Cambria"/>
        </w:rPr>
        <w:t xml:space="preserve"> </w:t>
      </w:r>
      <w:r>
        <w:rPr>
          <w:rFonts w:ascii="Cambria" w:eastAsia="Cambria" w:hAnsi="Cambria" w:cs="Cambria"/>
          <w:i/>
        </w:rPr>
        <w:t>d</w:t>
      </w:r>
      <w:r>
        <w:rPr>
          <w:rFonts w:ascii="Cambria" w:eastAsia="Cambria" w:hAnsi="Cambria" w:cs="Cambria"/>
        </w:rPr>
        <w:t>)</w:t>
      </w:r>
      <w:r>
        <w:rPr>
          <w:rFonts w:ascii="Cambria" w:eastAsia="Cambria" w:hAnsi="Cambria" w:cs="Cambria"/>
          <w:i/>
        </w:rPr>
        <w:t>t</w:t>
      </w:r>
      <w:r>
        <w:rPr>
          <w:rFonts w:ascii="Cambria" w:eastAsia="Cambria" w:hAnsi="Cambria" w:cs="Cambria"/>
        </w:rPr>
        <w:t>]</w:t>
      </w:r>
    </w:p>
    <w:p w:rsidR="00EE13F6" w:rsidRDefault="002E5BC4">
      <w:pPr>
        <w:spacing w:after="198" w:line="264" w:lineRule="auto"/>
        <w:ind w:left="-5" w:right="468" w:hanging="10"/>
        <w:jc w:val="both"/>
      </w:pPr>
      <w:r>
        <w:rPr>
          <w:rFonts w:ascii="Cambria" w:eastAsia="Cambria" w:hAnsi="Cambria" w:cs="Cambria"/>
        </w:rPr>
        <w:t xml:space="preserve">where </w:t>
      </w:r>
      <w:r>
        <w:rPr>
          <w:rFonts w:ascii="Cambria" w:eastAsia="Cambria" w:hAnsi="Cambria" w:cs="Cambria"/>
          <w:i/>
        </w:rPr>
        <w:t>E</w:t>
      </w:r>
      <w:r>
        <w:rPr>
          <w:rFonts w:ascii="Cambria" w:eastAsia="Cambria" w:hAnsi="Cambria" w:cs="Cambria"/>
          <w:i/>
          <w:vertAlign w:val="superscript"/>
        </w:rPr>
        <w:t xml:space="preserve">Q </w:t>
      </w:r>
      <w:r>
        <w:rPr>
          <w:rFonts w:ascii="Cambria" w:eastAsia="Cambria" w:hAnsi="Cambria" w:cs="Cambria"/>
        </w:rPr>
        <w:t xml:space="preserve">designates the expectation taking the ”natural measure” generated by the process </w:t>
      </w:r>
      <w:r>
        <w:rPr>
          <w:rFonts w:ascii="Cambria" w:eastAsia="Cambria" w:hAnsi="Cambria" w:cs="Cambria"/>
          <w:i/>
        </w:rPr>
        <w:t>W</w:t>
      </w:r>
      <w:r>
        <w:rPr>
          <w:rFonts w:ascii="Cambria" w:eastAsia="Cambria" w:hAnsi="Cambria" w:cs="Cambria"/>
          <w:i/>
          <w:vertAlign w:val="subscript"/>
        </w:rPr>
        <w:t>t</w:t>
      </w:r>
      <w:r>
        <w:rPr>
          <w:rFonts w:ascii="Cambria" w:eastAsia="Cambria" w:hAnsi="Cambria" w:cs="Cambria"/>
        </w:rPr>
        <w:t>.</w:t>
      </w:r>
    </w:p>
    <w:p w:rsidR="00EE13F6" w:rsidRDefault="002E5BC4">
      <w:pPr>
        <w:spacing w:after="161" w:line="264" w:lineRule="auto"/>
        <w:ind w:left="-5" w:right="468" w:hanging="10"/>
        <w:jc w:val="both"/>
      </w:pPr>
      <w:r>
        <w:rPr>
          <w:rFonts w:ascii="Cambria" w:eastAsia="Cambria" w:hAnsi="Cambria" w:cs="Cambria"/>
        </w:rPr>
        <w:t xml:space="preserve">We then consider a ”perpetual” debt </w:t>
      </w:r>
      <w:r>
        <w:rPr>
          <w:rFonts w:ascii="Cambria" w:eastAsia="Cambria" w:hAnsi="Cambria" w:cs="Cambria"/>
          <w:i/>
        </w:rPr>
        <w:t>D</w:t>
      </w:r>
      <w:r>
        <w:rPr>
          <w:rFonts w:ascii="Cambria" w:eastAsia="Cambria" w:hAnsi="Cambria" w:cs="Cambria"/>
        </w:rPr>
        <w:t>(</w:t>
      </w:r>
      <w:r>
        <w:rPr>
          <w:rFonts w:ascii="Cambria" w:eastAsia="Cambria" w:hAnsi="Cambria" w:cs="Cambria"/>
          <w:i/>
        </w:rPr>
        <w:t>A</w:t>
      </w:r>
      <w:r>
        <w:rPr>
          <w:rFonts w:ascii="Cambria" w:eastAsia="Cambria" w:hAnsi="Cambria" w:cs="Cambria"/>
          <w:vertAlign w:val="subscript"/>
        </w:rPr>
        <w:t>0</w:t>
      </w:r>
      <w:r>
        <w:rPr>
          <w:rFonts w:ascii="Cambria" w:eastAsia="Cambria" w:hAnsi="Cambria" w:cs="Cambria"/>
          <w:i/>
        </w:rPr>
        <w:t>,t</w:t>
      </w:r>
      <w:r>
        <w:rPr>
          <w:rFonts w:ascii="Cambria" w:eastAsia="Cambria" w:hAnsi="Cambria" w:cs="Cambria"/>
        </w:rPr>
        <w:t xml:space="preserve">), allowing a claim on the corporate assets that pays continuously a coupon </w:t>
      </w:r>
      <w:r>
        <w:rPr>
          <w:rFonts w:ascii="Cambria" w:eastAsia="Cambria" w:hAnsi="Cambria" w:cs="Cambria"/>
          <w:i/>
        </w:rPr>
        <w:t>C</w:t>
      </w:r>
      <w:r>
        <w:rPr>
          <w:rFonts w:ascii="Cambria" w:eastAsia="Cambria" w:hAnsi="Cambria" w:cs="Cambria"/>
        </w:rPr>
        <w:t>(</w:t>
      </w:r>
      <w:r>
        <w:rPr>
          <w:rFonts w:ascii="Cambria" w:eastAsia="Cambria" w:hAnsi="Cambria" w:cs="Cambria"/>
          <w:i/>
        </w:rPr>
        <w:t>t</w:t>
      </w:r>
      <w:r>
        <w:rPr>
          <w:rFonts w:ascii="Cambria" w:eastAsia="Cambria" w:hAnsi="Cambria" w:cs="Cambria"/>
        </w:rPr>
        <w:t>), as long as the firm is not in default. We assume that the debt reimbursement is subject either to the corporate bankruptcy or its di</w:t>
      </w:r>
      <w:r>
        <w:rPr>
          <w:rFonts w:ascii="Cambria" w:eastAsia="Cambria" w:hAnsi="Cambria" w:cs="Cambria"/>
        </w:rPr>
        <w:t>ssolution. The coupon is funded by issuing additional equity either on the market or by ”collecting” the corporate profit.</w:t>
      </w:r>
    </w:p>
    <w:p w:rsidR="00EE13F6" w:rsidRDefault="002E5BC4">
      <w:pPr>
        <w:spacing w:after="126" w:line="270" w:lineRule="auto"/>
        <w:ind w:left="-5" w:right="307" w:hanging="10"/>
      </w:pPr>
      <w:r>
        <w:rPr>
          <w:rFonts w:ascii="Cambria" w:eastAsia="Cambria" w:hAnsi="Cambria" w:cs="Cambria"/>
        </w:rPr>
        <w:t xml:space="preserve">According to Black and Cox (1976), the value of a ”perpetual” debt </w:t>
      </w:r>
      <w:r>
        <w:rPr>
          <w:rFonts w:ascii="Cambria" w:eastAsia="Cambria" w:hAnsi="Cambria" w:cs="Cambria"/>
          <w:i/>
        </w:rPr>
        <w:t>D</w:t>
      </w:r>
      <w:r>
        <w:rPr>
          <w:rFonts w:ascii="Cambria" w:eastAsia="Cambria" w:hAnsi="Cambria" w:cs="Cambria"/>
        </w:rPr>
        <w:t>(</w:t>
      </w:r>
      <w:r>
        <w:rPr>
          <w:rFonts w:ascii="Cambria" w:eastAsia="Cambria" w:hAnsi="Cambria" w:cs="Cambria"/>
          <w:i/>
        </w:rPr>
        <w:t>A</w:t>
      </w:r>
      <w:r>
        <w:rPr>
          <w:rFonts w:ascii="Cambria" w:eastAsia="Cambria" w:hAnsi="Cambria" w:cs="Cambria"/>
          <w:vertAlign w:val="subscript"/>
        </w:rPr>
        <w:t>0</w:t>
      </w:r>
      <w:r>
        <w:rPr>
          <w:rFonts w:ascii="Cambria" w:eastAsia="Cambria" w:hAnsi="Cambria" w:cs="Cambria"/>
          <w:i/>
        </w:rPr>
        <w:t>,t</w:t>
      </w:r>
      <w:r>
        <w:rPr>
          <w:rFonts w:ascii="Cambria" w:eastAsia="Cambria" w:hAnsi="Cambria" w:cs="Cambria"/>
        </w:rPr>
        <w:t>), allowing a claim on the corporate assets that pays contin</w:t>
      </w:r>
      <w:r>
        <w:rPr>
          <w:rFonts w:ascii="Cambria" w:eastAsia="Cambria" w:hAnsi="Cambria" w:cs="Cambria"/>
        </w:rPr>
        <w:t xml:space="preserve">uously a coupon </w:t>
      </w:r>
      <w:r>
        <w:rPr>
          <w:rFonts w:ascii="Cambria" w:eastAsia="Cambria" w:hAnsi="Cambria" w:cs="Cambria"/>
          <w:i/>
        </w:rPr>
        <w:t>C</w:t>
      </w:r>
      <w:r>
        <w:rPr>
          <w:rFonts w:ascii="Cambria" w:eastAsia="Cambria" w:hAnsi="Cambria" w:cs="Cambria"/>
        </w:rPr>
        <w:t>(</w:t>
      </w:r>
      <w:r>
        <w:rPr>
          <w:rFonts w:ascii="Cambria" w:eastAsia="Cambria" w:hAnsi="Cambria" w:cs="Cambria"/>
          <w:i/>
        </w:rPr>
        <w:t>t</w:t>
      </w:r>
      <w:r>
        <w:rPr>
          <w:rFonts w:ascii="Cambria" w:eastAsia="Cambria" w:hAnsi="Cambria" w:cs="Cambria"/>
        </w:rPr>
        <w:t>), and does not pay a dividend as long as the firm is not in default, must satisfies the following partial differential equation, pursuant to the application of Ito’s lemma.</w:t>
      </w:r>
    </w:p>
    <w:p w:rsidR="00EE13F6" w:rsidRDefault="002E5BC4">
      <w:pPr>
        <w:spacing w:after="0" w:line="261" w:lineRule="auto"/>
        <w:ind w:left="-5" w:right="1773" w:hanging="10"/>
      </w:pPr>
      <w:r>
        <w:rPr>
          <w:rFonts w:ascii="Cambria" w:eastAsia="Cambria" w:hAnsi="Cambria" w:cs="Cambria"/>
        </w:rPr>
        <w:t>∀</w:t>
      </w:r>
      <w:r>
        <w:rPr>
          <w:rFonts w:ascii="Cambria" w:eastAsia="Cambria" w:hAnsi="Cambria" w:cs="Cambria"/>
          <w:i/>
        </w:rPr>
        <w:t xml:space="preserve">t &gt; </w:t>
      </w:r>
      <w:r>
        <w:rPr>
          <w:rFonts w:ascii="Cambria" w:eastAsia="Cambria" w:hAnsi="Cambria" w:cs="Cambria"/>
        </w:rPr>
        <w:t>0</w:t>
      </w:r>
    </w:p>
    <w:p w:rsidR="00EE13F6" w:rsidRDefault="002E5BC4">
      <w:pPr>
        <w:tabs>
          <w:tab w:val="center" w:pos="4692"/>
          <w:tab w:val="center" w:pos="9221"/>
        </w:tabs>
        <w:spacing w:after="195" w:line="265" w:lineRule="auto"/>
      </w:pPr>
      <w:r>
        <w:tab/>
      </w:r>
      <w:r>
        <w:rPr>
          <w:noProof/>
        </w:rPr>
        <w:drawing>
          <wp:inline distT="0" distB="0" distL="0" distR="0">
            <wp:extent cx="3983736" cy="353568"/>
            <wp:effectExtent l="0" t="0" r="0" b="0"/>
            <wp:docPr id="221942" name="Picture 221942"/>
            <wp:cNvGraphicFramePr/>
            <a:graphic xmlns:a="http://schemas.openxmlformats.org/drawingml/2006/main">
              <a:graphicData uri="http://schemas.openxmlformats.org/drawingml/2006/picture">
                <pic:pic xmlns:pic="http://schemas.openxmlformats.org/drawingml/2006/picture">
                  <pic:nvPicPr>
                    <pic:cNvPr id="221942" name="Picture 221942"/>
                    <pic:cNvPicPr/>
                  </pic:nvPicPr>
                  <pic:blipFill>
                    <a:blip r:embed="rId159"/>
                    <a:stretch>
                      <a:fillRect/>
                    </a:stretch>
                  </pic:blipFill>
                  <pic:spPr>
                    <a:xfrm>
                      <a:off x="0" y="0"/>
                      <a:ext cx="3983736" cy="353568"/>
                    </a:xfrm>
                    <a:prstGeom prst="rect">
                      <a:avLst/>
                    </a:prstGeom>
                  </pic:spPr>
                </pic:pic>
              </a:graphicData>
            </a:graphic>
          </wp:inline>
        </w:drawing>
      </w:r>
      <w:r>
        <w:rPr>
          <w:rFonts w:ascii="Cambria" w:eastAsia="Cambria" w:hAnsi="Cambria" w:cs="Cambria"/>
        </w:rPr>
        <w:t>) = 0</w:t>
      </w:r>
      <w:r>
        <w:rPr>
          <w:rFonts w:ascii="Cambria" w:eastAsia="Cambria" w:hAnsi="Cambria" w:cs="Cambria"/>
        </w:rPr>
        <w:tab/>
        <w:t>(2)</w:t>
      </w:r>
    </w:p>
    <w:p w:rsidR="00EE13F6" w:rsidRDefault="002E5BC4">
      <w:pPr>
        <w:spacing w:after="312" w:line="264" w:lineRule="auto"/>
        <w:ind w:left="-5" w:right="468" w:hanging="10"/>
        <w:jc w:val="both"/>
      </w:pPr>
      <w:r>
        <w:rPr>
          <w:rFonts w:ascii="Cambria" w:eastAsia="Cambria" w:hAnsi="Cambria" w:cs="Cambria"/>
        </w:rPr>
        <w:t>According to Black and Cox, Equation (2) sim</w:t>
      </w:r>
      <w:r>
        <w:rPr>
          <w:rFonts w:ascii="Cambria" w:eastAsia="Cambria" w:hAnsi="Cambria" w:cs="Cambria"/>
        </w:rPr>
        <w:t>plifies greatly if the debt does not depend upon time:</w:t>
      </w:r>
    </w:p>
    <w:p w:rsidR="00EE13F6" w:rsidRDefault="002E5BC4">
      <w:pPr>
        <w:tabs>
          <w:tab w:val="center" w:pos="3713"/>
          <w:tab w:val="center" w:pos="5253"/>
        </w:tabs>
        <w:spacing w:after="72" w:line="261" w:lineRule="auto"/>
      </w:pPr>
      <w:r>
        <w:tab/>
      </w:r>
      <w:r>
        <w:rPr>
          <w:rFonts w:ascii="Cambria" w:eastAsia="Cambria" w:hAnsi="Cambria" w:cs="Cambria"/>
        </w:rPr>
        <w:t>∀</w:t>
      </w:r>
      <w:r>
        <w:rPr>
          <w:rFonts w:ascii="Cambria" w:eastAsia="Cambria" w:hAnsi="Cambria" w:cs="Cambria"/>
          <w:i/>
        </w:rPr>
        <w:t xml:space="preserve">t &gt; </w:t>
      </w:r>
      <w:r>
        <w:rPr>
          <w:rFonts w:ascii="Cambria" w:eastAsia="Cambria" w:hAnsi="Cambria" w:cs="Cambria"/>
        </w:rPr>
        <w:t>0</w:t>
      </w:r>
      <w:r>
        <w:rPr>
          <w:rFonts w:ascii="Cambria" w:eastAsia="Cambria" w:hAnsi="Cambria" w:cs="Cambria"/>
        </w:rPr>
        <w:tab/>
      </w:r>
      <w:r>
        <w:rPr>
          <w:noProof/>
        </w:rPr>
        <w:drawing>
          <wp:inline distT="0" distB="0" distL="0" distR="0">
            <wp:extent cx="850392" cy="301752"/>
            <wp:effectExtent l="0" t="0" r="0" b="0"/>
            <wp:docPr id="221943" name="Picture 221943"/>
            <wp:cNvGraphicFramePr/>
            <a:graphic xmlns:a="http://schemas.openxmlformats.org/drawingml/2006/main">
              <a:graphicData uri="http://schemas.openxmlformats.org/drawingml/2006/picture">
                <pic:pic xmlns:pic="http://schemas.openxmlformats.org/drawingml/2006/picture">
                  <pic:nvPicPr>
                    <pic:cNvPr id="221943" name="Picture 221943"/>
                    <pic:cNvPicPr/>
                  </pic:nvPicPr>
                  <pic:blipFill>
                    <a:blip r:embed="rId160"/>
                    <a:stretch>
                      <a:fillRect/>
                    </a:stretch>
                  </pic:blipFill>
                  <pic:spPr>
                    <a:xfrm>
                      <a:off x="0" y="0"/>
                      <a:ext cx="850392" cy="301752"/>
                    </a:xfrm>
                    <a:prstGeom prst="rect">
                      <a:avLst/>
                    </a:prstGeom>
                  </pic:spPr>
                </pic:pic>
              </a:graphicData>
            </a:graphic>
          </wp:inline>
        </w:drawing>
      </w:r>
    </w:p>
    <w:p w:rsidR="00EE13F6" w:rsidRDefault="002E5BC4">
      <w:pPr>
        <w:spacing w:after="135" w:line="264" w:lineRule="auto"/>
        <w:ind w:left="-5" w:right="468" w:hanging="10"/>
        <w:jc w:val="both"/>
      </w:pPr>
      <w:r>
        <w:rPr>
          <w:rFonts w:ascii="Cambria" w:eastAsia="Cambria" w:hAnsi="Cambria" w:cs="Cambria"/>
        </w:rPr>
        <w:t xml:space="preserve">as it is the case for instance for a perpetual debt paying a constant coupon </w:t>
      </w:r>
      <w:r>
        <w:rPr>
          <w:rFonts w:ascii="Cambria" w:eastAsia="Cambria" w:hAnsi="Cambria" w:cs="Cambria"/>
          <w:i/>
        </w:rPr>
        <w:t>C</w:t>
      </w:r>
      <w:r>
        <w:rPr>
          <w:rFonts w:ascii="Cambria" w:eastAsia="Cambria" w:hAnsi="Cambria" w:cs="Cambria"/>
        </w:rPr>
        <w:t>(</w:t>
      </w:r>
      <w:r>
        <w:rPr>
          <w:rFonts w:ascii="Cambria" w:eastAsia="Cambria" w:hAnsi="Cambria" w:cs="Cambria"/>
          <w:i/>
        </w:rPr>
        <w:t>t</w:t>
      </w:r>
      <w:r>
        <w:rPr>
          <w:rFonts w:ascii="Cambria" w:eastAsia="Cambria" w:hAnsi="Cambria" w:cs="Cambria"/>
        </w:rPr>
        <w:t xml:space="preserve">) = </w:t>
      </w:r>
      <w:r>
        <w:rPr>
          <w:rFonts w:ascii="Cambria" w:eastAsia="Cambria" w:hAnsi="Cambria" w:cs="Cambria"/>
          <w:i/>
        </w:rPr>
        <w:t>C</w:t>
      </w:r>
      <w:r>
        <w:rPr>
          <w:rFonts w:ascii="Cambria" w:eastAsia="Cambria" w:hAnsi="Cambria" w:cs="Cambria"/>
        </w:rPr>
        <w:t>, ∀</w:t>
      </w:r>
      <w:r>
        <w:rPr>
          <w:rFonts w:ascii="Cambria" w:eastAsia="Cambria" w:hAnsi="Cambria" w:cs="Cambria"/>
          <w:i/>
        </w:rPr>
        <w:t xml:space="preserve">t &gt; </w:t>
      </w:r>
      <w:r>
        <w:rPr>
          <w:rFonts w:ascii="Cambria" w:eastAsia="Cambria" w:hAnsi="Cambria" w:cs="Cambria"/>
        </w:rPr>
        <w:t>0.</w:t>
      </w:r>
    </w:p>
    <w:p w:rsidR="00EE13F6" w:rsidRDefault="002E5BC4">
      <w:pPr>
        <w:spacing w:after="157" w:line="264" w:lineRule="auto"/>
        <w:ind w:left="-5" w:right="468" w:hanging="10"/>
        <w:jc w:val="both"/>
      </w:pPr>
      <w:r>
        <w:rPr>
          <w:rFonts w:ascii="Cambria" w:eastAsia="Cambria" w:hAnsi="Cambria" w:cs="Cambria"/>
        </w:rPr>
        <w:t>In this latter case, Black and Cox evidence that equation (2) becomes an ordinary differential equation:</w:t>
      </w:r>
    </w:p>
    <w:p w:rsidR="00EE13F6" w:rsidRDefault="002E5BC4">
      <w:pPr>
        <w:spacing w:after="336" w:line="261" w:lineRule="auto"/>
        <w:ind w:left="-5" w:right="1773" w:hanging="10"/>
      </w:pPr>
      <w:r>
        <w:rPr>
          <w:rFonts w:ascii="Cambria" w:eastAsia="Cambria" w:hAnsi="Cambria" w:cs="Cambria"/>
        </w:rPr>
        <w:t>∀</w:t>
      </w:r>
      <w:r>
        <w:rPr>
          <w:rFonts w:ascii="Cambria" w:eastAsia="Cambria" w:hAnsi="Cambria" w:cs="Cambria"/>
          <w:i/>
        </w:rPr>
        <w:t xml:space="preserve">t &gt; </w:t>
      </w:r>
      <w:r>
        <w:rPr>
          <w:rFonts w:ascii="Cambria" w:eastAsia="Cambria" w:hAnsi="Cambria" w:cs="Cambria"/>
        </w:rPr>
        <w:t>0</w:t>
      </w:r>
    </w:p>
    <w:p w:rsidR="00EE13F6" w:rsidRDefault="002E5BC4">
      <w:pPr>
        <w:tabs>
          <w:tab w:val="center" w:pos="4692"/>
          <w:tab w:val="center" w:pos="9221"/>
        </w:tabs>
        <w:spacing w:after="76" w:line="265" w:lineRule="auto"/>
      </w:pPr>
      <w:r>
        <w:tab/>
      </w:r>
      <w:r>
        <w:rPr>
          <w:noProof/>
        </w:rPr>
        <w:drawing>
          <wp:inline distT="0" distB="0" distL="0" distR="0">
            <wp:extent cx="3096768" cy="356616"/>
            <wp:effectExtent l="0" t="0" r="0" b="0"/>
            <wp:docPr id="221944" name="Picture 221944"/>
            <wp:cNvGraphicFramePr/>
            <a:graphic xmlns:a="http://schemas.openxmlformats.org/drawingml/2006/main">
              <a:graphicData uri="http://schemas.openxmlformats.org/drawingml/2006/picture">
                <pic:pic xmlns:pic="http://schemas.openxmlformats.org/drawingml/2006/picture">
                  <pic:nvPicPr>
                    <pic:cNvPr id="221944" name="Picture 221944"/>
                    <pic:cNvPicPr/>
                  </pic:nvPicPr>
                  <pic:blipFill>
                    <a:blip r:embed="rId161"/>
                    <a:stretch>
                      <a:fillRect/>
                    </a:stretch>
                  </pic:blipFill>
                  <pic:spPr>
                    <a:xfrm>
                      <a:off x="0" y="0"/>
                      <a:ext cx="3096768" cy="356616"/>
                    </a:xfrm>
                    <a:prstGeom prst="rect">
                      <a:avLst/>
                    </a:prstGeom>
                  </pic:spPr>
                </pic:pic>
              </a:graphicData>
            </a:graphic>
          </wp:inline>
        </w:drawing>
      </w:r>
      <w:r>
        <w:rPr>
          <w:rFonts w:ascii="Cambria" w:eastAsia="Cambria" w:hAnsi="Cambria" w:cs="Cambria"/>
        </w:rPr>
        <w:t>= 0</w:t>
      </w:r>
      <w:r>
        <w:rPr>
          <w:rFonts w:ascii="Cambria" w:eastAsia="Cambria" w:hAnsi="Cambria" w:cs="Cambria"/>
        </w:rPr>
        <w:tab/>
        <w:t>(3)</w:t>
      </w:r>
    </w:p>
    <w:p w:rsidR="00EE13F6" w:rsidRDefault="002E5BC4">
      <w:pPr>
        <w:spacing w:after="174" w:line="264" w:lineRule="auto"/>
        <w:ind w:left="-5" w:right="468" w:hanging="10"/>
        <w:jc w:val="both"/>
      </w:pPr>
      <w:r>
        <w:rPr>
          <w:rFonts w:ascii="Cambria" w:eastAsia="Cambria" w:hAnsi="Cambria" w:cs="Cambria"/>
        </w:rPr>
        <w:t>The general solution of equation (3) is:</w:t>
      </w:r>
    </w:p>
    <w:p w:rsidR="00EE13F6" w:rsidRDefault="002E5BC4">
      <w:pPr>
        <w:tabs>
          <w:tab w:val="center" w:pos="4711"/>
          <w:tab w:val="center" w:pos="9221"/>
        </w:tabs>
        <w:spacing w:after="76" w:line="265" w:lineRule="auto"/>
      </w:pPr>
      <w:r>
        <w:lastRenderedPageBreak/>
        <w:tab/>
      </w:r>
      <w:r>
        <w:rPr>
          <w:noProof/>
        </w:rPr>
        <w:drawing>
          <wp:inline distT="0" distB="0" distL="0" distR="0">
            <wp:extent cx="1847088" cy="149352"/>
            <wp:effectExtent l="0" t="0" r="0" b="0"/>
            <wp:docPr id="221945" name="Picture 221945"/>
            <wp:cNvGraphicFramePr/>
            <a:graphic xmlns:a="http://schemas.openxmlformats.org/drawingml/2006/main">
              <a:graphicData uri="http://schemas.openxmlformats.org/drawingml/2006/picture">
                <pic:pic xmlns:pic="http://schemas.openxmlformats.org/drawingml/2006/picture">
                  <pic:nvPicPr>
                    <pic:cNvPr id="221945" name="Picture 221945"/>
                    <pic:cNvPicPr/>
                  </pic:nvPicPr>
                  <pic:blipFill>
                    <a:blip r:embed="rId162"/>
                    <a:stretch>
                      <a:fillRect/>
                    </a:stretch>
                  </pic:blipFill>
                  <pic:spPr>
                    <a:xfrm>
                      <a:off x="0" y="0"/>
                      <a:ext cx="1847088" cy="149352"/>
                    </a:xfrm>
                    <a:prstGeom prst="rect">
                      <a:avLst/>
                    </a:prstGeom>
                  </pic:spPr>
                </pic:pic>
              </a:graphicData>
            </a:graphic>
          </wp:inline>
        </w:drawing>
      </w:r>
      <w:r>
        <w:rPr>
          <w:rFonts w:ascii="Cambria" w:eastAsia="Cambria" w:hAnsi="Cambria" w:cs="Cambria"/>
        </w:rPr>
        <w:tab/>
        <w:t>(4)</w:t>
      </w:r>
    </w:p>
    <w:p w:rsidR="00EE13F6" w:rsidRDefault="002E5BC4">
      <w:pPr>
        <w:spacing w:after="0" w:line="264" w:lineRule="auto"/>
        <w:ind w:left="-5" w:right="4842" w:hanging="10"/>
        <w:jc w:val="both"/>
      </w:pPr>
      <w:r>
        <w:rPr>
          <w:rFonts w:ascii="Cambria" w:eastAsia="Cambria" w:hAnsi="Cambria" w:cs="Cambria"/>
        </w:rPr>
        <w:t>where</w:t>
      </w:r>
    </w:p>
    <w:p w:rsidR="00EE13F6" w:rsidRDefault="002E5BC4">
      <w:pPr>
        <w:spacing w:after="107"/>
        <w:ind w:left="4280"/>
      </w:pPr>
      <w:r>
        <w:rPr>
          <w:noProof/>
        </w:rPr>
        <w:drawing>
          <wp:inline distT="0" distB="0" distL="0" distR="0">
            <wp:extent cx="426720" cy="286512"/>
            <wp:effectExtent l="0" t="0" r="0" b="0"/>
            <wp:docPr id="221946" name="Picture 221946"/>
            <wp:cNvGraphicFramePr/>
            <a:graphic xmlns:a="http://schemas.openxmlformats.org/drawingml/2006/main">
              <a:graphicData uri="http://schemas.openxmlformats.org/drawingml/2006/picture">
                <pic:pic xmlns:pic="http://schemas.openxmlformats.org/drawingml/2006/picture">
                  <pic:nvPicPr>
                    <pic:cNvPr id="221946" name="Picture 221946"/>
                    <pic:cNvPicPr/>
                  </pic:nvPicPr>
                  <pic:blipFill>
                    <a:blip r:embed="rId163"/>
                    <a:stretch>
                      <a:fillRect/>
                    </a:stretch>
                  </pic:blipFill>
                  <pic:spPr>
                    <a:xfrm>
                      <a:off x="0" y="0"/>
                      <a:ext cx="426720" cy="286512"/>
                    </a:xfrm>
                    <a:prstGeom prst="rect">
                      <a:avLst/>
                    </a:prstGeom>
                  </pic:spPr>
                </pic:pic>
              </a:graphicData>
            </a:graphic>
          </wp:inline>
        </w:drawing>
      </w:r>
    </w:p>
    <w:p w:rsidR="00EE13F6" w:rsidRDefault="002E5BC4">
      <w:pPr>
        <w:spacing w:after="174" w:line="264" w:lineRule="auto"/>
        <w:ind w:left="-5" w:right="468" w:hanging="10"/>
        <w:jc w:val="both"/>
      </w:pPr>
      <w:r>
        <w:rPr>
          <w:rFonts w:ascii="Cambria" w:eastAsia="Cambria" w:hAnsi="Cambria" w:cs="Cambria"/>
        </w:rPr>
        <w:t xml:space="preserve">and </w:t>
      </w:r>
      <w:r>
        <w:rPr>
          <w:rFonts w:ascii="Cambria" w:eastAsia="Cambria" w:hAnsi="Cambria" w:cs="Cambria"/>
          <w:i/>
        </w:rPr>
        <w:t>X</w:t>
      </w:r>
      <w:r>
        <w:rPr>
          <w:rFonts w:ascii="Cambria" w:eastAsia="Cambria" w:hAnsi="Cambria" w:cs="Cambria"/>
          <w:vertAlign w:val="subscript"/>
        </w:rPr>
        <w:t>0</w:t>
      </w:r>
      <w:r>
        <w:rPr>
          <w:rFonts w:ascii="Cambria" w:eastAsia="Cambria" w:hAnsi="Cambria" w:cs="Cambria"/>
          <w:i/>
        </w:rPr>
        <w:t>,X</w:t>
      </w:r>
      <w:r>
        <w:rPr>
          <w:rFonts w:ascii="Cambria" w:eastAsia="Cambria" w:hAnsi="Cambria" w:cs="Cambria"/>
          <w:vertAlign w:val="subscript"/>
        </w:rPr>
        <w:t>1</w:t>
      </w:r>
      <w:r>
        <w:rPr>
          <w:rFonts w:ascii="Cambria" w:eastAsia="Cambria" w:hAnsi="Cambria" w:cs="Cambria"/>
          <w:i/>
        </w:rPr>
        <w:t>,X</w:t>
      </w:r>
      <w:r>
        <w:rPr>
          <w:rFonts w:ascii="Cambria" w:eastAsia="Cambria" w:hAnsi="Cambria" w:cs="Cambria"/>
          <w:vertAlign w:val="subscript"/>
        </w:rPr>
        <w:t xml:space="preserve">2 </w:t>
      </w:r>
      <w:r>
        <w:rPr>
          <w:rFonts w:ascii="Cambria" w:eastAsia="Cambria" w:hAnsi="Cambria" w:cs="Cambria"/>
        </w:rPr>
        <w:t>values are determined by boundaries condition.</w:t>
      </w:r>
    </w:p>
    <w:p w:rsidR="00EE13F6" w:rsidRDefault="002E5BC4">
      <w:pPr>
        <w:spacing w:after="135" w:line="264" w:lineRule="auto"/>
        <w:ind w:left="-5" w:right="468" w:hanging="10"/>
        <w:jc w:val="both"/>
      </w:pPr>
      <w:r>
        <w:rPr>
          <w:rFonts w:ascii="Cambria" w:eastAsia="Cambria" w:hAnsi="Cambria" w:cs="Cambria"/>
        </w:rPr>
        <w:t>If we further assu</w:t>
      </w:r>
      <w:r>
        <w:rPr>
          <w:rFonts w:ascii="Cambria" w:eastAsia="Cambria" w:hAnsi="Cambria" w:cs="Cambria"/>
        </w:rPr>
        <w:t xml:space="preserve">me that there is a cost, </w:t>
      </w:r>
      <w:r>
        <w:rPr>
          <w:rFonts w:ascii="Cambria" w:eastAsia="Cambria" w:hAnsi="Cambria" w:cs="Cambria"/>
          <w:i/>
        </w:rPr>
        <w:t xml:space="preserve">α </w:t>
      </w:r>
      <w:r>
        <w:rPr>
          <w:rFonts w:ascii="Cambria" w:eastAsia="Cambria" w:hAnsi="Cambria" w:cs="Cambria"/>
        </w:rPr>
        <w:t xml:space="preserve">for recovering the debt in case of bankruptcy and that the asset value at bankruptcy time is fixed and amounts to </w:t>
      </w:r>
      <w:r>
        <w:rPr>
          <w:rFonts w:ascii="Cambria" w:eastAsia="Cambria" w:hAnsi="Cambria" w:cs="Cambria"/>
          <w:i/>
        </w:rPr>
        <w:t>K</w:t>
      </w:r>
      <w:r>
        <w:rPr>
          <w:rFonts w:ascii="Cambria" w:eastAsia="Cambria" w:hAnsi="Cambria" w:cs="Cambria"/>
        </w:rPr>
        <w:t xml:space="preserve">, we can then explicit the boundary conditions and derive the values for </w:t>
      </w:r>
      <w:r>
        <w:rPr>
          <w:rFonts w:ascii="Cambria" w:eastAsia="Cambria" w:hAnsi="Cambria" w:cs="Cambria"/>
          <w:i/>
        </w:rPr>
        <w:t>X</w:t>
      </w:r>
      <w:r>
        <w:rPr>
          <w:rFonts w:ascii="Cambria" w:eastAsia="Cambria" w:hAnsi="Cambria" w:cs="Cambria"/>
          <w:vertAlign w:val="subscript"/>
        </w:rPr>
        <w:t>0</w:t>
      </w:r>
      <w:r>
        <w:rPr>
          <w:rFonts w:ascii="Cambria" w:eastAsia="Cambria" w:hAnsi="Cambria" w:cs="Cambria"/>
          <w:i/>
        </w:rPr>
        <w:t>,X</w:t>
      </w:r>
      <w:r>
        <w:rPr>
          <w:rFonts w:ascii="Cambria" w:eastAsia="Cambria" w:hAnsi="Cambria" w:cs="Cambria"/>
          <w:vertAlign w:val="subscript"/>
        </w:rPr>
        <w:t xml:space="preserve">1 </w:t>
      </w:r>
      <w:r>
        <w:rPr>
          <w:rFonts w:ascii="Cambria" w:eastAsia="Cambria" w:hAnsi="Cambria" w:cs="Cambria"/>
        </w:rPr>
        <w:t xml:space="preserve">and </w:t>
      </w:r>
      <w:r>
        <w:rPr>
          <w:rFonts w:ascii="Cambria" w:eastAsia="Cambria" w:hAnsi="Cambria" w:cs="Cambria"/>
          <w:i/>
        </w:rPr>
        <w:t>X</w:t>
      </w:r>
      <w:r>
        <w:rPr>
          <w:rFonts w:ascii="Cambria" w:eastAsia="Cambria" w:hAnsi="Cambria" w:cs="Cambria"/>
          <w:vertAlign w:val="subscript"/>
        </w:rPr>
        <w:t>2</w:t>
      </w:r>
      <w:r>
        <w:rPr>
          <w:rFonts w:ascii="Cambria" w:eastAsia="Cambria" w:hAnsi="Cambria" w:cs="Cambria"/>
        </w:rPr>
        <w:t>.</w:t>
      </w:r>
    </w:p>
    <w:p w:rsidR="00EE13F6" w:rsidRDefault="002E5BC4">
      <w:pPr>
        <w:spacing w:after="268" w:line="264" w:lineRule="auto"/>
        <w:ind w:left="-5" w:right="468" w:hanging="10"/>
        <w:jc w:val="both"/>
      </w:pPr>
      <w:r>
        <w:rPr>
          <w:rFonts w:ascii="Cambria" w:eastAsia="Cambria" w:hAnsi="Cambria" w:cs="Cambria"/>
        </w:rPr>
        <w:t>Finally, it can be found that:</w:t>
      </w:r>
    </w:p>
    <w:p w:rsidR="00EE13F6" w:rsidRDefault="002E5BC4">
      <w:pPr>
        <w:tabs>
          <w:tab w:val="center" w:pos="4691"/>
          <w:tab w:val="center" w:pos="9221"/>
        </w:tabs>
        <w:spacing w:after="229" w:line="265" w:lineRule="auto"/>
      </w:pPr>
      <w:r>
        <w:tab/>
      </w:r>
      <w:r>
        <w:rPr>
          <w:noProof/>
        </w:rPr>
        <w:drawing>
          <wp:inline distT="0" distB="0" distL="0" distR="0">
            <wp:extent cx="2892552" cy="332232"/>
            <wp:effectExtent l="0" t="0" r="0" b="0"/>
            <wp:docPr id="221947" name="Picture 221947"/>
            <wp:cNvGraphicFramePr/>
            <a:graphic xmlns:a="http://schemas.openxmlformats.org/drawingml/2006/main">
              <a:graphicData uri="http://schemas.openxmlformats.org/drawingml/2006/picture">
                <pic:pic xmlns:pic="http://schemas.openxmlformats.org/drawingml/2006/picture">
                  <pic:nvPicPr>
                    <pic:cNvPr id="221947" name="Picture 221947"/>
                    <pic:cNvPicPr/>
                  </pic:nvPicPr>
                  <pic:blipFill>
                    <a:blip r:embed="rId164"/>
                    <a:stretch>
                      <a:fillRect/>
                    </a:stretch>
                  </pic:blipFill>
                  <pic:spPr>
                    <a:xfrm>
                      <a:off x="0" y="0"/>
                      <a:ext cx="2892552" cy="332232"/>
                    </a:xfrm>
                    <a:prstGeom prst="rect">
                      <a:avLst/>
                    </a:prstGeom>
                  </pic:spPr>
                </pic:pic>
              </a:graphicData>
            </a:graphic>
          </wp:inline>
        </w:drawing>
      </w:r>
      <w:r>
        <w:rPr>
          <w:rFonts w:ascii="Cambria" w:eastAsia="Cambria" w:hAnsi="Cambria" w:cs="Cambria"/>
        </w:rPr>
        <w:tab/>
        <w:t>(5)</w:t>
      </w:r>
    </w:p>
    <w:p w:rsidR="00EE13F6" w:rsidRDefault="002E5BC4">
      <w:pPr>
        <w:spacing w:after="385" w:line="264" w:lineRule="auto"/>
        <w:ind w:left="-5" w:right="468" w:hanging="10"/>
        <w:jc w:val="both"/>
      </w:pPr>
      <w:r>
        <w:rPr>
          <w:rFonts w:ascii="Cambria" w:eastAsia="Cambria" w:hAnsi="Cambria" w:cs="Cambria"/>
        </w:rPr>
        <w:t>The first term of the second member of this equation on the right represents the risk neutral expectation of the coupon payment stream whereas the second term represents the expected value of the debt in case of bankru</w:t>
      </w:r>
      <w:r>
        <w:rPr>
          <w:rFonts w:ascii="Cambria" w:eastAsia="Cambria" w:hAnsi="Cambria" w:cs="Cambria"/>
        </w:rPr>
        <w:t xml:space="preserve">ptcy. Then we can focus on the total value of the firm that we note </w:t>
      </w:r>
      <w:r>
        <w:rPr>
          <w:rFonts w:ascii="Cambria" w:eastAsia="Cambria" w:hAnsi="Cambria" w:cs="Cambria"/>
          <w:i/>
        </w:rPr>
        <w:t xml:space="preserve">V </w:t>
      </w:r>
      <w:r>
        <w:rPr>
          <w:rFonts w:ascii="Cambria" w:eastAsia="Cambria" w:hAnsi="Cambria" w:cs="Cambria"/>
        </w:rPr>
        <w:t>, and which is the sum of three terms:</w:t>
      </w:r>
    </w:p>
    <w:p w:rsidR="00EE13F6" w:rsidRDefault="002E5BC4" w:rsidP="002E5BC4">
      <w:pPr>
        <w:numPr>
          <w:ilvl w:val="0"/>
          <w:numId w:val="37"/>
        </w:numPr>
        <w:spacing w:after="197" w:line="264" w:lineRule="auto"/>
        <w:ind w:right="468" w:hanging="218"/>
        <w:jc w:val="both"/>
      </w:pPr>
      <w:r>
        <w:rPr>
          <w:rFonts w:ascii="Cambria" w:eastAsia="Cambria" w:hAnsi="Cambria" w:cs="Cambria"/>
        </w:rPr>
        <w:t>The firm’s asset value</w:t>
      </w:r>
    </w:p>
    <w:p w:rsidR="00EE13F6" w:rsidRDefault="002E5BC4" w:rsidP="002E5BC4">
      <w:pPr>
        <w:numPr>
          <w:ilvl w:val="0"/>
          <w:numId w:val="37"/>
        </w:numPr>
        <w:spacing w:after="186" w:line="264" w:lineRule="auto"/>
        <w:ind w:right="468" w:hanging="218"/>
        <w:jc w:val="both"/>
      </w:pPr>
      <w:r>
        <w:rPr>
          <w:rFonts w:ascii="Cambria" w:eastAsia="Cambria" w:hAnsi="Cambria" w:cs="Cambria"/>
        </w:rPr>
        <w:t>The future value of the deduction of coupon payments, in case the corporate firm earn enough profit or return from the asset</w:t>
      </w:r>
      <w:r>
        <w:rPr>
          <w:rFonts w:ascii="Cambria" w:eastAsia="Cambria" w:hAnsi="Cambria" w:cs="Cambria"/>
        </w:rPr>
        <w:t>s to at least offset the debt coupon payments.</w:t>
      </w:r>
    </w:p>
    <w:p w:rsidR="00EE13F6" w:rsidRDefault="002E5BC4" w:rsidP="002E5BC4">
      <w:pPr>
        <w:numPr>
          <w:ilvl w:val="0"/>
          <w:numId w:val="37"/>
        </w:numPr>
        <w:spacing w:after="385" w:line="264" w:lineRule="auto"/>
        <w:ind w:right="468" w:hanging="218"/>
        <w:jc w:val="both"/>
      </w:pPr>
      <w:r>
        <w:rPr>
          <w:rFonts w:ascii="Cambria" w:eastAsia="Cambria" w:hAnsi="Cambria" w:cs="Cambria"/>
        </w:rPr>
        <w:t>The negative value of bankruptcy costs</w:t>
      </w:r>
    </w:p>
    <w:p w:rsidR="00EE13F6" w:rsidRDefault="002E5BC4">
      <w:pPr>
        <w:spacing w:after="95" w:line="264" w:lineRule="auto"/>
        <w:ind w:left="-5" w:right="468" w:hanging="10"/>
        <w:jc w:val="both"/>
      </w:pPr>
      <w:r>
        <w:rPr>
          <w:rFonts w:ascii="Cambria" w:eastAsia="Cambria" w:hAnsi="Cambria" w:cs="Cambria"/>
        </w:rPr>
        <w:t xml:space="preserve">We note </w:t>
      </w:r>
      <w:r>
        <w:rPr>
          <w:rFonts w:ascii="Cambria" w:eastAsia="Cambria" w:hAnsi="Cambria" w:cs="Cambria"/>
          <w:i/>
        </w:rPr>
        <w:t xml:space="preserve">ρ </w:t>
      </w:r>
      <w:r>
        <w:rPr>
          <w:rFonts w:ascii="Cambria" w:eastAsia="Cambria" w:hAnsi="Cambria" w:cs="Cambria"/>
        </w:rPr>
        <w:t>the corporate tax rate. This writes:</w:t>
      </w:r>
    </w:p>
    <w:p w:rsidR="00EE13F6" w:rsidRDefault="002E5BC4">
      <w:pPr>
        <w:tabs>
          <w:tab w:val="center" w:pos="4691"/>
          <w:tab w:val="center" w:pos="9221"/>
        </w:tabs>
        <w:spacing w:after="313" w:line="265" w:lineRule="auto"/>
      </w:pPr>
      <w:r>
        <w:tab/>
      </w:r>
      <w:r>
        <w:rPr>
          <w:noProof/>
        </w:rPr>
        <w:drawing>
          <wp:inline distT="0" distB="0" distL="0" distR="0">
            <wp:extent cx="2944368" cy="335280"/>
            <wp:effectExtent l="0" t="0" r="0" b="0"/>
            <wp:docPr id="221948" name="Picture 221948"/>
            <wp:cNvGraphicFramePr/>
            <a:graphic xmlns:a="http://schemas.openxmlformats.org/drawingml/2006/main">
              <a:graphicData uri="http://schemas.openxmlformats.org/drawingml/2006/picture">
                <pic:pic xmlns:pic="http://schemas.openxmlformats.org/drawingml/2006/picture">
                  <pic:nvPicPr>
                    <pic:cNvPr id="221948" name="Picture 221948"/>
                    <pic:cNvPicPr/>
                  </pic:nvPicPr>
                  <pic:blipFill>
                    <a:blip r:embed="rId165"/>
                    <a:stretch>
                      <a:fillRect/>
                    </a:stretch>
                  </pic:blipFill>
                  <pic:spPr>
                    <a:xfrm>
                      <a:off x="0" y="0"/>
                      <a:ext cx="2944368" cy="335280"/>
                    </a:xfrm>
                    <a:prstGeom prst="rect">
                      <a:avLst/>
                    </a:prstGeom>
                  </pic:spPr>
                </pic:pic>
              </a:graphicData>
            </a:graphic>
          </wp:inline>
        </w:drawing>
      </w:r>
      <w:r>
        <w:rPr>
          <w:rFonts w:ascii="Cambria" w:eastAsia="Cambria" w:hAnsi="Cambria" w:cs="Cambria"/>
        </w:rPr>
        <w:tab/>
        <w:t>(6)</w:t>
      </w:r>
    </w:p>
    <w:p w:rsidR="00EE13F6" w:rsidRDefault="002E5BC4">
      <w:pPr>
        <w:spacing w:after="41" w:line="264" w:lineRule="auto"/>
        <w:ind w:left="-5" w:right="468" w:hanging="10"/>
        <w:jc w:val="both"/>
      </w:pPr>
      <w:r>
        <w:rPr>
          <w:rFonts w:ascii="Cambria" w:eastAsia="Cambria" w:hAnsi="Cambria" w:cs="Cambria"/>
        </w:rPr>
        <w:t>Finally, by subtracting the debt value to the corporate firm’s value we obtain the value of the equity which writes as follows:</w:t>
      </w:r>
    </w:p>
    <w:p w:rsidR="00EE13F6" w:rsidRDefault="002E5BC4">
      <w:pPr>
        <w:tabs>
          <w:tab w:val="center" w:pos="4691"/>
          <w:tab w:val="center" w:pos="9221"/>
        </w:tabs>
        <w:spacing w:after="354" w:line="265" w:lineRule="auto"/>
      </w:pPr>
      <w:r>
        <w:tab/>
      </w:r>
      <w:r>
        <w:rPr>
          <w:noProof/>
        </w:rPr>
        <w:drawing>
          <wp:inline distT="0" distB="0" distL="0" distR="0">
            <wp:extent cx="3215640" cy="332232"/>
            <wp:effectExtent l="0" t="0" r="0" b="0"/>
            <wp:docPr id="221949" name="Picture 221949"/>
            <wp:cNvGraphicFramePr/>
            <a:graphic xmlns:a="http://schemas.openxmlformats.org/drawingml/2006/main">
              <a:graphicData uri="http://schemas.openxmlformats.org/drawingml/2006/picture">
                <pic:pic xmlns:pic="http://schemas.openxmlformats.org/drawingml/2006/picture">
                  <pic:nvPicPr>
                    <pic:cNvPr id="221949" name="Picture 221949"/>
                    <pic:cNvPicPr/>
                  </pic:nvPicPr>
                  <pic:blipFill>
                    <a:blip r:embed="rId166"/>
                    <a:stretch>
                      <a:fillRect/>
                    </a:stretch>
                  </pic:blipFill>
                  <pic:spPr>
                    <a:xfrm>
                      <a:off x="0" y="0"/>
                      <a:ext cx="3215640" cy="332232"/>
                    </a:xfrm>
                    <a:prstGeom prst="rect">
                      <a:avLst/>
                    </a:prstGeom>
                  </pic:spPr>
                </pic:pic>
              </a:graphicData>
            </a:graphic>
          </wp:inline>
        </w:drawing>
      </w:r>
      <w:r>
        <w:rPr>
          <w:rFonts w:ascii="Cambria" w:eastAsia="Cambria" w:hAnsi="Cambria" w:cs="Cambria"/>
        </w:rPr>
        <w:tab/>
        <w:t>(7)</w:t>
      </w:r>
    </w:p>
    <w:p w:rsidR="00EE13F6" w:rsidRDefault="002E5BC4">
      <w:pPr>
        <w:spacing w:after="477" w:line="264" w:lineRule="auto"/>
        <w:ind w:left="-5" w:right="468" w:hanging="10"/>
        <w:jc w:val="both"/>
      </w:pPr>
      <w:r>
        <w:rPr>
          <w:rFonts w:ascii="Cambria" w:eastAsia="Cambria" w:hAnsi="Cambria" w:cs="Cambria"/>
        </w:rPr>
        <w:t xml:space="preserve">From equation (5) above, we can derive the coupon yield </w:t>
      </w:r>
      <w:r>
        <w:rPr>
          <w:rFonts w:ascii="Cambria" w:eastAsia="Cambria" w:hAnsi="Cambria" w:cs="Cambria"/>
          <w:i/>
        </w:rPr>
        <w:t xml:space="preserve">c </w:t>
      </w:r>
      <w:r>
        <w:rPr>
          <w:rFonts w:ascii="Cambria" w:eastAsia="Cambria" w:hAnsi="Cambria" w:cs="Cambria"/>
        </w:rPr>
        <w:t xml:space="preserve">of the perpetual debt and the corresponding credit spread </w:t>
      </w:r>
      <w:r>
        <w:rPr>
          <w:rFonts w:ascii="Cambria" w:eastAsia="Cambria" w:hAnsi="Cambria" w:cs="Cambria"/>
          <w:i/>
        </w:rPr>
        <w:t>s</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over the risk free interest rate defined as:</w:t>
      </w:r>
    </w:p>
    <w:p w:rsidR="00EE13F6" w:rsidRDefault="002E5BC4">
      <w:pPr>
        <w:spacing w:after="151"/>
        <w:ind w:left="10" w:right="489" w:hanging="10"/>
        <w:jc w:val="center"/>
      </w:pPr>
      <w:r>
        <w:rPr>
          <w:rFonts w:ascii="Cambria" w:eastAsia="Cambria" w:hAnsi="Cambria" w:cs="Cambria"/>
          <w:i/>
        </w:rPr>
        <w:t>s</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 xml:space="preserve">= </w:t>
      </w:r>
      <w:r>
        <w:rPr>
          <w:rFonts w:ascii="Cambria" w:eastAsia="Cambria" w:hAnsi="Cambria" w:cs="Cambria"/>
          <w:i/>
        </w:rPr>
        <w:t xml:space="preserve">c </w:t>
      </w:r>
      <w:r>
        <w:rPr>
          <w:rFonts w:ascii="Cambria" w:eastAsia="Cambria" w:hAnsi="Cambria" w:cs="Cambria"/>
        </w:rPr>
        <w:t>−</w:t>
      </w:r>
      <w:r>
        <w:rPr>
          <w:rFonts w:ascii="Cambria" w:eastAsia="Cambria" w:hAnsi="Cambria" w:cs="Cambria"/>
        </w:rPr>
        <w:t xml:space="preserve"> </w:t>
      </w:r>
      <w:r>
        <w:rPr>
          <w:rFonts w:ascii="Cambria" w:eastAsia="Cambria" w:hAnsi="Cambria" w:cs="Cambria"/>
          <w:i/>
        </w:rPr>
        <w:t>r</w:t>
      </w:r>
    </w:p>
    <w:p w:rsidR="00EE13F6" w:rsidRDefault="002E5BC4">
      <w:pPr>
        <w:spacing w:after="0" w:line="264" w:lineRule="auto"/>
        <w:ind w:left="-5" w:right="3403" w:hanging="10"/>
        <w:jc w:val="both"/>
      </w:pPr>
      <w:r>
        <w:rPr>
          <w:rFonts w:ascii="Cambria" w:eastAsia="Cambria" w:hAnsi="Cambria" w:cs="Cambria"/>
        </w:rPr>
        <w:t>with</w:t>
      </w:r>
    </w:p>
    <w:p w:rsidR="00EE13F6" w:rsidRDefault="002E5BC4">
      <w:pPr>
        <w:spacing w:after="285"/>
        <w:ind w:left="2840"/>
      </w:pPr>
      <w:r>
        <w:rPr>
          <w:noProof/>
        </w:rPr>
        <w:drawing>
          <wp:inline distT="0" distB="0" distL="0" distR="0">
            <wp:extent cx="2249424" cy="356616"/>
            <wp:effectExtent l="0" t="0" r="0" b="0"/>
            <wp:docPr id="221950" name="Picture 221950"/>
            <wp:cNvGraphicFramePr/>
            <a:graphic xmlns:a="http://schemas.openxmlformats.org/drawingml/2006/main">
              <a:graphicData uri="http://schemas.openxmlformats.org/drawingml/2006/picture">
                <pic:pic xmlns:pic="http://schemas.openxmlformats.org/drawingml/2006/picture">
                  <pic:nvPicPr>
                    <pic:cNvPr id="221950" name="Picture 221950"/>
                    <pic:cNvPicPr/>
                  </pic:nvPicPr>
                  <pic:blipFill>
                    <a:blip r:embed="rId167"/>
                    <a:stretch>
                      <a:fillRect/>
                    </a:stretch>
                  </pic:blipFill>
                  <pic:spPr>
                    <a:xfrm>
                      <a:off x="0" y="0"/>
                      <a:ext cx="2249424" cy="356616"/>
                    </a:xfrm>
                    <a:prstGeom prst="rect">
                      <a:avLst/>
                    </a:prstGeom>
                  </pic:spPr>
                </pic:pic>
              </a:graphicData>
            </a:graphic>
          </wp:inline>
        </w:drawing>
      </w:r>
    </w:p>
    <w:p w:rsidR="00EE13F6" w:rsidRDefault="002E5BC4">
      <w:pPr>
        <w:spacing w:after="135" w:line="264" w:lineRule="auto"/>
        <w:ind w:left="-5" w:right="468" w:hanging="10"/>
        <w:jc w:val="both"/>
      </w:pPr>
      <w:r>
        <w:rPr>
          <w:rFonts w:ascii="Cambria" w:eastAsia="Cambria" w:hAnsi="Cambria" w:cs="Cambria"/>
          <w:b/>
        </w:rPr>
        <w:lastRenderedPageBreak/>
        <w:t xml:space="preserve">(i) First Alternate Equivalent Formulation </w:t>
      </w:r>
      <w:r>
        <w:rPr>
          <w:rFonts w:ascii="Cambria" w:eastAsia="Cambria" w:hAnsi="Cambria" w:cs="Cambria"/>
        </w:rPr>
        <w:t>The formulation done by Black-Cox and used by Leland and Toft uses a partial differential equation, and alternatively we can consider a valuation of b</w:t>
      </w:r>
      <w:r>
        <w:rPr>
          <w:rFonts w:ascii="Cambria" w:eastAsia="Cambria" w:hAnsi="Cambria" w:cs="Cambria"/>
        </w:rPr>
        <w:t>oth corporate equity and debt using martingale and risk neutral considerations. We suppose now the general case of a corporation whose assets are paying dividends as in equation (1).</w:t>
      </w:r>
    </w:p>
    <w:p w:rsidR="00EE13F6" w:rsidRDefault="002E5BC4">
      <w:pPr>
        <w:spacing w:after="276" w:line="264" w:lineRule="auto"/>
        <w:ind w:left="-5" w:right="468" w:hanging="10"/>
        <w:jc w:val="both"/>
      </w:pPr>
      <w:r>
        <w:rPr>
          <w:rFonts w:ascii="Cambria" w:eastAsia="Cambria" w:hAnsi="Cambria" w:cs="Cambria"/>
        </w:rPr>
        <w:t xml:space="preserve">Equation (1) implies the following process for </w:t>
      </w:r>
      <w:r>
        <w:rPr>
          <w:rFonts w:ascii="Cambria" w:eastAsia="Cambria" w:hAnsi="Cambria" w:cs="Cambria"/>
          <w:i/>
        </w:rPr>
        <w:t>A</w:t>
      </w:r>
      <w:r>
        <w:rPr>
          <w:rFonts w:ascii="Cambria" w:eastAsia="Cambria" w:hAnsi="Cambria" w:cs="Cambria"/>
          <w:i/>
          <w:vertAlign w:val="subscript"/>
        </w:rPr>
        <w:t>t</w:t>
      </w:r>
      <w:r>
        <w:rPr>
          <w:rFonts w:ascii="Cambria" w:eastAsia="Cambria" w:hAnsi="Cambria" w:cs="Cambria"/>
        </w:rPr>
        <w:t>.</w:t>
      </w:r>
    </w:p>
    <w:p w:rsidR="00EE13F6" w:rsidRDefault="002E5BC4">
      <w:pPr>
        <w:tabs>
          <w:tab w:val="center" w:pos="4680"/>
          <w:tab w:val="center" w:pos="9221"/>
        </w:tabs>
        <w:spacing w:after="417" w:line="265" w:lineRule="auto"/>
      </w:pPr>
      <w:r>
        <w:tab/>
      </w:r>
      <w:r>
        <w:rPr>
          <w:rFonts w:ascii="Cambria" w:eastAsia="Cambria" w:hAnsi="Cambria" w:cs="Cambria"/>
          <w:i/>
        </w:rPr>
        <w:t>A</w:t>
      </w:r>
      <w:r>
        <w:rPr>
          <w:rFonts w:ascii="Cambria" w:eastAsia="Cambria" w:hAnsi="Cambria" w:cs="Cambria"/>
          <w:i/>
          <w:vertAlign w:val="subscript"/>
        </w:rPr>
        <w:t xml:space="preserve">t </w:t>
      </w:r>
      <w:r>
        <w:rPr>
          <w:rFonts w:ascii="Cambria" w:eastAsia="Cambria" w:hAnsi="Cambria" w:cs="Cambria"/>
        </w:rPr>
        <w:t>= exp[ln</w:t>
      </w:r>
      <w:r>
        <w:rPr>
          <w:rFonts w:ascii="Cambria" w:eastAsia="Cambria" w:hAnsi="Cambria" w:cs="Cambria"/>
          <w:i/>
        </w:rPr>
        <w:t>A</w:t>
      </w:r>
      <w:r>
        <w:rPr>
          <w:rFonts w:ascii="Cambria" w:eastAsia="Cambria" w:hAnsi="Cambria" w:cs="Cambria"/>
          <w:vertAlign w:val="subscript"/>
        </w:rPr>
        <w:t xml:space="preserve">0 </w:t>
      </w:r>
      <w:r>
        <w:rPr>
          <w:rFonts w:ascii="Cambria" w:eastAsia="Cambria" w:hAnsi="Cambria" w:cs="Cambria"/>
        </w:rPr>
        <w:t xml:space="preserve">+ </w:t>
      </w:r>
      <w:r>
        <w:rPr>
          <w:rFonts w:ascii="Cambria" w:eastAsia="Cambria" w:hAnsi="Cambria" w:cs="Cambria"/>
          <w:i/>
        </w:rPr>
        <w:t>σW</w:t>
      </w:r>
      <w:r>
        <w:rPr>
          <w:rFonts w:ascii="Cambria" w:eastAsia="Cambria" w:hAnsi="Cambria" w:cs="Cambria"/>
          <w:i/>
          <w:vertAlign w:val="subscript"/>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r </w:t>
      </w:r>
      <w:r>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d </w:t>
      </w:r>
      <w:r>
        <w:rPr>
          <w:rFonts w:ascii="Cambria" w:eastAsia="Cambria" w:hAnsi="Cambria" w:cs="Cambria"/>
        </w:rPr>
        <w:t>−</w:t>
      </w:r>
      <w:r>
        <w:rPr>
          <w:rFonts w:ascii="Cambria" w:eastAsia="Cambria" w:hAnsi="Cambria" w:cs="Cambria"/>
        </w:rPr>
        <w:t xml:space="preserve"> 0</w:t>
      </w:r>
      <w:r>
        <w:rPr>
          <w:rFonts w:ascii="Cambria" w:eastAsia="Cambria" w:hAnsi="Cambria" w:cs="Cambria"/>
          <w:i/>
        </w:rPr>
        <w:t>.</w:t>
      </w:r>
      <w:r>
        <w:rPr>
          <w:rFonts w:ascii="Cambria" w:eastAsia="Cambria" w:hAnsi="Cambria" w:cs="Cambria"/>
        </w:rPr>
        <w:t>5</w:t>
      </w:r>
      <w:r>
        <w:rPr>
          <w:rFonts w:ascii="Cambria" w:eastAsia="Cambria" w:hAnsi="Cambria" w:cs="Cambria"/>
          <w:i/>
        </w:rPr>
        <w:t>σ</w:t>
      </w:r>
      <w:r>
        <w:rPr>
          <w:rFonts w:ascii="Cambria" w:eastAsia="Cambria" w:hAnsi="Cambria" w:cs="Cambria"/>
          <w:vertAlign w:val="superscript"/>
        </w:rPr>
        <w:t>2</w:t>
      </w:r>
      <w:r>
        <w:rPr>
          <w:rFonts w:ascii="Cambria" w:eastAsia="Cambria" w:hAnsi="Cambria" w:cs="Cambria"/>
        </w:rPr>
        <w:t>)</w:t>
      </w:r>
      <w:r>
        <w:rPr>
          <w:rFonts w:ascii="Cambria" w:eastAsia="Cambria" w:hAnsi="Cambria" w:cs="Cambria"/>
          <w:i/>
        </w:rPr>
        <w:t>t</w:t>
      </w:r>
      <w:r>
        <w:rPr>
          <w:rFonts w:ascii="Cambria" w:eastAsia="Cambria" w:hAnsi="Cambria" w:cs="Cambria"/>
        </w:rPr>
        <w:t>]</w:t>
      </w:r>
      <w:r>
        <w:rPr>
          <w:rFonts w:ascii="Cambria" w:eastAsia="Cambria" w:hAnsi="Cambria" w:cs="Cambria"/>
        </w:rPr>
        <w:tab/>
        <w:t>(8)</w:t>
      </w:r>
    </w:p>
    <w:p w:rsidR="00EE13F6" w:rsidRDefault="002E5BC4">
      <w:pPr>
        <w:spacing w:after="445" w:line="264" w:lineRule="auto"/>
        <w:ind w:left="-5" w:right="468" w:hanging="10"/>
        <w:jc w:val="both"/>
      </w:pPr>
      <w:r>
        <w:rPr>
          <w:rFonts w:ascii="Cambria" w:eastAsia="Cambria" w:hAnsi="Cambria" w:cs="Cambria"/>
        </w:rPr>
        <w:t xml:space="preserve">The bankruptcy condition comes to find the first hitting time </w:t>
      </w:r>
      <w:r>
        <w:rPr>
          <w:rFonts w:ascii="Cambria" w:eastAsia="Cambria" w:hAnsi="Cambria" w:cs="Cambria"/>
          <w:i/>
        </w:rPr>
        <w:t>τ</w:t>
      </w:r>
      <w:r>
        <w:rPr>
          <w:rFonts w:ascii="Cambria" w:eastAsia="Cambria" w:hAnsi="Cambria" w:cs="Cambria"/>
          <w:i/>
          <w:vertAlign w:val="subscript"/>
        </w:rPr>
        <w:t xml:space="preserve">K </w:t>
      </w:r>
      <w:r>
        <w:rPr>
          <w:rFonts w:ascii="Cambria" w:eastAsia="Cambria" w:hAnsi="Cambria" w:cs="Cambria"/>
        </w:rPr>
        <w:t xml:space="preserve">defined as the the first hitting time where the process </w:t>
      </w:r>
      <w:r>
        <w:rPr>
          <w:rFonts w:ascii="Cambria" w:eastAsia="Cambria" w:hAnsi="Cambria" w:cs="Cambria"/>
          <w:i/>
        </w:rPr>
        <w:t>A</w:t>
      </w:r>
      <w:r>
        <w:rPr>
          <w:rFonts w:ascii="Cambria" w:eastAsia="Cambria" w:hAnsi="Cambria" w:cs="Cambria"/>
        </w:rPr>
        <w:t>(</w:t>
      </w:r>
      <w:r>
        <w:rPr>
          <w:rFonts w:ascii="Cambria" w:eastAsia="Cambria" w:hAnsi="Cambria" w:cs="Cambria"/>
          <w:i/>
        </w:rPr>
        <w:t>t</w:t>
      </w:r>
      <w:r>
        <w:rPr>
          <w:rFonts w:ascii="Cambria" w:eastAsia="Cambria" w:hAnsi="Cambria" w:cs="Cambria"/>
        </w:rPr>
        <w:t xml:space="preserve">) falls below the value </w:t>
      </w:r>
      <w:r>
        <w:rPr>
          <w:rFonts w:ascii="Cambria" w:eastAsia="Cambria" w:hAnsi="Cambria" w:cs="Cambria"/>
          <w:i/>
        </w:rPr>
        <w:t xml:space="preserve">K </w:t>
      </w:r>
      <w:r>
        <w:rPr>
          <w:rFonts w:ascii="Cambria" w:eastAsia="Cambria" w:hAnsi="Cambria" w:cs="Cambria"/>
        </w:rPr>
        <w:t>triggering the default:</w:t>
      </w:r>
    </w:p>
    <w:p w:rsidR="00EE13F6" w:rsidRDefault="002E5BC4">
      <w:pPr>
        <w:spacing w:after="317" w:line="265" w:lineRule="auto"/>
        <w:ind w:left="10" w:right="483" w:hanging="10"/>
        <w:jc w:val="center"/>
      </w:pPr>
      <w:r>
        <w:rPr>
          <w:rFonts w:ascii="Cambria" w:eastAsia="Cambria" w:hAnsi="Cambria" w:cs="Cambria"/>
          <w:i/>
        </w:rPr>
        <w:t>τ</w:t>
      </w:r>
      <w:r>
        <w:rPr>
          <w:rFonts w:ascii="Cambria" w:eastAsia="Cambria" w:hAnsi="Cambria" w:cs="Cambria"/>
          <w:i/>
          <w:vertAlign w:val="subscript"/>
        </w:rPr>
        <w:t xml:space="preserve">K </w:t>
      </w:r>
      <w:r>
        <w:rPr>
          <w:rFonts w:ascii="Cambria" w:eastAsia="Cambria" w:hAnsi="Cambria" w:cs="Cambria"/>
        </w:rPr>
        <w:t>= inf[</w:t>
      </w:r>
      <w:r>
        <w:rPr>
          <w:rFonts w:ascii="Cambria" w:eastAsia="Cambria" w:hAnsi="Cambria" w:cs="Cambria"/>
          <w:i/>
        </w:rPr>
        <w:t>t</w:t>
      </w:r>
      <w:r>
        <w:rPr>
          <w:rFonts w:ascii="Cambria" w:eastAsia="Cambria" w:hAnsi="Cambria" w:cs="Cambria"/>
        </w:rPr>
        <w:t>;</w:t>
      </w:r>
      <w:r>
        <w:rPr>
          <w:rFonts w:ascii="Cambria" w:eastAsia="Cambria" w:hAnsi="Cambria" w:cs="Cambria"/>
          <w:i/>
        </w:rPr>
        <w:t>A</w:t>
      </w:r>
      <w:r>
        <w:rPr>
          <w:rFonts w:ascii="Cambria" w:eastAsia="Cambria" w:hAnsi="Cambria" w:cs="Cambria"/>
        </w:rPr>
        <w:t>(</w:t>
      </w:r>
      <w:r>
        <w:rPr>
          <w:rFonts w:ascii="Cambria" w:eastAsia="Cambria" w:hAnsi="Cambria" w:cs="Cambria"/>
          <w:i/>
        </w:rPr>
        <w:t>t</w:t>
      </w:r>
      <w:r>
        <w:rPr>
          <w:rFonts w:ascii="Cambria" w:eastAsia="Cambria" w:hAnsi="Cambria" w:cs="Cambria"/>
        </w:rPr>
        <w:t xml:space="preserve">) </w:t>
      </w:r>
      <w:r>
        <w:rPr>
          <w:rFonts w:ascii="Cambria" w:eastAsia="Cambria" w:hAnsi="Cambria" w:cs="Cambria"/>
          <w:i/>
        </w:rPr>
        <w:t>&lt; K</w:t>
      </w:r>
      <w:r>
        <w:rPr>
          <w:rFonts w:ascii="Cambria" w:eastAsia="Cambria" w:hAnsi="Cambria" w:cs="Cambria"/>
        </w:rPr>
        <w:t>]</w:t>
      </w:r>
    </w:p>
    <w:p w:rsidR="00EE13F6" w:rsidRDefault="002E5BC4">
      <w:pPr>
        <w:spacing w:after="450" w:line="264" w:lineRule="auto"/>
        <w:ind w:left="-5" w:right="468" w:hanging="10"/>
        <w:jc w:val="both"/>
      </w:pPr>
      <w:r>
        <w:rPr>
          <w:rFonts w:ascii="Cambria" w:eastAsia="Cambria" w:hAnsi="Cambria" w:cs="Cambria"/>
        </w:rPr>
        <w:t xml:space="preserve">If we designate by </w:t>
      </w:r>
      <w:r>
        <w:rPr>
          <w:rFonts w:ascii="Cambria" w:eastAsia="Cambria" w:hAnsi="Cambria" w:cs="Cambria"/>
          <w:i/>
        </w:rPr>
        <w:t>τ</w:t>
      </w:r>
      <w:r>
        <w:rPr>
          <w:rFonts w:ascii="Cambria" w:eastAsia="Cambria" w:hAnsi="Cambria" w:cs="Cambria"/>
          <w:i/>
          <w:vertAlign w:val="subscript"/>
        </w:rPr>
        <w:t xml:space="preserve">b </w:t>
      </w:r>
      <w:r>
        <w:rPr>
          <w:rFonts w:ascii="Cambria" w:eastAsia="Cambria" w:hAnsi="Cambria" w:cs="Cambria"/>
        </w:rPr>
        <w:t xml:space="preserve">the ”stopping time” or first hitting time </w:t>
      </w:r>
      <w:r>
        <w:rPr>
          <w:rFonts w:ascii="Cambria" w:eastAsia="Cambria" w:hAnsi="Cambria" w:cs="Cambria"/>
          <w:i/>
        </w:rPr>
        <w:t xml:space="preserve">t </w:t>
      </w:r>
      <w:r>
        <w:rPr>
          <w:rFonts w:ascii="Cambria" w:eastAsia="Cambria" w:hAnsi="Cambria" w:cs="Cambria"/>
        </w:rPr>
        <w:t xml:space="preserve">of the Brownian motion </w:t>
      </w:r>
      <w:r>
        <w:rPr>
          <w:rFonts w:ascii="Cambria" w:eastAsia="Cambria" w:hAnsi="Cambria" w:cs="Cambria"/>
          <w:i/>
        </w:rPr>
        <w:t>W</w:t>
      </w:r>
      <w:r>
        <w:rPr>
          <w:rFonts w:ascii="Cambria" w:eastAsia="Cambria" w:hAnsi="Cambria" w:cs="Cambria"/>
        </w:rPr>
        <w:t>(</w:t>
      </w:r>
      <w:r>
        <w:rPr>
          <w:rFonts w:ascii="Cambria" w:eastAsia="Cambria" w:hAnsi="Cambria" w:cs="Cambria"/>
          <w:i/>
        </w:rPr>
        <w:t>t</w:t>
      </w:r>
      <w:r>
        <w:rPr>
          <w:rFonts w:ascii="Cambria" w:eastAsia="Cambria" w:hAnsi="Cambria" w:cs="Cambria"/>
        </w:rPr>
        <w:t xml:space="preserve">) with drift </w:t>
      </w:r>
      <w:r>
        <w:rPr>
          <w:rFonts w:ascii="Cambria" w:eastAsia="Cambria" w:hAnsi="Cambria" w:cs="Cambria"/>
          <w:i/>
        </w:rPr>
        <w:t>a</w:t>
      </w:r>
      <w:r>
        <w:rPr>
          <w:rFonts w:ascii="Cambria" w:eastAsia="Cambria" w:hAnsi="Cambria" w:cs="Cambria"/>
        </w:rPr>
        <w:t>(</w:t>
      </w:r>
      <w:r>
        <w:rPr>
          <w:rFonts w:ascii="Cambria" w:eastAsia="Cambria" w:hAnsi="Cambria" w:cs="Cambria"/>
          <w:i/>
        </w:rPr>
        <w:t>t</w:t>
      </w:r>
      <w:r>
        <w:rPr>
          <w:rFonts w:ascii="Cambria" w:eastAsia="Cambria" w:hAnsi="Cambria" w:cs="Cambria"/>
        </w:rPr>
        <w:t>) = (</w:t>
      </w:r>
      <w:r>
        <w:rPr>
          <w:rFonts w:ascii="Cambria" w:eastAsia="Cambria" w:hAnsi="Cambria" w:cs="Cambria"/>
          <w:i/>
        </w:rPr>
        <w:t xml:space="preserve">r </w:t>
      </w:r>
      <w:r>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d </w:t>
      </w:r>
      <w:r>
        <w:rPr>
          <w:rFonts w:ascii="Cambria" w:eastAsia="Cambria" w:hAnsi="Cambria" w:cs="Cambria"/>
        </w:rPr>
        <w:t>−</w:t>
      </w:r>
      <w:r>
        <w:rPr>
          <w:rFonts w:ascii="Cambria" w:eastAsia="Cambria" w:hAnsi="Cambria" w:cs="Cambria"/>
        </w:rPr>
        <w:t xml:space="preserve"> 0</w:t>
      </w:r>
      <w:r>
        <w:rPr>
          <w:rFonts w:ascii="Cambria" w:eastAsia="Cambria" w:hAnsi="Cambria" w:cs="Cambria"/>
          <w:i/>
        </w:rPr>
        <w:t>.</w:t>
      </w:r>
      <w:r>
        <w:rPr>
          <w:rFonts w:ascii="Cambria" w:eastAsia="Cambria" w:hAnsi="Cambria" w:cs="Cambria"/>
        </w:rPr>
        <w:t>5</w:t>
      </w:r>
      <w:r>
        <w:rPr>
          <w:rFonts w:ascii="Cambria" w:eastAsia="Cambria" w:hAnsi="Cambria" w:cs="Cambria"/>
          <w:i/>
        </w:rPr>
        <w:t>σ</w:t>
      </w:r>
      <w:r>
        <w:rPr>
          <w:rFonts w:ascii="Cambria" w:eastAsia="Cambria" w:hAnsi="Cambria" w:cs="Cambria"/>
          <w:vertAlign w:val="superscript"/>
        </w:rPr>
        <w:t>2</w:t>
      </w:r>
      <w:r>
        <w:rPr>
          <w:rFonts w:ascii="Cambria" w:eastAsia="Cambria" w:hAnsi="Cambria" w:cs="Cambria"/>
        </w:rPr>
        <w:t>)</w:t>
      </w:r>
      <w:r>
        <w:rPr>
          <w:rFonts w:ascii="Cambria" w:eastAsia="Cambria" w:hAnsi="Cambria" w:cs="Cambria"/>
          <w:i/>
        </w:rPr>
        <w:t xml:space="preserve">t </w:t>
      </w:r>
      <w:r>
        <w:rPr>
          <w:rFonts w:ascii="Cambria" w:eastAsia="Cambria" w:hAnsi="Cambria" w:cs="Cambria"/>
        </w:rPr>
        <w:t xml:space="preserve">and standard deviation </w:t>
      </w:r>
      <w:r>
        <w:rPr>
          <w:rFonts w:ascii="Cambria" w:eastAsia="Cambria" w:hAnsi="Cambria" w:cs="Cambria"/>
          <w:i/>
        </w:rPr>
        <w:t xml:space="preserve">σ </w:t>
      </w:r>
      <w:r>
        <w:rPr>
          <w:rFonts w:ascii="Cambria" w:eastAsia="Cambria" w:hAnsi="Cambria" w:cs="Cambria"/>
        </w:rPr>
        <w:t>such that:</w:t>
      </w:r>
    </w:p>
    <w:p w:rsidR="00EE13F6" w:rsidRDefault="002E5BC4">
      <w:pPr>
        <w:spacing w:after="288"/>
        <w:ind w:left="10" w:right="483" w:hanging="10"/>
        <w:jc w:val="center"/>
      </w:pPr>
      <w:r>
        <w:rPr>
          <w:rFonts w:ascii="Cambria" w:eastAsia="Cambria" w:hAnsi="Cambria" w:cs="Cambria"/>
          <w:i/>
        </w:rPr>
        <w:t>τ</w:t>
      </w:r>
      <w:r>
        <w:rPr>
          <w:rFonts w:ascii="Cambria" w:eastAsia="Cambria" w:hAnsi="Cambria" w:cs="Cambria"/>
          <w:i/>
          <w:vertAlign w:val="subscript"/>
        </w:rPr>
        <w:t xml:space="preserve">b </w:t>
      </w:r>
      <w:r>
        <w:rPr>
          <w:rFonts w:ascii="Cambria" w:eastAsia="Cambria" w:hAnsi="Cambria" w:cs="Cambria"/>
        </w:rPr>
        <w:t>= inf[</w:t>
      </w:r>
      <w:r>
        <w:rPr>
          <w:rFonts w:ascii="Cambria" w:eastAsia="Cambria" w:hAnsi="Cambria" w:cs="Cambria"/>
          <w:i/>
        </w:rPr>
        <w:t>t</w:t>
      </w:r>
      <w:r>
        <w:rPr>
          <w:rFonts w:ascii="Cambria" w:eastAsia="Cambria" w:hAnsi="Cambria" w:cs="Cambria"/>
        </w:rPr>
        <w:t>;</w:t>
      </w:r>
      <w:r>
        <w:rPr>
          <w:rFonts w:ascii="Cambria" w:eastAsia="Cambria" w:hAnsi="Cambria" w:cs="Cambria"/>
          <w:i/>
        </w:rPr>
        <w:t>W</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at &lt; b</w:t>
      </w:r>
      <w:r>
        <w:rPr>
          <w:rFonts w:ascii="Cambria" w:eastAsia="Cambria" w:hAnsi="Cambria" w:cs="Cambria"/>
        </w:rPr>
        <w:t>]</w:t>
      </w:r>
    </w:p>
    <w:p w:rsidR="00EE13F6" w:rsidRDefault="002E5BC4">
      <w:pPr>
        <w:spacing w:after="418" w:line="264" w:lineRule="auto"/>
        <w:ind w:left="-5" w:right="468" w:hanging="10"/>
        <w:jc w:val="both"/>
      </w:pPr>
      <w:r>
        <w:rPr>
          <w:rFonts w:ascii="Cambria" w:eastAsia="Cambria" w:hAnsi="Cambria" w:cs="Cambria"/>
        </w:rPr>
        <w:t>We know from the general properties of the brownian motion process that;</w:t>
      </w:r>
    </w:p>
    <w:p w:rsidR="00EE13F6" w:rsidRDefault="002E5BC4">
      <w:pPr>
        <w:spacing w:before="65" w:after="51" w:line="265" w:lineRule="auto"/>
        <w:ind w:left="10" w:right="483" w:hanging="10"/>
        <w:jc w:val="center"/>
      </w:pPr>
      <w:r>
        <w:rPr>
          <w:noProof/>
        </w:rPr>
        <mc:AlternateContent>
          <mc:Choice Requires="wpg">
            <w:drawing>
              <wp:anchor distT="0" distB="0" distL="114300" distR="114300" simplePos="0" relativeHeight="251665408" behindDoc="0" locked="0" layoutInCell="1" allowOverlap="1">
                <wp:simplePos x="0" y="0"/>
                <wp:positionH relativeFrom="column">
                  <wp:posOffset>3247544</wp:posOffset>
                </wp:positionH>
                <wp:positionV relativeFrom="paragraph">
                  <wp:posOffset>-41150</wp:posOffset>
                </wp:positionV>
                <wp:extent cx="461086" cy="5537"/>
                <wp:effectExtent l="0" t="0" r="0" b="0"/>
                <wp:wrapNone/>
                <wp:docPr id="194408" name="Group 194408"/>
                <wp:cNvGraphicFramePr/>
                <a:graphic xmlns:a="http://schemas.openxmlformats.org/drawingml/2006/main">
                  <a:graphicData uri="http://schemas.microsoft.com/office/word/2010/wordprocessingGroup">
                    <wpg:wgp>
                      <wpg:cNvGrpSpPr/>
                      <wpg:grpSpPr>
                        <a:xfrm>
                          <a:off x="0" y="0"/>
                          <a:ext cx="461086" cy="5537"/>
                          <a:chOff x="0" y="0"/>
                          <a:chExt cx="461086" cy="5537"/>
                        </a:xfrm>
                      </wpg:grpSpPr>
                      <wps:wsp>
                        <wps:cNvPr id="15536" name="Shape 15536"/>
                        <wps:cNvSpPr/>
                        <wps:spPr>
                          <a:xfrm>
                            <a:off x="0" y="0"/>
                            <a:ext cx="461086" cy="0"/>
                          </a:xfrm>
                          <a:custGeom>
                            <a:avLst/>
                            <a:gdLst/>
                            <a:ahLst/>
                            <a:cxnLst/>
                            <a:rect l="0" t="0" r="0" b="0"/>
                            <a:pathLst>
                              <a:path w="461086">
                                <a:moveTo>
                                  <a:pt x="0" y="0"/>
                                </a:moveTo>
                                <a:lnTo>
                                  <a:pt x="461086" y="0"/>
                                </a:lnTo>
                              </a:path>
                            </a:pathLst>
                          </a:custGeom>
                          <a:ln w="5537"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EEDB15" id="Group 194408" o:spid="_x0000_s1026" style="position:absolute;margin-left:255.7pt;margin-top:-3.25pt;width:36.3pt;height:.45pt;z-index:251665408" coordsize="461086,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">
                <v:shape id="Shape 15536" o:spid="_x0000_s1027" style="position:absolute;width:461086;height:0;visibility:visible;mso-wrap-style:square;v-text-anchor:top" coordsize="461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mMckA&#10;AADeAAAADwAAAGRycy9kb3ducmV2LnhtbESPT2vCQBDF7wW/wzKCt7qJotjUVWJFKPTkH1p6m2bH&#10;ZDE7m2ZXTfvp3YLQ2wzvvd+8mS87W4sLtd44VpAOExDEhdOGSwWH/eZxBsIHZI21Y1LwQx6Wi97D&#10;HDPtrrylyy6UIkLYZ6igCqHJpPRFRRb90DXEUTu61mKIa1tK3eI1wm0tR0kylRYNxwsVNvRSUXHa&#10;nW2kvL2Pn7b7z+77d5V+rHNzWpmvRKlBv8ufQQTqwr/5nn7Vsf5kMp7C3ztxBr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BmMckAAADeAAAADwAAAAAAAAAAAAAAAACYAgAA&#10;ZHJzL2Rvd25yZXYueG1sUEsFBgAAAAAEAAQA9QAAAI4DAAAAAA==&#10;" path="m,l461086,e" filled="f" strokeweight=".15381mm">
                  <v:stroke miterlimit="83231f" joinstyle="miter"/>
                  <v:path arrowok="t" textboxrect="0,0,461086,0"/>
                </v:shape>
              </v:group>
            </w:pict>
          </mc:Fallback>
        </mc:AlternateContent>
      </w: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[exp(−</w:t>
      </w:r>
      <w:r>
        <w:rPr>
          <w:rFonts w:ascii="Cambria" w:eastAsia="Cambria" w:hAnsi="Cambria" w:cs="Cambria"/>
          <w:i/>
        </w:rPr>
        <w:t>ατ</w:t>
      </w:r>
      <w:r>
        <w:rPr>
          <w:rFonts w:ascii="Cambria" w:eastAsia="Cambria" w:hAnsi="Cambria" w:cs="Cambria"/>
          <w:i/>
          <w:vertAlign w:val="subscript"/>
        </w:rPr>
        <w:t>b</w:t>
      </w:r>
      <w:r>
        <w:rPr>
          <w:rFonts w:ascii="Cambria" w:eastAsia="Cambria" w:hAnsi="Cambria" w:cs="Cambria"/>
        </w:rPr>
        <w:t>)] =</w:t>
      </w:r>
      <w:r>
        <w:rPr>
          <w:rFonts w:ascii="Cambria" w:eastAsia="Cambria" w:hAnsi="Cambria" w:cs="Cambria"/>
        </w:rPr>
        <w:t xml:space="preserve"> exp[</w:t>
      </w:r>
      <w:r>
        <w:rPr>
          <w:rFonts w:ascii="Cambria" w:eastAsia="Cambria" w:hAnsi="Cambria" w:cs="Cambria"/>
          <w:i/>
        </w:rPr>
        <w:t>b</w:t>
      </w:r>
      <w:r>
        <w:rPr>
          <w:rFonts w:ascii="Cambria" w:eastAsia="Cambria" w:hAnsi="Cambria" w:cs="Cambria"/>
        </w:rPr>
        <w:t>(</w:t>
      </w:r>
      <w:r>
        <w:rPr>
          <w:rFonts w:ascii="Cambria" w:eastAsia="Cambria" w:hAnsi="Cambria" w:cs="Cambria"/>
          <w:i/>
        </w:rPr>
        <w:t xml:space="preserve">a </w:t>
      </w:r>
      <w:r>
        <w:rPr>
          <w:rFonts w:ascii="Cambria" w:eastAsia="Cambria" w:hAnsi="Cambria" w:cs="Cambria"/>
        </w:rPr>
        <w:t xml:space="preserve">+ </w:t>
      </w:r>
      <w:r>
        <w:rPr>
          <w:rFonts w:ascii="Cambria" w:eastAsia="Cambria" w:hAnsi="Cambria" w:cs="Cambria"/>
          <w:sz w:val="34"/>
          <w:vertAlign w:val="superscript"/>
        </w:rPr>
        <w:t>p</w:t>
      </w:r>
      <w:r>
        <w:rPr>
          <w:rFonts w:ascii="Cambria" w:eastAsia="Cambria" w:hAnsi="Cambria" w:cs="Cambria"/>
          <w:i/>
        </w:rPr>
        <w:t>a</w:t>
      </w:r>
      <w:r>
        <w:rPr>
          <w:rFonts w:ascii="Cambria" w:eastAsia="Cambria" w:hAnsi="Cambria" w:cs="Cambria"/>
          <w:vertAlign w:val="superscript"/>
        </w:rPr>
        <w:t xml:space="preserve">2 </w:t>
      </w:r>
      <w:r>
        <w:rPr>
          <w:rFonts w:ascii="Cambria" w:eastAsia="Cambria" w:hAnsi="Cambria" w:cs="Cambria"/>
        </w:rPr>
        <w:t>+ 2</w:t>
      </w:r>
      <w:r>
        <w:rPr>
          <w:rFonts w:ascii="Cambria" w:eastAsia="Cambria" w:hAnsi="Cambria" w:cs="Cambria"/>
          <w:i/>
        </w:rPr>
        <w:t>α</w:t>
      </w:r>
      <w:r>
        <w:rPr>
          <w:rFonts w:ascii="Cambria" w:eastAsia="Cambria" w:hAnsi="Cambria" w:cs="Cambria"/>
        </w:rPr>
        <w:t xml:space="preserve">)] = </w:t>
      </w:r>
      <w:r>
        <w:rPr>
          <w:rFonts w:ascii="Cambria" w:eastAsia="Cambria" w:hAnsi="Cambria" w:cs="Cambria"/>
          <w:i/>
        </w:rPr>
        <w:t>L</w:t>
      </w:r>
      <w:r>
        <w:rPr>
          <w:rFonts w:ascii="Cambria" w:eastAsia="Cambria" w:hAnsi="Cambria" w:cs="Cambria"/>
        </w:rPr>
        <w:t>(</w:t>
      </w:r>
      <w:r>
        <w:rPr>
          <w:rFonts w:ascii="Cambria" w:eastAsia="Cambria" w:hAnsi="Cambria" w:cs="Cambria"/>
          <w:i/>
        </w:rPr>
        <w:t>α,b,a</w:t>
      </w:r>
      <w:r>
        <w:rPr>
          <w:rFonts w:ascii="Cambria" w:eastAsia="Cambria" w:hAnsi="Cambria" w:cs="Cambria"/>
        </w:rPr>
        <w:t>)</w:t>
      </w:r>
    </w:p>
    <w:p w:rsidR="00EE13F6" w:rsidRDefault="002E5BC4">
      <w:pPr>
        <w:spacing w:after="192" w:line="264" w:lineRule="auto"/>
        <w:ind w:left="-5" w:right="468" w:hanging="10"/>
        <w:jc w:val="both"/>
      </w:pPr>
      <w:r>
        <w:rPr>
          <w:rFonts w:ascii="Cambria" w:eastAsia="Cambria" w:hAnsi="Cambria" w:cs="Cambria"/>
        </w:rPr>
        <w:t xml:space="preserve">with </w:t>
      </w:r>
      <w:r>
        <w:rPr>
          <w:rFonts w:ascii="Cambria" w:eastAsia="Cambria" w:hAnsi="Cambria" w:cs="Cambria"/>
          <w:i/>
        </w:rPr>
        <w:t>L</w:t>
      </w:r>
      <w:r>
        <w:rPr>
          <w:rFonts w:ascii="Cambria" w:eastAsia="Cambria" w:hAnsi="Cambria" w:cs="Cambria"/>
        </w:rPr>
        <w:t>(</w:t>
      </w:r>
      <w:r>
        <w:rPr>
          <w:rFonts w:ascii="Cambria" w:eastAsia="Cambria" w:hAnsi="Cambria" w:cs="Cambria"/>
          <w:i/>
        </w:rPr>
        <w:t>α,b,a</w:t>
      </w:r>
      <w:r>
        <w:rPr>
          <w:rFonts w:ascii="Cambria" w:eastAsia="Cambria" w:hAnsi="Cambria" w:cs="Cambria"/>
        </w:rPr>
        <w:t>) being the Laplace transform Φ</w:t>
      </w:r>
      <w:r>
        <w:rPr>
          <w:rFonts w:ascii="Cambria" w:eastAsia="Cambria" w:hAnsi="Cambria" w:cs="Cambria"/>
          <w:i/>
          <w:vertAlign w:val="subscript"/>
        </w:rPr>
        <w:t>τ</w:t>
      </w:r>
      <w:r>
        <w:rPr>
          <w:rFonts w:ascii="Cambria" w:eastAsia="Cambria" w:hAnsi="Cambria" w:cs="Cambria"/>
          <w:i/>
          <w:sz w:val="18"/>
          <w:vertAlign w:val="subscript"/>
        </w:rPr>
        <w:t>b</w:t>
      </w:r>
      <w:r>
        <w:rPr>
          <w:rFonts w:ascii="Cambria" w:eastAsia="Cambria" w:hAnsi="Cambria" w:cs="Cambria"/>
        </w:rPr>
        <w:t>(</w:t>
      </w:r>
      <w:r>
        <w:rPr>
          <w:rFonts w:ascii="Cambria" w:eastAsia="Cambria" w:hAnsi="Cambria" w:cs="Cambria"/>
          <w:i/>
        </w:rPr>
        <w:t>α</w:t>
      </w:r>
      <w:r>
        <w:rPr>
          <w:rFonts w:ascii="Cambria" w:eastAsia="Cambria" w:hAnsi="Cambria" w:cs="Cambria"/>
        </w:rPr>
        <w:t>)</w:t>
      </w:r>
    </w:p>
    <w:p w:rsidR="00EE13F6" w:rsidRDefault="002E5BC4">
      <w:pPr>
        <w:spacing w:after="259" w:line="264" w:lineRule="auto"/>
        <w:ind w:left="-5" w:right="468" w:hanging="10"/>
        <w:jc w:val="both"/>
      </w:pPr>
      <w:r>
        <w:rPr>
          <w:rFonts w:ascii="Cambria" w:eastAsia="Cambria" w:hAnsi="Cambria" w:cs="Cambria"/>
        </w:rPr>
        <w:t xml:space="preserve">We consider the particular case where </w:t>
      </w:r>
      <w:r>
        <w:rPr>
          <w:rFonts w:ascii="Cambria" w:eastAsia="Cambria" w:hAnsi="Cambria" w:cs="Cambria"/>
          <w:i/>
        </w:rPr>
        <w:t xml:space="preserve">α </w:t>
      </w:r>
      <w:r>
        <w:rPr>
          <w:rFonts w:ascii="Cambria" w:eastAsia="Cambria" w:hAnsi="Cambria" w:cs="Cambria"/>
        </w:rPr>
        <w:t xml:space="preserve">= </w:t>
      </w:r>
      <w:r>
        <w:rPr>
          <w:rFonts w:ascii="Cambria" w:eastAsia="Cambria" w:hAnsi="Cambria" w:cs="Cambria"/>
          <w:i/>
        </w:rPr>
        <w:t xml:space="preserve">r </w:t>
      </w:r>
      <w:r>
        <w:rPr>
          <w:rFonts w:ascii="Cambria" w:eastAsia="Cambria" w:hAnsi="Cambria" w:cs="Cambria"/>
        </w:rPr>
        <w:t>which comes to calculate:</w:t>
      </w:r>
    </w:p>
    <w:p w:rsidR="00EE13F6" w:rsidRDefault="002E5BC4">
      <w:pPr>
        <w:spacing w:after="245" w:line="265" w:lineRule="auto"/>
        <w:ind w:left="10" w:right="483" w:hanging="10"/>
        <w:jc w:val="center"/>
      </w:pP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[exp(−</w:t>
      </w:r>
      <w:r>
        <w:rPr>
          <w:rFonts w:ascii="Cambria" w:eastAsia="Cambria" w:hAnsi="Cambria" w:cs="Cambria"/>
          <w:i/>
        </w:rPr>
        <w:t>rτ</w:t>
      </w:r>
      <w:r>
        <w:rPr>
          <w:rFonts w:ascii="Cambria" w:eastAsia="Cambria" w:hAnsi="Cambria" w:cs="Cambria"/>
          <w:i/>
          <w:vertAlign w:val="subscript"/>
        </w:rPr>
        <w:t>b</w:t>
      </w:r>
      <w:r>
        <w:rPr>
          <w:rFonts w:ascii="Cambria" w:eastAsia="Cambria" w:hAnsi="Cambria" w:cs="Cambria"/>
        </w:rPr>
        <w:t>)]</w:t>
      </w:r>
    </w:p>
    <w:p w:rsidR="00EE13F6" w:rsidRDefault="002E5BC4">
      <w:pPr>
        <w:spacing w:after="135" w:line="264" w:lineRule="auto"/>
        <w:ind w:left="-5" w:right="468" w:hanging="10"/>
        <w:jc w:val="both"/>
      </w:pPr>
      <w:r>
        <w:rPr>
          <w:rFonts w:ascii="Cambria" w:eastAsia="Cambria" w:hAnsi="Cambria" w:cs="Cambria"/>
        </w:rPr>
        <w:t>which is the discount factor to apply at the time of default.</w:t>
      </w:r>
    </w:p>
    <w:p w:rsidR="00EE13F6" w:rsidRDefault="002E5BC4">
      <w:pPr>
        <w:spacing w:after="62" w:line="264" w:lineRule="auto"/>
        <w:ind w:left="-5" w:right="468" w:hanging="10"/>
        <w:jc w:val="both"/>
      </w:pPr>
      <w:r>
        <w:rPr>
          <w:rFonts w:ascii="Cambria" w:eastAsia="Cambria" w:hAnsi="Cambria" w:cs="Cambria"/>
        </w:rPr>
        <w:t>From equation (8) above, the bankruptcy condition can we written in terms of first hitting time:</w:t>
      </w:r>
    </w:p>
    <w:p w:rsidR="00EE13F6" w:rsidRDefault="002E5BC4">
      <w:pPr>
        <w:spacing w:after="305"/>
        <w:ind w:left="2040"/>
      </w:pPr>
      <w:r>
        <w:rPr>
          <w:noProof/>
        </w:rPr>
        <w:drawing>
          <wp:inline distT="0" distB="0" distL="0" distR="0">
            <wp:extent cx="3288792" cy="332232"/>
            <wp:effectExtent l="0" t="0" r="0" b="0"/>
            <wp:docPr id="221951" name="Picture 221951"/>
            <wp:cNvGraphicFramePr/>
            <a:graphic xmlns:a="http://schemas.openxmlformats.org/drawingml/2006/main">
              <a:graphicData uri="http://schemas.openxmlformats.org/drawingml/2006/picture">
                <pic:pic xmlns:pic="http://schemas.openxmlformats.org/drawingml/2006/picture">
                  <pic:nvPicPr>
                    <pic:cNvPr id="221951" name="Picture 221951"/>
                    <pic:cNvPicPr/>
                  </pic:nvPicPr>
                  <pic:blipFill>
                    <a:blip r:embed="rId168"/>
                    <a:stretch>
                      <a:fillRect/>
                    </a:stretch>
                  </pic:blipFill>
                  <pic:spPr>
                    <a:xfrm>
                      <a:off x="0" y="0"/>
                      <a:ext cx="3288792" cy="332232"/>
                    </a:xfrm>
                    <a:prstGeom prst="rect">
                      <a:avLst/>
                    </a:prstGeom>
                  </pic:spPr>
                </pic:pic>
              </a:graphicData>
            </a:graphic>
          </wp:inline>
        </w:drawing>
      </w:r>
    </w:p>
    <w:p w:rsidR="00EE13F6" w:rsidRDefault="002E5BC4">
      <w:pPr>
        <w:spacing w:after="0" w:line="264" w:lineRule="auto"/>
        <w:ind w:left="-5" w:right="2923" w:hanging="10"/>
        <w:jc w:val="both"/>
      </w:pPr>
      <w:r>
        <w:rPr>
          <w:rFonts w:ascii="Cambria" w:eastAsia="Cambria" w:hAnsi="Cambria" w:cs="Cambria"/>
        </w:rPr>
        <w:t>becomes</w:t>
      </w:r>
    </w:p>
    <w:p w:rsidR="00EE13F6" w:rsidRDefault="002E5BC4">
      <w:pPr>
        <w:spacing w:after="144"/>
        <w:ind w:left="2360"/>
      </w:pPr>
      <w:r>
        <w:rPr>
          <w:noProof/>
        </w:rPr>
        <w:drawing>
          <wp:inline distT="0" distB="0" distL="0" distR="0">
            <wp:extent cx="2837688" cy="344424"/>
            <wp:effectExtent l="0" t="0" r="0" b="0"/>
            <wp:docPr id="221952" name="Picture 221952"/>
            <wp:cNvGraphicFramePr/>
            <a:graphic xmlns:a="http://schemas.openxmlformats.org/drawingml/2006/main">
              <a:graphicData uri="http://schemas.openxmlformats.org/drawingml/2006/picture">
                <pic:pic xmlns:pic="http://schemas.openxmlformats.org/drawingml/2006/picture">
                  <pic:nvPicPr>
                    <pic:cNvPr id="221952" name="Picture 221952"/>
                    <pic:cNvPicPr/>
                  </pic:nvPicPr>
                  <pic:blipFill>
                    <a:blip r:embed="rId169"/>
                    <a:stretch>
                      <a:fillRect/>
                    </a:stretch>
                  </pic:blipFill>
                  <pic:spPr>
                    <a:xfrm>
                      <a:off x="0" y="0"/>
                      <a:ext cx="2837688" cy="344424"/>
                    </a:xfrm>
                    <a:prstGeom prst="rect">
                      <a:avLst/>
                    </a:prstGeom>
                  </pic:spPr>
                </pic:pic>
              </a:graphicData>
            </a:graphic>
          </wp:inline>
        </w:drawing>
      </w:r>
    </w:p>
    <w:p w:rsidR="00EE13F6" w:rsidRDefault="002E5BC4">
      <w:pPr>
        <w:spacing w:after="0" w:line="264" w:lineRule="auto"/>
        <w:ind w:left="-5" w:right="4534" w:hanging="10"/>
        <w:jc w:val="both"/>
      </w:pPr>
      <w:r>
        <w:rPr>
          <w:rFonts w:ascii="Cambria" w:eastAsia="Cambria" w:hAnsi="Cambria" w:cs="Cambria"/>
        </w:rPr>
        <w:t>We recognise the first hitting time at:</w:t>
      </w:r>
    </w:p>
    <w:p w:rsidR="00EE13F6" w:rsidRDefault="002E5BC4">
      <w:pPr>
        <w:spacing w:after="74"/>
        <w:ind w:left="4000"/>
      </w:pPr>
      <w:r>
        <w:rPr>
          <w:noProof/>
        </w:rPr>
        <w:drawing>
          <wp:inline distT="0" distB="0" distL="0" distR="0">
            <wp:extent cx="783336" cy="310896"/>
            <wp:effectExtent l="0" t="0" r="0" b="0"/>
            <wp:docPr id="221953" name="Picture 221953"/>
            <wp:cNvGraphicFramePr/>
            <a:graphic xmlns:a="http://schemas.openxmlformats.org/drawingml/2006/main">
              <a:graphicData uri="http://schemas.openxmlformats.org/drawingml/2006/picture">
                <pic:pic xmlns:pic="http://schemas.openxmlformats.org/drawingml/2006/picture">
                  <pic:nvPicPr>
                    <pic:cNvPr id="221953" name="Picture 221953"/>
                    <pic:cNvPicPr/>
                  </pic:nvPicPr>
                  <pic:blipFill>
                    <a:blip r:embed="rId170"/>
                    <a:stretch>
                      <a:fillRect/>
                    </a:stretch>
                  </pic:blipFill>
                  <pic:spPr>
                    <a:xfrm>
                      <a:off x="0" y="0"/>
                      <a:ext cx="783336" cy="310896"/>
                    </a:xfrm>
                    <a:prstGeom prst="rect">
                      <a:avLst/>
                    </a:prstGeom>
                  </pic:spPr>
                </pic:pic>
              </a:graphicData>
            </a:graphic>
          </wp:inline>
        </w:drawing>
      </w:r>
    </w:p>
    <w:p w:rsidR="00EE13F6" w:rsidRDefault="002E5BC4">
      <w:pPr>
        <w:spacing w:after="91" w:line="264" w:lineRule="auto"/>
        <w:ind w:left="-5" w:right="468" w:hanging="10"/>
        <w:jc w:val="both"/>
      </w:pPr>
      <w:r>
        <w:rPr>
          <w:rFonts w:ascii="Cambria" w:eastAsia="Cambria" w:hAnsi="Cambria" w:cs="Cambria"/>
        </w:rPr>
        <w:t>of the motion brownian process with drift coefficient</w:t>
      </w:r>
      <w:r>
        <w:rPr>
          <w:noProof/>
        </w:rPr>
        <w:drawing>
          <wp:inline distT="0" distB="0" distL="0" distR="0">
            <wp:extent cx="886968" cy="210312"/>
            <wp:effectExtent l="0" t="0" r="0" b="0"/>
            <wp:docPr id="221954" name="Picture 221954"/>
            <wp:cNvGraphicFramePr/>
            <a:graphic xmlns:a="http://schemas.openxmlformats.org/drawingml/2006/main">
              <a:graphicData uri="http://schemas.openxmlformats.org/drawingml/2006/picture">
                <pic:pic xmlns:pic="http://schemas.openxmlformats.org/drawingml/2006/picture">
                  <pic:nvPicPr>
                    <pic:cNvPr id="221954" name="Picture 221954"/>
                    <pic:cNvPicPr/>
                  </pic:nvPicPr>
                  <pic:blipFill>
                    <a:blip r:embed="rId171"/>
                    <a:stretch>
                      <a:fillRect/>
                    </a:stretch>
                  </pic:blipFill>
                  <pic:spPr>
                    <a:xfrm>
                      <a:off x="0" y="0"/>
                      <a:ext cx="886968" cy="210312"/>
                    </a:xfrm>
                    <a:prstGeom prst="rect">
                      <a:avLst/>
                    </a:prstGeom>
                  </pic:spPr>
                </pic:pic>
              </a:graphicData>
            </a:graphic>
          </wp:inline>
        </w:drawing>
      </w:r>
      <w:r>
        <w:rPr>
          <w:rFonts w:ascii="Cambria" w:eastAsia="Cambria" w:hAnsi="Cambria" w:cs="Cambria"/>
        </w:rPr>
        <w:t xml:space="preserve"> and</w:t>
      </w:r>
      <w:r>
        <w:rPr>
          <w:noProof/>
        </w:rPr>
        <w:drawing>
          <wp:inline distT="0" distB="0" distL="0" distR="0">
            <wp:extent cx="734568" cy="192025"/>
            <wp:effectExtent l="0" t="0" r="0" b="0"/>
            <wp:docPr id="221955" name="Picture 221955"/>
            <wp:cNvGraphicFramePr/>
            <a:graphic xmlns:a="http://schemas.openxmlformats.org/drawingml/2006/main">
              <a:graphicData uri="http://schemas.openxmlformats.org/drawingml/2006/picture">
                <pic:pic xmlns:pic="http://schemas.openxmlformats.org/drawingml/2006/picture">
                  <pic:nvPicPr>
                    <pic:cNvPr id="221955" name="Picture 221955"/>
                    <pic:cNvPicPr/>
                  </pic:nvPicPr>
                  <pic:blipFill>
                    <a:blip r:embed="rId172"/>
                    <a:stretch>
                      <a:fillRect/>
                    </a:stretch>
                  </pic:blipFill>
                  <pic:spPr>
                    <a:xfrm>
                      <a:off x="0" y="0"/>
                      <a:ext cx="734568" cy="192025"/>
                    </a:xfrm>
                    <a:prstGeom prst="rect">
                      <a:avLst/>
                    </a:prstGeom>
                  </pic:spPr>
                </pic:pic>
              </a:graphicData>
            </a:graphic>
          </wp:inline>
        </w:drawing>
      </w:r>
    </w:p>
    <w:p w:rsidR="00EE13F6" w:rsidRDefault="002E5BC4">
      <w:pPr>
        <w:spacing w:after="0" w:line="264" w:lineRule="auto"/>
        <w:ind w:left="-5" w:right="4323" w:hanging="10"/>
        <w:jc w:val="both"/>
      </w:pPr>
      <w:r>
        <w:rPr>
          <w:rFonts w:ascii="Cambria" w:eastAsia="Cambria" w:hAnsi="Cambria" w:cs="Cambria"/>
          <w:i/>
        </w:rPr>
        <w:t xml:space="preserve">x </w:t>
      </w:r>
      <w:r>
        <w:rPr>
          <w:rFonts w:ascii="Cambria" w:eastAsia="Cambria" w:hAnsi="Cambria" w:cs="Cambria"/>
        </w:rPr>
        <w:t>is defined as:</w:t>
      </w:r>
    </w:p>
    <w:p w:rsidR="00EE13F6" w:rsidRDefault="002E5BC4">
      <w:pPr>
        <w:tabs>
          <w:tab w:val="center" w:pos="4691"/>
          <w:tab w:val="center" w:pos="9221"/>
        </w:tabs>
        <w:spacing w:after="76" w:line="265" w:lineRule="auto"/>
      </w:pPr>
      <w:r>
        <w:lastRenderedPageBreak/>
        <w:tab/>
      </w:r>
      <w:r>
        <w:rPr>
          <w:noProof/>
        </w:rPr>
        <w:drawing>
          <wp:inline distT="0" distB="0" distL="0" distR="0">
            <wp:extent cx="1075944" cy="316992"/>
            <wp:effectExtent l="0" t="0" r="0" b="0"/>
            <wp:docPr id="221956" name="Picture 221956"/>
            <wp:cNvGraphicFramePr/>
            <a:graphic xmlns:a="http://schemas.openxmlformats.org/drawingml/2006/main">
              <a:graphicData uri="http://schemas.openxmlformats.org/drawingml/2006/picture">
                <pic:pic xmlns:pic="http://schemas.openxmlformats.org/drawingml/2006/picture">
                  <pic:nvPicPr>
                    <pic:cNvPr id="221956" name="Picture 221956"/>
                    <pic:cNvPicPr/>
                  </pic:nvPicPr>
                  <pic:blipFill>
                    <a:blip r:embed="rId173"/>
                    <a:stretch>
                      <a:fillRect/>
                    </a:stretch>
                  </pic:blipFill>
                  <pic:spPr>
                    <a:xfrm>
                      <a:off x="0" y="0"/>
                      <a:ext cx="1075944" cy="316992"/>
                    </a:xfrm>
                    <a:prstGeom prst="rect">
                      <a:avLst/>
                    </a:prstGeom>
                  </pic:spPr>
                </pic:pic>
              </a:graphicData>
            </a:graphic>
          </wp:inline>
        </w:drawing>
      </w:r>
      <w:r>
        <w:rPr>
          <w:rFonts w:ascii="Cambria" w:eastAsia="Cambria" w:hAnsi="Cambria" w:cs="Cambria"/>
        </w:rPr>
        <w:tab/>
        <w:t>(9)</w:t>
      </w:r>
    </w:p>
    <w:p w:rsidR="00EE13F6" w:rsidRDefault="002E5BC4">
      <w:pPr>
        <w:spacing w:after="0" w:line="264" w:lineRule="auto"/>
        <w:ind w:left="-5" w:right="4331" w:hanging="10"/>
        <w:jc w:val="both"/>
      </w:pPr>
      <w:r>
        <w:rPr>
          <w:rFonts w:ascii="Cambria" w:eastAsia="Cambria" w:hAnsi="Cambria" w:cs="Cambria"/>
        </w:rPr>
        <w:t xml:space="preserve">with </w:t>
      </w:r>
      <w:r>
        <w:rPr>
          <w:rFonts w:ascii="Cambria" w:eastAsia="Cambria" w:hAnsi="Cambria" w:cs="Cambria"/>
          <w:i/>
        </w:rPr>
        <w:t xml:space="preserve">a </w:t>
      </w:r>
      <w:r>
        <w:rPr>
          <w:rFonts w:ascii="Cambria" w:eastAsia="Cambria" w:hAnsi="Cambria" w:cs="Cambria"/>
        </w:rPr>
        <w:t>defined as:</w:t>
      </w:r>
    </w:p>
    <w:p w:rsidR="00EE13F6" w:rsidRDefault="002E5BC4">
      <w:pPr>
        <w:tabs>
          <w:tab w:val="center" w:pos="4687"/>
          <w:tab w:val="center" w:pos="9166"/>
        </w:tabs>
        <w:spacing w:after="187" w:line="265" w:lineRule="auto"/>
      </w:pPr>
      <w:r>
        <w:tab/>
      </w:r>
      <w:r>
        <w:rPr>
          <w:noProof/>
        </w:rPr>
        <w:drawing>
          <wp:inline distT="0" distB="0" distL="0" distR="0">
            <wp:extent cx="1069848" cy="313944"/>
            <wp:effectExtent l="0" t="0" r="0" b="0"/>
            <wp:docPr id="221957" name="Picture 221957"/>
            <wp:cNvGraphicFramePr/>
            <a:graphic xmlns:a="http://schemas.openxmlformats.org/drawingml/2006/main">
              <a:graphicData uri="http://schemas.openxmlformats.org/drawingml/2006/picture">
                <pic:pic xmlns:pic="http://schemas.openxmlformats.org/drawingml/2006/picture">
                  <pic:nvPicPr>
                    <pic:cNvPr id="221957" name="Picture 221957"/>
                    <pic:cNvPicPr/>
                  </pic:nvPicPr>
                  <pic:blipFill>
                    <a:blip r:embed="rId174"/>
                    <a:stretch>
                      <a:fillRect/>
                    </a:stretch>
                  </pic:blipFill>
                  <pic:spPr>
                    <a:xfrm>
                      <a:off x="0" y="0"/>
                      <a:ext cx="1069848" cy="313944"/>
                    </a:xfrm>
                    <a:prstGeom prst="rect">
                      <a:avLst/>
                    </a:prstGeom>
                  </pic:spPr>
                </pic:pic>
              </a:graphicData>
            </a:graphic>
          </wp:inline>
        </w:drawing>
      </w:r>
      <w:r>
        <w:rPr>
          <w:rFonts w:ascii="Cambria" w:eastAsia="Cambria" w:hAnsi="Cambria" w:cs="Cambria"/>
        </w:rPr>
        <w:tab/>
        <w:t>(10)</w:t>
      </w:r>
    </w:p>
    <w:p w:rsidR="00EE13F6" w:rsidRDefault="002E5BC4">
      <w:pPr>
        <w:spacing w:after="135" w:line="264" w:lineRule="auto"/>
        <w:ind w:left="-5" w:right="468" w:hanging="10"/>
        <w:jc w:val="both"/>
      </w:pPr>
      <w:r>
        <w:rPr>
          <w:rFonts w:ascii="Cambria" w:eastAsia="Cambria" w:hAnsi="Cambria" w:cs="Cambria"/>
        </w:rPr>
        <w:t>In the case, there is no dividend payment (</w:t>
      </w:r>
      <w:r>
        <w:rPr>
          <w:rFonts w:ascii="Cambria" w:eastAsia="Cambria" w:hAnsi="Cambria" w:cs="Cambria"/>
          <w:i/>
        </w:rPr>
        <w:t xml:space="preserve">d </w:t>
      </w:r>
      <w:r>
        <w:rPr>
          <w:rFonts w:ascii="Cambria" w:eastAsia="Cambria" w:hAnsi="Cambria" w:cs="Cambria"/>
        </w:rPr>
        <w:t xml:space="preserve">= 0), we find that </w:t>
      </w:r>
      <w:r>
        <w:rPr>
          <w:rFonts w:ascii="Cambria" w:eastAsia="Cambria" w:hAnsi="Cambria" w:cs="Cambria"/>
          <w:i/>
        </w:rPr>
        <w:t xml:space="preserve">x </w:t>
      </w:r>
      <w:r>
        <w:rPr>
          <w:rFonts w:ascii="Cambria" w:eastAsia="Cambria" w:hAnsi="Cambria" w:cs="Cambria"/>
        </w:rPr>
        <w:t>reduces to</w:t>
      </w:r>
      <w:r>
        <w:rPr>
          <w:noProof/>
        </w:rPr>
        <w:drawing>
          <wp:inline distT="0" distB="0" distL="0" distR="0">
            <wp:extent cx="396240" cy="179832"/>
            <wp:effectExtent l="0" t="0" r="0" b="0"/>
            <wp:docPr id="221958" name="Picture 221958"/>
            <wp:cNvGraphicFramePr/>
            <a:graphic xmlns:a="http://schemas.openxmlformats.org/drawingml/2006/main">
              <a:graphicData uri="http://schemas.openxmlformats.org/drawingml/2006/picture">
                <pic:pic xmlns:pic="http://schemas.openxmlformats.org/drawingml/2006/picture">
                  <pic:nvPicPr>
                    <pic:cNvPr id="221958" name="Picture 221958"/>
                    <pic:cNvPicPr/>
                  </pic:nvPicPr>
                  <pic:blipFill>
                    <a:blip r:embed="rId175"/>
                    <a:stretch>
                      <a:fillRect/>
                    </a:stretch>
                  </pic:blipFill>
                  <pic:spPr>
                    <a:xfrm>
                      <a:off x="0" y="0"/>
                      <a:ext cx="396240" cy="179832"/>
                    </a:xfrm>
                    <a:prstGeom prst="rect">
                      <a:avLst/>
                    </a:prstGeom>
                  </pic:spPr>
                </pic:pic>
              </a:graphicData>
            </a:graphic>
          </wp:inline>
        </w:drawing>
      </w:r>
      <w:r>
        <w:rPr>
          <w:rFonts w:ascii="Cambria" w:eastAsia="Cambria" w:hAnsi="Cambria" w:cs="Cambria"/>
        </w:rPr>
        <w:t>.</w:t>
      </w:r>
    </w:p>
    <w:p w:rsidR="00EE13F6" w:rsidRDefault="002E5BC4">
      <w:pPr>
        <w:spacing w:after="442" w:line="264" w:lineRule="auto"/>
        <w:ind w:left="-5" w:right="468" w:hanging="10"/>
        <w:jc w:val="both"/>
      </w:pPr>
      <w:r>
        <w:rPr>
          <w:rFonts w:ascii="Cambria" w:eastAsia="Cambria" w:hAnsi="Cambria" w:cs="Cambria"/>
        </w:rPr>
        <w:t>In order to be consistent with the existing literature, we will consider in fact that we have a drift proportional to the volatility such that we consider a bankruptcy tim</w:t>
      </w:r>
      <w:r>
        <w:rPr>
          <w:rFonts w:ascii="Cambria" w:eastAsia="Cambria" w:hAnsi="Cambria" w:cs="Cambria"/>
        </w:rPr>
        <w:t>e</w:t>
      </w:r>
    </w:p>
    <w:p w:rsidR="00EE13F6" w:rsidRDefault="002E5BC4">
      <w:pPr>
        <w:spacing w:after="128" w:line="265" w:lineRule="auto"/>
        <w:ind w:left="10" w:right="483" w:hanging="10"/>
        <w:jc w:val="center"/>
      </w:pPr>
      <w:r>
        <w:rPr>
          <w:rFonts w:ascii="Cambria" w:eastAsia="Cambria" w:hAnsi="Cambria" w:cs="Cambria"/>
          <w:i/>
        </w:rPr>
        <w:t>τ</w:t>
      </w:r>
      <w:r>
        <w:rPr>
          <w:rFonts w:ascii="Cambria" w:eastAsia="Cambria" w:hAnsi="Cambria" w:cs="Cambria"/>
          <w:i/>
          <w:vertAlign w:val="subscript"/>
        </w:rPr>
        <w:t xml:space="preserve">b </w:t>
      </w:r>
      <w:r>
        <w:rPr>
          <w:rFonts w:ascii="Cambria" w:eastAsia="Cambria" w:hAnsi="Cambria" w:cs="Cambria"/>
        </w:rPr>
        <w:t>= inf[</w:t>
      </w:r>
      <w:r>
        <w:rPr>
          <w:rFonts w:ascii="Cambria" w:eastAsia="Cambria" w:hAnsi="Cambria" w:cs="Cambria"/>
          <w:i/>
        </w:rPr>
        <w:t>t</w:t>
      </w:r>
      <w:r>
        <w:rPr>
          <w:rFonts w:ascii="Cambria" w:eastAsia="Cambria" w:hAnsi="Cambria" w:cs="Cambria"/>
        </w:rPr>
        <w:t>;</w:t>
      </w:r>
      <w:r>
        <w:rPr>
          <w:rFonts w:ascii="Cambria" w:eastAsia="Cambria" w:hAnsi="Cambria" w:cs="Cambria"/>
          <w:i/>
        </w:rPr>
        <w:t>W</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 xml:space="preserve">aσt </w:t>
      </w:r>
      <w:r>
        <w:rPr>
          <w:rFonts w:ascii="Cambria" w:eastAsia="Cambria" w:hAnsi="Cambria" w:cs="Cambria"/>
        </w:rPr>
        <w:t xml:space="preserve">≤ </w:t>
      </w:r>
      <w:r>
        <w:rPr>
          <w:rFonts w:ascii="Cambria" w:eastAsia="Cambria" w:hAnsi="Cambria" w:cs="Cambria"/>
          <w:i/>
        </w:rPr>
        <w:t>b</w:t>
      </w:r>
      <w:r>
        <w:rPr>
          <w:rFonts w:ascii="Cambria" w:eastAsia="Cambria" w:hAnsi="Cambria" w:cs="Cambria"/>
        </w:rPr>
        <w:t>]</w:t>
      </w:r>
    </w:p>
    <w:p w:rsidR="00EE13F6" w:rsidRDefault="002E5BC4">
      <w:pPr>
        <w:spacing w:after="135" w:line="264" w:lineRule="auto"/>
        <w:ind w:left="-5" w:right="468" w:hanging="10"/>
        <w:jc w:val="both"/>
      </w:pPr>
      <w:r>
        <w:rPr>
          <w:rFonts w:ascii="Cambria" w:eastAsia="Cambria" w:hAnsi="Cambria" w:cs="Cambria"/>
        </w:rPr>
        <w:t>which leads without loss of generality to the new expressions</w:t>
      </w:r>
    </w:p>
    <w:p w:rsidR="00EE13F6" w:rsidRDefault="002E5BC4">
      <w:pPr>
        <w:tabs>
          <w:tab w:val="center" w:pos="4688"/>
          <w:tab w:val="center" w:pos="9166"/>
        </w:tabs>
        <w:spacing w:after="268" w:line="264" w:lineRule="auto"/>
      </w:pPr>
      <w:r>
        <w:tab/>
      </w:r>
      <w:r>
        <w:rPr>
          <w:noProof/>
        </w:rPr>
        <w:drawing>
          <wp:inline distT="0" distB="0" distL="0" distR="0">
            <wp:extent cx="1069848" cy="310896"/>
            <wp:effectExtent l="0" t="0" r="0" b="0"/>
            <wp:docPr id="221959" name="Picture 221959"/>
            <wp:cNvGraphicFramePr/>
            <a:graphic xmlns:a="http://schemas.openxmlformats.org/drawingml/2006/main">
              <a:graphicData uri="http://schemas.openxmlformats.org/drawingml/2006/picture">
                <pic:pic xmlns:pic="http://schemas.openxmlformats.org/drawingml/2006/picture">
                  <pic:nvPicPr>
                    <pic:cNvPr id="221959" name="Picture 221959"/>
                    <pic:cNvPicPr/>
                  </pic:nvPicPr>
                  <pic:blipFill>
                    <a:blip r:embed="rId176"/>
                    <a:stretch>
                      <a:fillRect/>
                    </a:stretch>
                  </pic:blipFill>
                  <pic:spPr>
                    <a:xfrm>
                      <a:off x="0" y="0"/>
                      <a:ext cx="1069848" cy="310896"/>
                    </a:xfrm>
                    <a:prstGeom prst="rect">
                      <a:avLst/>
                    </a:prstGeom>
                  </pic:spPr>
                </pic:pic>
              </a:graphicData>
            </a:graphic>
          </wp:inline>
        </w:drawing>
      </w:r>
      <w:r>
        <w:rPr>
          <w:rFonts w:ascii="Cambria" w:eastAsia="Cambria" w:hAnsi="Cambria" w:cs="Cambria"/>
        </w:rPr>
        <w:tab/>
        <w:t>(11)</w:t>
      </w:r>
    </w:p>
    <w:p w:rsidR="00EE13F6" w:rsidRDefault="002E5BC4">
      <w:pPr>
        <w:spacing w:after="0" w:line="264" w:lineRule="auto"/>
        <w:ind w:left="-5" w:right="4203" w:hanging="10"/>
        <w:jc w:val="both"/>
      </w:pPr>
      <w:r>
        <w:rPr>
          <w:rFonts w:ascii="Cambria" w:eastAsia="Cambria" w:hAnsi="Cambria" w:cs="Cambria"/>
        </w:rPr>
        <w:t>and</w:t>
      </w:r>
    </w:p>
    <w:p w:rsidR="00EE13F6" w:rsidRDefault="002E5BC4">
      <w:pPr>
        <w:tabs>
          <w:tab w:val="center" w:pos="4712"/>
          <w:tab w:val="center" w:pos="9166"/>
        </w:tabs>
        <w:spacing w:after="251" w:line="264" w:lineRule="auto"/>
      </w:pPr>
      <w:r>
        <w:tab/>
      </w:r>
      <w:r>
        <w:rPr>
          <w:noProof/>
        </w:rPr>
        <w:drawing>
          <wp:inline distT="0" distB="0" distL="0" distR="0">
            <wp:extent cx="1219200" cy="320040"/>
            <wp:effectExtent l="0" t="0" r="0" b="0"/>
            <wp:docPr id="221960" name="Picture 221960"/>
            <wp:cNvGraphicFramePr/>
            <a:graphic xmlns:a="http://schemas.openxmlformats.org/drawingml/2006/main">
              <a:graphicData uri="http://schemas.openxmlformats.org/drawingml/2006/picture">
                <pic:pic xmlns:pic="http://schemas.openxmlformats.org/drawingml/2006/picture">
                  <pic:nvPicPr>
                    <pic:cNvPr id="221960" name="Picture 221960"/>
                    <pic:cNvPicPr/>
                  </pic:nvPicPr>
                  <pic:blipFill>
                    <a:blip r:embed="rId177"/>
                    <a:stretch>
                      <a:fillRect/>
                    </a:stretch>
                  </pic:blipFill>
                  <pic:spPr>
                    <a:xfrm>
                      <a:off x="0" y="0"/>
                      <a:ext cx="1219200" cy="320040"/>
                    </a:xfrm>
                    <a:prstGeom prst="rect">
                      <a:avLst/>
                    </a:prstGeom>
                  </pic:spPr>
                </pic:pic>
              </a:graphicData>
            </a:graphic>
          </wp:inline>
        </w:drawing>
      </w:r>
      <w:r>
        <w:rPr>
          <w:rFonts w:ascii="Cambria" w:eastAsia="Cambria" w:hAnsi="Cambria" w:cs="Cambria"/>
        </w:rPr>
        <w:tab/>
        <w:t>(12)</w:t>
      </w:r>
    </w:p>
    <w:p w:rsidR="00EE13F6" w:rsidRDefault="002E5BC4">
      <w:pPr>
        <w:spacing w:after="0" w:line="264" w:lineRule="auto"/>
        <w:ind w:left="-5" w:right="468" w:hanging="10"/>
        <w:jc w:val="both"/>
      </w:pPr>
      <w:r>
        <w:rPr>
          <w:rFonts w:ascii="Cambria" w:eastAsia="Cambria" w:hAnsi="Cambria" w:cs="Cambria"/>
        </w:rPr>
        <w:t xml:space="preserve">The expected value </w:t>
      </w: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[exp(−</w:t>
      </w:r>
      <w:r>
        <w:rPr>
          <w:rFonts w:ascii="Cambria" w:eastAsia="Cambria" w:hAnsi="Cambria" w:cs="Cambria"/>
          <w:i/>
        </w:rPr>
        <w:t>rτ</w:t>
      </w:r>
      <w:r>
        <w:rPr>
          <w:rFonts w:ascii="Cambria" w:eastAsia="Cambria" w:hAnsi="Cambria" w:cs="Cambria"/>
          <w:i/>
          <w:vertAlign w:val="subscript"/>
        </w:rPr>
        <w:t>b</w:t>
      </w:r>
      <w:r>
        <w:rPr>
          <w:rFonts w:ascii="Cambria" w:eastAsia="Cambria" w:hAnsi="Cambria" w:cs="Cambria"/>
        </w:rPr>
        <w:t>)] writes:</w:t>
      </w:r>
    </w:p>
    <w:p w:rsidR="00EE13F6" w:rsidRDefault="002E5BC4">
      <w:pPr>
        <w:spacing w:after="164"/>
        <w:ind w:left="4324"/>
      </w:pPr>
      <w:r>
        <w:rPr>
          <w:noProof/>
        </w:rPr>
        <w:drawing>
          <wp:inline distT="0" distB="0" distL="0" distR="0">
            <wp:extent cx="432816" cy="292608"/>
            <wp:effectExtent l="0" t="0" r="0" b="0"/>
            <wp:docPr id="221961" name="Picture 221961"/>
            <wp:cNvGraphicFramePr/>
            <a:graphic xmlns:a="http://schemas.openxmlformats.org/drawingml/2006/main">
              <a:graphicData uri="http://schemas.openxmlformats.org/drawingml/2006/picture">
                <pic:pic xmlns:pic="http://schemas.openxmlformats.org/drawingml/2006/picture">
                  <pic:nvPicPr>
                    <pic:cNvPr id="221961" name="Picture 221961"/>
                    <pic:cNvPicPr/>
                  </pic:nvPicPr>
                  <pic:blipFill>
                    <a:blip r:embed="rId178"/>
                    <a:stretch>
                      <a:fillRect/>
                    </a:stretch>
                  </pic:blipFill>
                  <pic:spPr>
                    <a:xfrm>
                      <a:off x="0" y="0"/>
                      <a:ext cx="432816" cy="292608"/>
                    </a:xfrm>
                    <a:prstGeom prst="rect">
                      <a:avLst/>
                    </a:prstGeom>
                  </pic:spPr>
                </pic:pic>
              </a:graphicData>
            </a:graphic>
          </wp:inline>
        </w:drawing>
      </w:r>
    </w:p>
    <w:p w:rsidR="00EE13F6" w:rsidRDefault="002E5BC4">
      <w:pPr>
        <w:spacing w:after="165" w:line="264" w:lineRule="auto"/>
        <w:ind w:left="-5" w:right="468" w:hanging="10"/>
        <w:jc w:val="both"/>
      </w:pPr>
      <w:r>
        <w:rPr>
          <w:rFonts w:ascii="Cambria" w:eastAsia="Cambria" w:hAnsi="Cambria" w:cs="Cambria"/>
        </w:rPr>
        <w:t>.</w:t>
      </w:r>
    </w:p>
    <w:p w:rsidR="00EE13F6" w:rsidRDefault="002E5BC4">
      <w:pPr>
        <w:spacing w:after="197" w:line="264" w:lineRule="auto"/>
        <w:ind w:left="-5" w:right="468" w:hanging="10"/>
        <w:jc w:val="both"/>
      </w:pPr>
      <w:r>
        <w:rPr>
          <w:rFonts w:ascii="Cambria" w:eastAsia="Cambria" w:hAnsi="Cambria" w:cs="Cambria"/>
        </w:rPr>
        <w:t xml:space="preserve">The value </w:t>
      </w:r>
      <w:r>
        <w:rPr>
          <w:rFonts w:ascii="Cambria" w:eastAsia="Cambria" w:hAnsi="Cambria" w:cs="Cambria"/>
          <w:i/>
        </w:rPr>
        <w:t>D</w:t>
      </w:r>
      <w:r>
        <w:rPr>
          <w:rFonts w:ascii="Cambria" w:eastAsia="Cambria" w:hAnsi="Cambria" w:cs="Cambria"/>
          <w:vertAlign w:val="subscript"/>
        </w:rPr>
        <w:t xml:space="preserve">0 </w:t>
      </w:r>
      <w:r>
        <w:rPr>
          <w:rFonts w:ascii="Cambria" w:eastAsia="Cambria" w:hAnsi="Cambria" w:cs="Cambria"/>
        </w:rPr>
        <w:t xml:space="preserve">of the corporate debt at time </w:t>
      </w:r>
      <w:r>
        <w:rPr>
          <w:rFonts w:ascii="Cambria" w:eastAsia="Cambria" w:hAnsi="Cambria" w:cs="Cambria"/>
          <w:i/>
        </w:rPr>
        <w:t xml:space="preserve">t </w:t>
      </w:r>
      <w:r>
        <w:rPr>
          <w:rFonts w:ascii="Cambria" w:eastAsia="Cambria" w:hAnsi="Cambria" w:cs="Cambria"/>
        </w:rPr>
        <w:t>= 0 is the sum of:</w:t>
      </w:r>
    </w:p>
    <w:p w:rsidR="00EE13F6" w:rsidRDefault="002E5BC4" w:rsidP="002E5BC4">
      <w:pPr>
        <w:numPr>
          <w:ilvl w:val="0"/>
          <w:numId w:val="38"/>
        </w:numPr>
        <w:spacing w:after="27" w:line="264" w:lineRule="auto"/>
        <w:ind w:right="468" w:hanging="10"/>
        <w:jc w:val="both"/>
      </w:pPr>
      <w:r>
        <w:rPr>
          <w:rFonts w:ascii="Cambria" w:eastAsia="Cambria" w:hAnsi="Cambria" w:cs="Cambria"/>
        </w:rPr>
        <w:t xml:space="preserve">The expected ”recovery” debt value in case of bankruptcy occurring when </w:t>
      </w:r>
      <w:r>
        <w:rPr>
          <w:rFonts w:ascii="Cambria" w:eastAsia="Cambria" w:hAnsi="Cambria" w:cs="Cambria"/>
          <w:i/>
        </w:rPr>
        <w:t>A</w:t>
      </w:r>
      <w:r>
        <w:rPr>
          <w:rFonts w:ascii="Cambria" w:eastAsia="Cambria" w:hAnsi="Cambria" w:cs="Cambria"/>
          <w:i/>
          <w:vertAlign w:val="subscript"/>
        </w:rPr>
        <w:t>τ</w:t>
      </w:r>
      <w:r>
        <w:rPr>
          <w:rFonts w:ascii="Cambria" w:eastAsia="Cambria" w:hAnsi="Cambria" w:cs="Cambria"/>
          <w:i/>
          <w:sz w:val="18"/>
          <w:vertAlign w:val="subscript"/>
        </w:rPr>
        <w:t xml:space="preserve">b </w:t>
      </w:r>
      <w:r>
        <w:rPr>
          <w:rFonts w:ascii="Cambria" w:eastAsia="Cambria" w:hAnsi="Cambria" w:cs="Cambria"/>
        </w:rPr>
        <w:t xml:space="preserve">≤ </w:t>
      </w:r>
      <w:r>
        <w:rPr>
          <w:rFonts w:ascii="Cambria" w:eastAsia="Cambria" w:hAnsi="Cambria" w:cs="Cambria"/>
          <w:i/>
        </w:rPr>
        <w:t>K</w:t>
      </w:r>
      <w:r>
        <w:rPr>
          <w:rFonts w:ascii="Cambria" w:eastAsia="Cambria" w:hAnsi="Cambria" w:cs="Cambria"/>
        </w:rPr>
        <w:t>. This expected recovery value is:</w:t>
      </w:r>
    </w:p>
    <w:p w:rsidR="00EE13F6" w:rsidRDefault="002E5BC4">
      <w:pPr>
        <w:spacing w:after="138" w:line="265" w:lineRule="auto"/>
        <w:ind w:left="10" w:right="483" w:hanging="10"/>
        <w:jc w:val="center"/>
      </w:pPr>
      <w:r>
        <w:rPr>
          <w:rFonts w:ascii="Cambria" w:eastAsia="Cambria" w:hAnsi="Cambria" w:cs="Cambria"/>
        </w:rPr>
        <w:t xml:space="preserve">(1 − </w:t>
      </w:r>
      <w:r>
        <w:rPr>
          <w:rFonts w:ascii="Cambria" w:eastAsia="Cambria" w:hAnsi="Cambria" w:cs="Cambria"/>
          <w:i/>
        </w:rPr>
        <w:t>α</w:t>
      </w:r>
      <w:r>
        <w:rPr>
          <w:rFonts w:ascii="Cambria" w:eastAsia="Cambria" w:hAnsi="Cambria" w:cs="Cambria"/>
        </w:rPr>
        <w:t>)</w:t>
      </w:r>
      <w:r>
        <w:rPr>
          <w:rFonts w:ascii="Cambria" w:eastAsia="Cambria" w:hAnsi="Cambria" w:cs="Cambria"/>
          <w:i/>
        </w:rPr>
        <w:t>.E</w:t>
      </w:r>
      <w:r>
        <w:rPr>
          <w:rFonts w:ascii="Cambria" w:eastAsia="Cambria" w:hAnsi="Cambria" w:cs="Cambria"/>
          <w:i/>
          <w:vertAlign w:val="superscript"/>
        </w:rPr>
        <w:t>Q</w:t>
      </w:r>
      <w:r>
        <w:rPr>
          <w:rFonts w:ascii="Cambria" w:eastAsia="Cambria" w:hAnsi="Cambria" w:cs="Cambria"/>
        </w:rPr>
        <w:t>[exp(−</w:t>
      </w:r>
      <w:r>
        <w:rPr>
          <w:rFonts w:ascii="Cambria" w:eastAsia="Cambria" w:hAnsi="Cambria" w:cs="Cambria"/>
          <w:i/>
        </w:rPr>
        <w:t>rτ</w:t>
      </w:r>
      <w:r>
        <w:rPr>
          <w:rFonts w:ascii="Cambria" w:eastAsia="Cambria" w:hAnsi="Cambria" w:cs="Cambria"/>
          <w:i/>
          <w:vertAlign w:val="subscript"/>
        </w:rPr>
        <w:t>b</w:t>
      </w:r>
      <w:r>
        <w:rPr>
          <w:rFonts w:ascii="Cambria" w:eastAsia="Cambria" w:hAnsi="Cambria" w:cs="Cambria"/>
        </w:rPr>
        <w:t>)]</w:t>
      </w:r>
    </w:p>
    <w:p w:rsidR="00EE13F6" w:rsidRDefault="002E5BC4" w:rsidP="002E5BC4">
      <w:pPr>
        <w:numPr>
          <w:ilvl w:val="0"/>
          <w:numId w:val="38"/>
        </w:numPr>
        <w:spacing w:after="270" w:line="264" w:lineRule="auto"/>
        <w:ind w:right="468" w:hanging="10"/>
        <w:jc w:val="both"/>
      </w:pPr>
      <w:r>
        <w:rPr>
          <w:rFonts w:ascii="Cambria" w:eastAsia="Cambria" w:hAnsi="Cambria" w:cs="Cambria"/>
        </w:rPr>
        <w:t>The expected discounted cash-flow payments on the corporate debt, either till the credit defaultevent time or the par bond maturity, whatever comes first.</w:t>
      </w:r>
    </w:p>
    <w:p w:rsidR="00EE13F6" w:rsidRDefault="002E5BC4">
      <w:pPr>
        <w:tabs>
          <w:tab w:val="center" w:pos="4712"/>
          <w:tab w:val="center" w:pos="9166"/>
        </w:tabs>
        <w:spacing w:after="227" w:line="264" w:lineRule="auto"/>
      </w:pPr>
      <w:r>
        <w:tab/>
      </w:r>
      <w:r>
        <w:rPr>
          <w:noProof/>
        </w:rPr>
        <w:drawing>
          <wp:inline distT="0" distB="0" distL="0" distR="0">
            <wp:extent cx="2511552" cy="335280"/>
            <wp:effectExtent l="0" t="0" r="0" b="0"/>
            <wp:docPr id="221962" name="Picture 221962"/>
            <wp:cNvGraphicFramePr/>
            <a:graphic xmlns:a="http://schemas.openxmlformats.org/drawingml/2006/main">
              <a:graphicData uri="http://schemas.openxmlformats.org/drawingml/2006/picture">
                <pic:pic xmlns:pic="http://schemas.openxmlformats.org/drawingml/2006/picture">
                  <pic:nvPicPr>
                    <pic:cNvPr id="221962" name="Picture 221962"/>
                    <pic:cNvPicPr/>
                  </pic:nvPicPr>
                  <pic:blipFill>
                    <a:blip r:embed="rId179"/>
                    <a:stretch>
                      <a:fillRect/>
                    </a:stretch>
                  </pic:blipFill>
                  <pic:spPr>
                    <a:xfrm>
                      <a:off x="0" y="0"/>
                      <a:ext cx="2511552" cy="335280"/>
                    </a:xfrm>
                    <a:prstGeom prst="rect">
                      <a:avLst/>
                    </a:prstGeom>
                  </pic:spPr>
                </pic:pic>
              </a:graphicData>
            </a:graphic>
          </wp:inline>
        </w:drawing>
      </w:r>
      <w:r>
        <w:rPr>
          <w:rFonts w:ascii="Cambria" w:eastAsia="Cambria" w:hAnsi="Cambria" w:cs="Cambria"/>
        </w:rPr>
        <w:tab/>
        <w:t>(13)</w:t>
      </w:r>
    </w:p>
    <w:p w:rsidR="00EE13F6" w:rsidRDefault="002E5BC4">
      <w:pPr>
        <w:spacing w:after="38" w:line="264" w:lineRule="auto"/>
        <w:ind w:left="-5" w:right="468" w:hanging="10"/>
        <w:jc w:val="both"/>
      </w:pPr>
      <w:r>
        <w:rPr>
          <w:rFonts w:ascii="Cambria" w:eastAsia="Cambria" w:hAnsi="Cambria" w:cs="Cambria"/>
        </w:rPr>
        <w:t>The value of the firm is:</w:t>
      </w:r>
    </w:p>
    <w:p w:rsidR="00EE13F6" w:rsidRDefault="002E5BC4">
      <w:pPr>
        <w:tabs>
          <w:tab w:val="center" w:pos="4692"/>
          <w:tab w:val="center" w:pos="9166"/>
        </w:tabs>
        <w:spacing w:after="170" w:line="264" w:lineRule="auto"/>
      </w:pPr>
      <w:r>
        <w:tab/>
      </w:r>
      <w:r>
        <w:rPr>
          <w:noProof/>
        </w:rPr>
        <w:drawing>
          <wp:inline distT="0" distB="0" distL="0" distR="0">
            <wp:extent cx="2703577" cy="335280"/>
            <wp:effectExtent l="0" t="0" r="0" b="0"/>
            <wp:docPr id="221963" name="Picture 221963"/>
            <wp:cNvGraphicFramePr/>
            <a:graphic xmlns:a="http://schemas.openxmlformats.org/drawingml/2006/main">
              <a:graphicData uri="http://schemas.openxmlformats.org/drawingml/2006/picture">
                <pic:pic xmlns:pic="http://schemas.openxmlformats.org/drawingml/2006/picture">
                  <pic:nvPicPr>
                    <pic:cNvPr id="221963" name="Picture 221963"/>
                    <pic:cNvPicPr/>
                  </pic:nvPicPr>
                  <pic:blipFill>
                    <a:blip r:embed="rId180"/>
                    <a:stretch>
                      <a:fillRect/>
                    </a:stretch>
                  </pic:blipFill>
                  <pic:spPr>
                    <a:xfrm>
                      <a:off x="0" y="0"/>
                      <a:ext cx="2703577" cy="335280"/>
                    </a:xfrm>
                    <a:prstGeom prst="rect">
                      <a:avLst/>
                    </a:prstGeom>
                  </pic:spPr>
                </pic:pic>
              </a:graphicData>
            </a:graphic>
          </wp:inline>
        </w:drawing>
      </w:r>
      <w:r>
        <w:rPr>
          <w:rFonts w:ascii="Cambria" w:eastAsia="Cambria" w:hAnsi="Cambria" w:cs="Cambria"/>
        </w:rPr>
        <w:tab/>
        <w:t>(14)</w:t>
      </w:r>
    </w:p>
    <w:p w:rsidR="00EE13F6" w:rsidRDefault="002E5BC4">
      <w:pPr>
        <w:spacing w:after="95" w:line="264" w:lineRule="auto"/>
        <w:ind w:left="-5" w:right="468" w:hanging="10"/>
        <w:jc w:val="both"/>
      </w:pPr>
      <w:r>
        <w:rPr>
          <w:rFonts w:ascii="Cambria" w:eastAsia="Cambria" w:hAnsi="Cambria" w:cs="Cambria"/>
        </w:rPr>
        <w:t>Consequently the value of the equity we find is:</w:t>
      </w:r>
    </w:p>
    <w:p w:rsidR="00EE13F6" w:rsidRDefault="002E5BC4">
      <w:pPr>
        <w:tabs>
          <w:tab w:val="center" w:pos="4692"/>
          <w:tab w:val="center" w:pos="9166"/>
        </w:tabs>
        <w:spacing w:after="311" w:line="264" w:lineRule="auto"/>
      </w:pPr>
      <w:r>
        <w:tab/>
      </w:r>
      <w:r>
        <w:rPr>
          <w:noProof/>
        </w:rPr>
        <w:drawing>
          <wp:inline distT="0" distB="0" distL="0" distR="0">
            <wp:extent cx="2959608" cy="335280"/>
            <wp:effectExtent l="0" t="0" r="0" b="0"/>
            <wp:docPr id="221964" name="Picture 221964"/>
            <wp:cNvGraphicFramePr/>
            <a:graphic xmlns:a="http://schemas.openxmlformats.org/drawingml/2006/main">
              <a:graphicData uri="http://schemas.openxmlformats.org/drawingml/2006/picture">
                <pic:pic xmlns:pic="http://schemas.openxmlformats.org/drawingml/2006/picture">
                  <pic:nvPicPr>
                    <pic:cNvPr id="221964" name="Picture 221964"/>
                    <pic:cNvPicPr/>
                  </pic:nvPicPr>
                  <pic:blipFill>
                    <a:blip r:embed="rId181"/>
                    <a:stretch>
                      <a:fillRect/>
                    </a:stretch>
                  </pic:blipFill>
                  <pic:spPr>
                    <a:xfrm>
                      <a:off x="0" y="0"/>
                      <a:ext cx="2959608" cy="335280"/>
                    </a:xfrm>
                    <a:prstGeom prst="rect">
                      <a:avLst/>
                    </a:prstGeom>
                  </pic:spPr>
                </pic:pic>
              </a:graphicData>
            </a:graphic>
          </wp:inline>
        </w:drawing>
      </w:r>
      <w:r>
        <w:rPr>
          <w:rFonts w:ascii="Cambria" w:eastAsia="Cambria" w:hAnsi="Cambria" w:cs="Cambria"/>
        </w:rPr>
        <w:tab/>
        <w:t>(15)</w:t>
      </w:r>
    </w:p>
    <w:p w:rsidR="00EE13F6" w:rsidRDefault="002E5BC4">
      <w:pPr>
        <w:spacing w:after="139" w:line="257" w:lineRule="auto"/>
        <w:ind w:left="-5" w:right="468" w:hanging="10"/>
        <w:jc w:val="both"/>
      </w:pPr>
      <w:r>
        <w:rPr>
          <w:rFonts w:ascii="Cambria" w:eastAsia="Cambria" w:hAnsi="Cambria" w:cs="Cambria"/>
          <w:b/>
        </w:rPr>
        <w:lastRenderedPageBreak/>
        <w:t>(ii) Second Alternate Formulation: Equity Value Seen as The Difference between Two Derivatives Instruments</w:t>
      </w:r>
    </w:p>
    <w:p w:rsidR="00EE13F6" w:rsidRDefault="002E5BC4">
      <w:pPr>
        <w:spacing w:after="0" w:line="264" w:lineRule="auto"/>
        <w:ind w:left="-5" w:right="468" w:hanging="10"/>
        <w:jc w:val="both"/>
      </w:pPr>
      <w:r>
        <w:rPr>
          <w:rFonts w:ascii="Cambria" w:eastAsia="Cambria" w:hAnsi="Cambria" w:cs="Cambria"/>
        </w:rPr>
        <w:t>Observing the terms in equation (15), one can remark that the term</w:t>
      </w:r>
    </w:p>
    <w:p w:rsidR="00EE13F6" w:rsidRDefault="002E5BC4">
      <w:pPr>
        <w:spacing w:after="196"/>
        <w:ind w:left="4138"/>
      </w:pPr>
      <w:r>
        <w:rPr>
          <w:noProof/>
        </w:rPr>
        <w:drawing>
          <wp:inline distT="0" distB="0" distL="0" distR="0">
            <wp:extent cx="670560" cy="292609"/>
            <wp:effectExtent l="0" t="0" r="0" b="0"/>
            <wp:docPr id="221965" name="Picture 221965"/>
            <wp:cNvGraphicFramePr/>
            <a:graphic xmlns:a="http://schemas.openxmlformats.org/drawingml/2006/main">
              <a:graphicData uri="http://schemas.openxmlformats.org/drawingml/2006/picture">
                <pic:pic xmlns:pic="http://schemas.openxmlformats.org/drawingml/2006/picture">
                  <pic:nvPicPr>
                    <pic:cNvPr id="221965" name="Picture 221965"/>
                    <pic:cNvPicPr/>
                  </pic:nvPicPr>
                  <pic:blipFill>
                    <a:blip r:embed="rId182"/>
                    <a:stretch>
                      <a:fillRect/>
                    </a:stretch>
                  </pic:blipFill>
                  <pic:spPr>
                    <a:xfrm>
                      <a:off x="0" y="0"/>
                      <a:ext cx="670560" cy="292609"/>
                    </a:xfrm>
                    <a:prstGeom prst="rect">
                      <a:avLst/>
                    </a:prstGeom>
                  </pic:spPr>
                </pic:pic>
              </a:graphicData>
            </a:graphic>
          </wp:inline>
        </w:drawing>
      </w:r>
    </w:p>
    <w:p w:rsidR="00EE13F6" w:rsidRDefault="002E5BC4">
      <w:pPr>
        <w:spacing w:after="135" w:line="264" w:lineRule="auto"/>
        <w:ind w:left="-5" w:right="468" w:hanging="10"/>
        <w:jc w:val="both"/>
      </w:pPr>
      <w:r>
        <w:rPr>
          <w:rFonts w:ascii="Cambria" w:eastAsia="Cambria" w:hAnsi="Cambria" w:cs="Cambria"/>
        </w:rPr>
        <w:t>designates in fact the risk neutral expectation of a ”One Touch” perpetual put o</w:t>
      </w:r>
      <w:r>
        <w:rPr>
          <w:rFonts w:ascii="Cambria" w:eastAsia="Cambria" w:hAnsi="Cambria" w:cs="Cambria"/>
        </w:rPr>
        <w:t xml:space="preserve">ption written on the assets by the corporate shareholders in favor of the bondholders, and paying an amount </w:t>
      </w:r>
      <w:r>
        <w:rPr>
          <w:rFonts w:ascii="Cambria" w:eastAsia="Cambria" w:hAnsi="Cambria" w:cs="Cambria"/>
          <w:i/>
        </w:rPr>
        <w:t xml:space="preserve">K </w:t>
      </w:r>
      <w:r>
        <w:rPr>
          <w:rFonts w:ascii="Cambria" w:eastAsia="Cambria" w:hAnsi="Cambria" w:cs="Cambria"/>
        </w:rPr>
        <w:t xml:space="preserve">as soon as the strike price </w:t>
      </w:r>
      <w:r>
        <w:rPr>
          <w:rFonts w:ascii="Cambria" w:eastAsia="Cambria" w:hAnsi="Cambria" w:cs="Cambria"/>
          <w:i/>
        </w:rPr>
        <w:t xml:space="preserve">K </w:t>
      </w:r>
      <w:r>
        <w:rPr>
          <w:rFonts w:ascii="Cambria" w:eastAsia="Cambria" w:hAnsi="Cambria" w:cs="Cambria"/>
        </w:rPr>
        <w:t>is touched.</w:t>
      </w:r>
    </w:p>
    <w:p w:rsidR="00EE13F6" w:rsidRDefault="002E5BC4">
      <w:pPr>
        <w:spacing w:after="0" w:line="264" w:lineRule="auto"/>
        <w:ind w:left="-5" w:right="4443" w:hanging="10"/>
        <w:jc w:val="both"/>
      </w:pPr>
      <w:r>
        <w:rPr>
          <w:rFonts w:ascii="Cambria" w:eastAsia="Cambria" w:hAnsi="Cambria" w:cs="Cambria"/>
        </w:rPr>
        <w:t>Furthermore, the term</w:t>
      </w:r>
    </w:p>
    <w:p w:rsidR="00EE13F6" w:rsidRDefault="002E5BC4">
      <w:pPr>
        <w:spacing w:after="107"/>
        <w:ind w:left="3920"/>
      </w:pPr>
      <w:r>
        <w:rPr>
          <w:noProof/>
        </w:rPr>
        <w:drawing>
          <wp:inline distT="0" distB="0" distL="0" distR="0">
            <wp:extent cx="902208" cy="292608"/>
            <wp:effectExtent l="0" t="0" r="0" b="0"/>
            <wp:docPr id="221966" name="Picture 221966"/>
            <wp:cNvGraphicFramePr/>
            <a:graphic xmlns:a="http://schemas.openxmlformats.org/drawingml/2006/main">
              <a:graphicData uri="http://schemas.openxmlformats.org/drawingml/2006/picture">
                <pic:pic xmlns:pic="http://schemas.openxmlformats.org/drawingml/2006/picture">
                  <pic:nvPicPr>
                    <pic:cNvPr id="221966" name="Picture 221966"/>
                    <pic:cNvPicPr/>
                  </pic:nvPicPr>
                  <pic:blipFill>
                    <a:blip r:embed="rId183"/>
                    <a:stretch>
                      <a:fillRect/>
                    </a:stretch>
                  </pic:blipFill>
                  <pic:spPr>
                    <a:xfrm>
                      <a:off x="0" y="0"/>
                      <a:ext cx="902208" cy="292608"/>
                    </a:xfrm>
                    <a:prstGeom prst="rect">
                      <a:avLst/>
                    </a:prstGeom>
                  </pic:spPr>
                </pic:pic>
              </a:graphicData>
            </a:graphic>
          </wp:inline>
        </w:drawing>
      </w:r>
    </w:p>
    <w:p w:rsidR="00EE13F6" w:rsidRDefault="002E5BC4">
      <w:pPr>
        <w:spacing w:after="135" w:line="264" w:lineRule="auto"/>
        <w:ind w:left="-5" w:right="468" w:hanging="10"/>
        <w:jc w:val="both"/>
      </w:pPr>
      <w:r>
        <w:rPr>
          <w:rFonts w:ascii="Cambria" w:eastAsia="Cambria" w:hAnsi="Cambria" w:cs="Cambria"/>
        </w:rPr>
        <w:t xml:space="preserve">is in fact the premium value of a perpetual ”Down and Out” American call option </w:t>
      </w:r>
      <w:r>
        <w:rPr>
          <w:rFonts w:ascii="Cambria" w:eastAsia="Cambria" w:hAnsi="Cambria" w:cs="Cambria"/>
        </w:rPr>
        <w:t xml:space="preserve">whose barrier is </w:t>
      </w:r>
      <w:r>
        <w:rPr>
          <w:rFonts w:ascii="Cambria" w:eastAsia="Cambria" w:hAnsi="Cambria" w:cs="Cambria"/>
          <w:i/>
        </w:rPr>
        <w:t>K</w:t>
      </w:r>
      <w:r>
        <w:rPr>
          <w:rFonts w:ascii="Cambria" w:eastAsia="Cambria" w:hAnsi="Cambria" w:cs="Cambria"/>
        </w:rPr>
        <w:t>.</w:t>
      </w:r>
    </w:p>
    <w:p w:rsidR="00EE13F6" w:rsidRDefault="002E5BC4">
      <w:pPr>
        <w:spacing w:after="270" w:line="264" w:lineRule="auto"/>
        <w:ind w:left="-5" w:right="468" w:hanging="10"/>
        <w:jc w:val="both"/>
      </w:pPr>
      <w:r>
        <w:rPr>
          <w:rFonts w:ascii="Cambria" w:eastAsia="Cambria" w:hAnsi="Cambria" w:cs="Cambria"/>
        </w:rPr>
        <w:t>We can choose to write directly the expected value of the corporation’s equity as:</w:t>
      </w:r>
    </w:p>
    <w:p w:rsidR="00EE13F6" w:rsidRDefault="002E5BC4">
      <w:pPr>
        <w:tabs>
          <w:tab w:val="center" w:pos="4712"/>
          <w:tab w:val="center" w:pos="9166"/>
        </w:tabs>
        <w:spacing w:after="30" w:line="265" w:lineRule="auto"/>
      </w:pPr>
      <w:r>
        <w:tab/>
      </w:r>
      <w:r>
        <w:rPr>
          <w:noProof/>
        </w:rPr>
        <w:drawing>
          <wp:inline distT="0" distB="0" distL="0" distR="0">
            <wp:extent cx="2310384" cy="335280"/>
            <wp:effectExtent l="0" t="0" r="0" b="0"/>
            <wp:docPr id="221967" name="Picture 221967"/>
            <wp:cNvGraphicFramePr/>
            <a:graphic xmlns:a="http://schemas.openxmlformats.org/drawingml/2006/main">
              <a:graphicData uri="http://schemas.openxmlformats.org/drawingml/2006/picture">
                <pic:pic xmlns:pic="http://schemas.openxmlformats.org/drawingml/2006/picture">
                  <pic:nvPicPr>
                    <pic:cNvPr id="221967" name="Picture 221967"/>
                    <pic:cNvPicPr/>
                  </pic:nvPicPr>
                  <pic:blipFill>
                    <a:blip r:embed="rId184"/>
                    <a:stretch>
                      <a:fillRect/>
                    </a:stretch>
                  </pic:blipFill>
                  <pic:spPr>
                    <a:xfrm>
                      <a:off x="0" y="0"/>
                      <a:ext cx="2310384" cy="335280"/>
                    </a:xfrm>
                    <a:prstGeom prst="rect">
                      <a:avLst/>
                    </a:prstGeom>
                  </pic:spPr>
                </pic:pic>
              </a:graphicData>
            </a:graphic>
          </wp:inline>
        </w:drawing>
      </w:r>
      <w:r>
        <w:rPr>
          <w:rFonts w:ascii="Cambria" w:eastAsia="Cambria" w:hAnsi="Cambria" w:cs="Cambria"/>
        </w:rPr>
        <w:tab/>
        <w:t>(16)</w:t>
      </w:r>
    </w:p>
    <w:p w:rsidR="00EE13F6" w:rsidRDefault="002E5BC4">
      <w:pPr>
        <w:spacing w:after="270" w:line="264" w:lineRule="auto"/>
        <w:ind w:left="-5" w:right="468" w:hanging="10"/>
        <w:jc w:val="both"/>
      </w:pPr>
      <w:r>
        <w:rPr>
          <w:rFonts w:ascii="Cambria" w:eastAsia="Cambria" w:hAnsi="Cambria" w:cs="Cambria"/>
        </w:rPr>
        <w:t>This leads to:</w:t>
      </w:r>
    </w:p>
    <w:p w:rsidR="00EE13F6" w:rsidRDefault="002E5BC4">
      <w:pPr>
        <w:tabs>
          <w:tab w:val="center" w:pos="4692"/>
          <w:tab w:val="center" w:pos="9166"/>
        </w:tabs>
        <w:spacing w:after="174" w:line="265" w:lineRule="auto"/>
      </w:pPr>
      <w:r>
        <w:tab/>
      </w:r>
      <w:r>
        <w:rPr>
          <w:noProof/>
        </w:rPr>
        <w:drawing>
          <wp:inline distT="0" distB="0" distL="0" distR="0">
            <wp:extent cx="2282952" cy="335280"/>
            <wp:effectExtent l="0" t="0" r="0" b="0"/>
            <wp:docPr id="221968" name="Picture 221968"/>
            <wp:cNvGraphicFramePr/>
            <a:graphic xmlns:a="http://schemas.openxmlformats.org/drawingml/2006/main">
              <a:graphicData uri="http://schemas.openxmlformats.org/drawingml/2006/picture">
                <pic:pic xmlns:pic="http://schemas.openxmlformats.org/drawingml/2006/picture">
                  <pic:nvPicPr>
                    <pic:cNvPr id="221968" name="Picture 221968"/>
                    <pic:cNvPicPr/>
                  </pic:nvPicPr>
                  <pic:blipFill>
                    <a:blip r:embed="rId185"/>
                    <a:stretch>
                      <a:fillRect/>
                    </a:stretch>
                  </pic:blipFill>
                  <pic:spPr>
                    <a:xfrm>
                      <a:off x="0" y="0"/>
                      <a:ext cx="2282952" cy="335280"/>
                    </a:xfrm>
                    <a:prstGeom prst="rect">
                      <a:avLst/>
                    </a:prstGeom>
                  </pic:spPr>
                </pic:pic>
              </a:graphicData>
            </a:graphic>
          </wp:inline>
        </w:drawing>
      </w:r>
      <w:r>
        <w:rPr>
          <w:rFonts w:ascii="Cambria" w:eastAsia="Cambria" w:hAnsi="Cambria" w:cs="Cambria"/>
        </w:rPr>
        <w:tab/>
        <w:t>(17)</w:t>
      </w:r>
    </w:p>
    <w:p w:rsidR="00EE13F6" w:rsidRDefault="002E5BC4">
      <w:pPr>
        <w:spacing w:after="66" w:line="264" w:lineRule="auto"/>
        <w:ind w:left="-5" w:right="468" w:hanging="10"/>
        <w:jc w:val="both"/>
      </w:pPr>
      <w:r>
        <w:rPr>
          <w:rFonts w:ascii="Cambria" w:eastAsia="Cambria" w:hAnsi="Cambria" w:cs="Cambria"/>
        </w:rPr>
        <w:t>and</w:t>
      </w:r>
    </w:p>
    <w:p w:rsidR="00EE13F6" w:rsidRDefault="002E5BC4">
      <w:pPr>
        <w:spacing w:after="322"/>
        <w:ind w:left="2160"/>
      </w:pPr>
      <w:r>
        <w:rPr>
          <w:noProof/>
        </w:rPr>
        <w:drawing>
          <wp:inline distT="0" distB="0" distL="0" distR="0">
            <wp:extent cx="3118104" cy="335280"/>
            <wp:effectExtent l="0" t="0" r="0" b="0"/>
            <wp:docPr id="221969" name="Picture 221969"/>
            <wp:cNvGraphicFramePr/>
            <a:graphic xmlns:a="http://schemas.openxmlformats.org/drawingml/2006/main">
              <a:graphicData uri="http://schemas.openxmlformats.org/drawingml/2006/picture">
                <pic:pic xmlns:pic="http://schemas.openxmlformats.org/drawingml/2006/picture">
                  <pic:nvPicPr>
                    <pic:cNvPr id="221969" name="Picture 221969"/>
                    <pic:cNvPicPr/>
                  </pic:nvPicPr>
                  <pic:blipFill>
                    <a:blip r:embed="rId186"/>
                    <a:stretch>
                      <a:fillRect/>
                    </a:stretch>
                  </pic:blipFill>
                  <pic:spPr>
                    <a:xfrm>
                      <a:off x="0" y="0"/>
                      <a:ext cx="3118104" cy="335280"/>
                    </a:xfrm>
                    <a:prstGeom prst="rect">
                      <a:avLst/>
                    </a:prstGeom>
                  </pic:spPr>
                </pic:pic>
              </a:graphicData>
            </a:graphic>
          </wp:inline>
        </w:drawing>
      </w:r>
    </w:p>
    <w:p w:rsidR="00EE13F6" w:rsidRDefault="002E5BC4">
      <w:pPr>
        <w:spacing w:after="0" w:line="264" w:lineRule="auto"/>
        <w:ind w:left="-5" w:right="468" w:hanging="10"/>
        <w:jc w:val="both"/>
      </w:pPr>
      <w:r>
        <w:rPr>
          <w:rFonts w:ascii="Cambria" w:eastAsia="Cambria" w:hAnsi="Cambria" w:cs="Cambria"/>
        </w:rPr>
        <w:t>Finally we can split the coupon payment</w:t>
      </w:r>
    </w:p>
    <w:p w:rsidR="00EE13F6" w:rsidRDefault="002E5BC4">
      <w:pPr>
        <w:spacing w:after="162"/>
        <w:ind w:left="4160"/>
      </w:pPr>
      <w:r>
        <w:rPr>
          <w:noProof/>
        </w:rPr>
        <w:drawing>
          <wp:inline distT="0" distB="0" distL="0" distR="0">
            <wp:extent cx="624840" cy="292608"/>
            <wp:effectExtent l="0" t="0" r="0" b="0"/>
            <wp:docPr id="221970" name="Picture 221970"/>
            <wp:cNvGraphicFramePr/>
            <a:graphic xmlns:a="http://schemas.openxmlformats.org/drawingml/2006/main">
              <a:graphicData uri="http://schemas.openxmlformats.org/drawingml/2006/picture">
                <pic:pic xmlns:pic="http://schemas.openxmlformats.org/drawingml/2006/picture">
                  <pic:nvPicPr>
                    <pic:cNvPr id="221970" name="Picture 221970"/>
                    <pic:cNvPicPr/>
                  </pic:nvPicPr>
                  <pic:blipFill>
                    <a:blip r:embed="rId187"/>
                    <a:stretch>
                      <a:fillRect/>
                    </a:stretch>
                  </pic:blipFill>
                  <pic:spPr>
                    <a:xfrm>
                      <a:off x="0" y="0"/>
                      <a:ext cx="624840" cy="292608"/>
                    </a:xfrm>
                    <a:prstGeom prst="rect">
                      <a:avLst/>
                    </a:prstGeom>
                  </pic:spPr>
                </pic:pic>
              </a:graphicData>
            </a:graphic>
          </wp:inline>
        </w:drawing>
      </w:r>
    </w:p>
    <w:p w:rsidR="00EE13F6" w:rsidRDefault="002E5BC4">
      <w:pPr>
        <w:spacing w:after="435" w:line="264" w:lineRule="auto"/>
        <w:ind w:left="-5" w:right="468" w:hanging="10"/>
        <w:jc w:val="both"/>
      </w:pPr>
      <w:r>
        <w:rPr>
          <w:rFonts w:ascii="Cambria" w:eastAsia="Cambria" w:hAnsi="Cambria" w:cs="Cambria"/>
        </w:rPr>
        <w:t>into two components.</w:t>
      </w:r>
    </w:p>
    <w:p w:rsidR="00EE13F6" w:rsidRDefault="002E5BC4">
      <w:pPr>
        <w:spacing w:after="190"/>
        <w:ind w:left="10" w:right="493" w:hanging="10"/>
        <w:jc w:val="center"/>
      </w:pPr>
      <w:r>
        <w:rPr>
          <w:rFonts w:ascii="Cambria" w:eastAsia="Cambria" w:hAnsi="Cambria" w:cs="Cambria"/>
          <w:i/>
        </w:rPr>
        <w:t>c</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 xml:space="preserve">= </w:t>
      </w:r>
      <w:r>
        <w:rPr>
          <w:rFonts w:ascii="Cambria" w:eastAsia="Cambria" w:hAnsi="Cambria" w:cs="Cambria"/>
          <w:i/>
        </w:rPr>
        <w:t xml:space="preserve">r </w:t>
      </w:r>
      <w:r>
        <w:rPr>
          <w:rFonts w:ascii="Cambria" w:eastAsia="Cambria" w:hAnsi="Cambria" w:cs="Cambria"/>
        </w:rPr>
        <w:t xml:space="preserve">+ </w:t>
      </w:r>
      <w:r>
        <w:rPr>
          <w:rFonts w:ascii="Cambria" w:eastAsia="Cambria" w:hAnsi="Cambria" w:cs="Cambria"/>
          <w:i/>
        </w:rPr>
        <w:t>s</w:t>
      </w:r>
      <w:r>
        <w:rPr>
          <w:rFonts w:ascii="Cambria" w:eastAsia="Cambria" w:hAnsi="Cambria" w:cs="Cambria"/>
          <w:vertAlign w:val="superscript"/>
        </w:rPr>
        <w:t>∗</w:t>
      </w:r>
    </w:p>
    <w:p w:rsidR="00EE13F6" w:rsidRDefault="002E5BC4">
      <w:pPr>
        <w:spacing w:after="0" w:line="264" w:lineRule="auto"/>
        <w:ind w:left="-5" w:right="468" w:hanging="10"/>
        <w:jc w:val="both"/>
      </w:pPr>
      <w:r>
        <w:rPr>
          <w:rFonts w:ascii="Cambria" w:eastAsia="Cambria" w:hAnsi="Cambria" w:cs="Cambria"/>
        </w:rPr>
        <w:t xml:space="preserve">where </w:t>
      </w:r>
      <w:r>
        <w:rPr>
          <w:rFonts w:ascii="Cambria" w:eastAsia="Cambria" w:hAnsi="Cambria" w:cs="Cambria"/>
          <w:i/>
        </w:rPr>
        <w:t>s</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is the spread over the risk free rate, such that the quantity:</w:t>
      </w:r>
    </w:p>
    <w:p w:rsidR="00EE13F6" w:rsidRDefault="002E5BC4">
      <w:pPr>
        <w:spacing w:after="228"/>
        <w:ind w:left="3437"/>
      </w:pPr>
      <w:r>
        <w:rPr>
          <w:noProof/>
        </w:rPr>
        <w:drawing>
          <wp:inline distT="0" distB="0" distL="0" distR="0">
            <wp:extent cx="1536192" cy="335280"/>
            <wp:effectExtent l="0" t="0" r="0" b="0"/>
            <wp:docPr id="221971" name="Picture 221971"/>
            <wp:cNvGraphicFramePr/>
            <a:graphic xmlns:a="http://schemas.openxmlformats.org/drawingml/2006/main">
              <a:graphicData uri="http://schemas.openxmlformats.org/drawingml/2006/picture">
                <pic:pic xmlns:pic="http://schemas.openxmlformats.org/drawingml/2006/picture">
                  <pic:nvPicPr>
                    <pic:cNvPr id="221971" name="Picture 221971"/>
                    <pic:cNvPicPr/>
                  </pic:nvPicPr>
                  <pic:blipFill>
                    <a:blip r:embed="rId188"/>
                    <a:stretch>
                      <a:fillRect/>
                    </a:stretch>
                  </pic:blipFill>
                  <pic:spPr>
                    <a:xfrm>
                      <a:off x="0" y="0"/>
                      <a:ext cx="1536192" cy="335280"/>
                    </a:xfrm>
                    <a:prstGeom prst="rect">
                      <a:avLst/>
                    </a:prstGeom>
                  </pic:spPr>
                </pic:pic>
              </a:graphicData>
            </a:graphic>
          </wp:inline>
        </w:drawing>
      </w:r>
    </w:p>
    <w:p w:rsidR="00EE13F6" w:rsidRDefault="002E5BC4">
      <w:pPr>
        <w:spacing w:after="135" w:line="264" w:lineRule="auto"/>
        <w:ind w:left="-5" w:right="468" w:hanging="10"/>
        <w:jc w:val="both"/>
      </w:pPr>
      <w:r>
        <w:rPr>
          <w:rFonts w:ascii="Cambria" w:eastAsia="Cambria" w:hAnsi="Cambria" w:cs="Cambria"/>
        </w:rPr>
        <w:t xml:space="preserve">represents the after tax cost of a ”perpetual” credit default swap written for an amount of debt </w:t>
      </w:r>
      <w:r>
        <w:rPr>
          <w:rFonts w:ascii="Cambria" w:eastAsia="Cambria" w:hAnsi="Cambria" w:cs="Cambria"/>
          <w:i/>
        </w:rPr>
        <w:t>D</w:t>
      </w:r>
      <w:r>
        <w:rPr>
          <w:rFonts w:ascii="Cambria" w:eastAsia="Cambria" w:hAnsi="Cambria" w:cs="Cambria"/>
          <w:vertAlign w:val="subscript"/>
        </w:rPr>
        <w:t>0</w:t>
      </w:r>
      <w:r>
        <w:rPr>
          <w:rFonts w:ascii="Cambria" w:eastAsia="Cambria" w:hAnsi="Cambria" w:cs="Cambria"/>
        </w:rPr>
        <w:t>.</w:t>
      </w:r>
    </w:p>
    <w:p w:rsidR="00EE13F6" w:rsidRDefault="002E5BC4">
      <w:pPr>
        <w:spacing w:after="159" w:line="264" w:lineRule="auto"/>
        <w:ind w:left="-5" w:right="468" w:hanging="10"/>
        <w:jc w:val="both"/>
      </w:pPr>
      <w:r>
        <w:rPr>
          <w:rFonts w:ascii="Cambria" w:eastAsia="Cambria" w:hAnsi="Cambria" w:cs="Cambria"/>
        </w:rPr>
        <w:t>Consequently we can see that corporate stockholders are:</w:t>
      </w:r>
    </w:p>
    <w:p w:rsidR="00EE13F6" w:rsidRDefault="002E5BC4">
      <w:pPr>
        <w:spacing w:after="310" w:line="421" w:lineRule="auto"/>
        <w:ind w:left="-5" w:right="3555" w:hanging="10"/>
      </w:pPr>
      <w:r>
        <w:rPr>
          <w:rFonts w:ascii="Cambria" w:eastAsia="Cambria" w:hAnsi="Cambria" w:cs="Cambria"/>
        </w:rPr>
        <w:t>- ”Long” of a perpetual ”American Down and Out” call; - ”Long” of a perpetual Credit Default Swap (paying the spread); - Borrowing from bond holders at the risk free rate.</w:t>
      </w:r>
    </w:p>
    <w:p w:rsidR="00EE13F6" w:rsidRDefault="002E5BC4">
      <w:pPr>
        <w:pStyle w:val="Heading2"/>
        <w:spacing w:after="266" w:line="251" w:lineRule="auto"/>
        <w:ind w:left="608" w:right="468" w:hanging="623"/>
        <w:jc w:val="both"/>
      </w:pPr>
      <w:r>
        <w:lastRenderedPageBreak/>
        <w:t>1.3</w:t>
      </w:r>
      <w:r>
        <w:tab/>
        <w:t>Corporate Firms Funded through the Issuance of Equity and Fixed Term Intermediat</w:t>
      </w:r>
      <w:r>
        <w:t>e Debt</w:t>
      </w:r>
    </w:p>
    <w:p w:rsidR="00EE13F6" w:rsidRDefault="002E5BC4">
      <w:pPr>
        <w:spacing w:after="135" w:line="264" w:lineRule="auto"/>
        <w:ind w:left="-5" w:right="468" w:hanging="10"/>
        <w:jc w:val="both"/>
      </w:pPr>
      <w:r>
        <w:rPr>
          <w:rFonts w:ascii="Cambria" w:eastAsia="Cambria" w:hAnsi="Cambria" w:cs="Cambria"/>
        </w:rPr>
        <w:t>We focus now on the particular case of corporations using fixed term intermediate debt for raising capital. This is the current standard for European corporations whose stocks are listed on main European exchanges.</w:t>
      </w:r>
    </w:p>
    <w:p w:rsidR="00EE13F6" w:rsidRDefault="002E5BC4">
      <w:pPr>
        <w:spacing w:after="213" w:line="264" w:lineRule="auto"/>
        <w:ind w:left="-5" w:right="468" w:hanging="10"/>
        <w:jc w:val="both"/>
      </w:pPr>
      <w:r>
        <w:rPr>
          <w:rFonts w:ascii="Cambria" w:eastAsia="Cambria" w:hAnsi="Cambria" w:cs="Cambria"/>
        </w:rPr>
        <w:t>As in section I, the firm has prod</w:t>
      </w:r>
      <w:r>
        <w:rPr>
          <w:rFonts w:ascii="Cambria" w:eastAsia="Cambria" w:hAnsi="Cambria" w:cs="Cambria"/>
        </w:rPr>
        <w:t xml:space="preserve">uctive assets which follow a continuous geometric diffusion process with a a constant proportional volatility </w:t>
      </w:r>
      <w:r>
        <w:rPr>
          <w:rFonts w:ascii="Cambria" w:eastAsia="Cambria" w:hAnsi="Cambria" w:cs="Cambria"/>
          <w:i/>
        </w:rPr>
        <w:t>σ</w:t>
      </w:r>
      <w:r>
        <w:rPr>
          <w:rFonts w:ascii="Cambria" w:eastAsia="Cambria" w:hAnsi="Cambria" w:cs="Cambria"/>
        </w:rPr>
        <w:t>. As in section I, we have, with the same notations:</w:t>
      </w:r>
    </w:p>
    <w:p w:rsidR="00EE13F6" w:rsidRDefault="002E5BC4">
      <w:pPr>
        <w:tabs>
          <w:tab w:val="center" w:pos="4675"/>
          <w:tab w:val="center" w:pos="9166"/>
        </w:tabs>
        <w:spacing w:after="370" w:line="265" w:lineRule="auto"/>
      </w:pPr>
      <w:r>
        <w:tab/>
      </w:r>
      <w:r>
        <w:rPr>
          <w:rFonts w:ascii="Cambria" w:eastAsia="Cambria" w:hAnsi="Cambria" w:cs="Cambria"/>
          <w:i/>
        </w:rPr>
        <w:t>dA</w:t>
      </w:r>
      <w:r>
        <w:rPr>
          <w:rFonts w:ascii="Cambria" w:eastAsia="Cambria" w:hAnsi="Cambria" w:cs="Cambria"/>
          <w:i/>
          <w:vertAlign w:val="subscript"/>
        </w:rPr>
        <w:t xml:space="preserve">t </w:t>
      </w:r>
      <w:r>
        <w:rPr>
          <w:rFonts w:ascii="Cambria" w:eastAsia="Cambria" w:hAnsi="Cambria" w:cs="Cambria"/>
        </w:rPr>
        <w:t>= (</w:t>
      </w:r>
      <w:r>
        <w:rPr>
          <w:rFonts w:ascii="Cambria" w:eastAsia="Cambria" w:hAnsi="Cambria" w:cs="Cambria"/>
          <w:i/>
        </w:rPr>
        <w:t xml:space="preserve">r </w:t>
      </w:r>
      <w:r>
        <w:rPr>
          <w:rFonts w:ascii="Cambria" w:eastAsia="Cambria" w:hAnsi="Cambria" w:cs="Cambria"/>
        </w:rPr>
        <w:t>−</w:t>
      </w:r>
      <w:r>
        <w:rPr>
          <w:rFonts w:ascii="Cambria" w:eastAsia="Cambria" w:hAnsi="Cambria" w:cs="Cambria"/>
        </w:rPr>
        <w:t xml:space="preserve"> </w:t>
      </w:r>
      <w:r>
        <w:rPr>
          <w:rFonts w:ascii="Cambria" w:eastAsia="Cambria" w:hAnsi="Cambria" w:cs="Cambria"/>
          <w:i/>
        </w:rPr>
        <w:t>d</w:t>
      </w:r>
      <w:r>
        <w:rPr>
          <w:rFonts w:ascii="Cambria" w:eastAsia="Cambria" w:hAnsi="Cambria" w:cs="Cambria"/>
        </w:rPr>
        <w:t>)</w:t>
      </w:r>
      <w:r>
        <w:rPr>
          <w:rFonts w:ascii="Cambria" w:eastAsia="Cambria" w:hAnsi="Cambria" w:cs="Cambria"/>
          <w:i/>
        </w:rPr>
        <w:t xml:space="preserve">dt </w:t>
      </w:r>
      <w:r>
        <w:rPr>
          <w:rFonts w:ascii="Cambria" w:eastAsia="Cambria" w:hAnsi="Cambria" w:cs="Cambria"/>
        </w:rPr>
        <w:t xml:space="preserve">+ </w:t>
      </w:r>
      <w:r>
        <w:rPr>
          <w:rFonts w:ascii="Cambria" w:eastAsia="Cambria" w:hAnsi="Cambria" w:cs="Cambria"/>
          <w:i/>
        </w:rPr>
        <w:t>σA</w:t>
      </w:r>
      <w:r>
        <w:rPr>
          <w:rFonts w:ascii="Cambria" w:eastAsia="Cambria" w:hAnsi="Cambria" w:cs="Cambria"/>
          <w:i/>
          <w:vertAlign w:val="subscript"/>
        </w:rPr>
        <w:t>t</w:t>
      </w:r>
      <w:r>
        <w:rPr>
          <w:rFonts w:ascii="Cambria" w:eastAsia="Cambria" w:hAnsi="Cambria" w:cs="Cambria"/>
          <w:i/>
        </w:rPr>
        <w:t>dW</w:t>
      </w:r>
      <w:r>
        <w:rPr>
          <w:rFonts w:ascii="Cambria" w:eastAsia="Cambria" w:hAnsi="Cambria" w:cs="Cambria"/>
          <w:i/>
          <w:vertAlign w:val="subscript"/>
        </w:rPr>
        <w:t>t</w:t>
      </w:r>
      <w:r>
        <w:rPr>
          <w:rFonts w:ascii="Cambria" w:eastAsia="Cambria" w:hAnsi="Cambria" w:cs="Cambria"/>
          <w:i/>
          <w:vertAlign w:val="subscript"/>
        </w:rPr>
        <w:tab/>
      </w:r>
      <w:r>
        <w:rPr>
          <w:rFonts w:ascii="Cambria" w:eastAsia="Cambria" w:hAnsi="Cambria" w:cs="Cambria"/>
        </w:rPr>
        <w:t>(18)</w:t>
      </w:r>
    </w:p>
    <w:p w:rsidR="00EE13F6" w:rsidRDefault="002E5BC4">
      <w:pPr>
        <w:spacing w:after="135" w:line="264" w:lineRule="auto"/>
        <w:ind w:left="-5" w:right="468" w:hanging="10"/>
        <w:jc w:val="both"/>
      </w:pPr>
      <w:r>
        <w:rPr>
          <w:rFonts w:ascii="Cambria" w:eastAsia="Cambria" w:hAnsi="Cambria" w:cs="Cambria"/>
        </w:rPr>
        <w:t xml:space="preserve">with </w:t>
      </w:r>
      <w:r>
        <w:rPr>
          <w:rFonts w:ascii="Cambria" w:eastAsia="Cambria" w:hAnsi="Cambria" w:cs="Cambria"/>
          <w:i/>
        </w:rPr>
        <w:t>A</w:t>
      </w:r>
      <w:r>
        <w:rPr>
          <w:rFonts w:ascii="Cambria" w:eastAsia="Cambria" w:hAnsi="Cambria" w:cs="Cambria"/>
          <w:vertAlign w:val="subscript"/>
        </w:rPr>
        <w:t xml:space="preserve">0 </w:t>
      </w:r>
      <w:r>
        <w:rPr>
          <w:rFonts w:ascii="Cambria" w:eastAsia="Cambria" w:hAnsi="Cambria" w:cs="Cambria"/>
          <w:i/>
        </w:rPr>
        <w:t xml:space="preserve">&gt; </w:t>
      </w:r>
      <w:r>
        <w:rPr>
          <w:rFonts w:ascii="Cambria" w:eastAsia="Cambria" w:hAnsi="Cambria" w:cs="Cambria"/>
        </w:rPr>
        <w:t>0.</w:t>
      </w:r>
    </w:p>
    <w:p w:rsidR="00EE13F6" w:rsidRDefault="002E5BC4">
      <w:pPr>
        <w:spacing w:after="135" w:line="264" w:lineRule="auto"/>
        <w:ind w:left="-5" w:right="468" w:hanging="10"/>
        <w:jc w:val="both"/>
      </w:pPr>
      <w:r>
        <w:rPr>
          <w:rFonts w:ascii="Cambria" w:eastAsia="Cambria" w:hAnsi="Cambria" w:cs="Cambria"/>
        </w:rPr>
        <w:t>As discussed previously, the bankruptcy is trigg</w:t>
      </w:r>
      <w:r>
        <w:rPr>
          <w:rFonts w:ascii="Cambria" w:eastAsia="Cambria" w:hAnsi="Cambria" w:cs="Cambria"/>
        </w:rPr>
        <w:t xml:space="preserve">ered when the asset value falls below a predetermined threshold, </w:t>
      </w:r>
      <w:r>
        <w:rPr>
          <w:rFonts w:ascii="Cambria" w:eastAsia="Cambria" w:hAnsi="Cambria" w:cs="Cambria"/>
          <w:i/>
        </w:rPr>
        <w:t>K</w:t>
      </w:r>
      <w:r>
        <w:rPr>
          <w:rFonts w:ascii="Cambria" w:eastAsia="Cambria" w:hAnsi="Cambria" w:cs="Cambria"/>
        </w:rPr>
        <w:t xml:space="preserve">. At the difference of Leland and Toft, we will consider here an exogenous determination of </w:t>
      </w:r>
      <w:r>
        <w:rPr>
          <w:rFonts w:ascii="Cambria" w:eastAsia="Cambria" w:hAnsi="Cambria" w:cs="Cambria"/>
          <w:i/>
        </w:rPr>
        <w:t xml:space="preserve">K </w:t>
      </w:r>
      <w:r>
        <w:rPr>
          <w:rFonts w:ascii="Cambria" w:eastAsia="Cambria" w:hAnsi="Cambria" w:cs="Cambria"/>
        </w:rPr>
        <w:t xml:space="preserve">as a fraction of the debt. We consider </w:t>
      </w:r>
      <w:r>
        <w:rPr>
          <w:rFonts w:ascii="Cambria" w:eastAsia="Cambria" w:hAnsi="Cambria" w:cs="Cambria"/>
          <w:i/>
        </w:rPr>
        <w:t xml:space="preserve">K </w:t>
      </w:r>
      <w:r>
        <w:rPr>
          <w:rFonts w:ascii="Cambria" w:eastAsia="Cambria" w:hAnsi="Cambria" w:cs="Cambria"/>
        </w:rPr>
        <w:t xml:space="preserve">= </w:t>
      </w:r>
      <w:r>
        <w:rPr>
          <w:rFonts w:ascii="Cambria" w:eastAsia="Cambria" w:hAnsi="Cambria" w:cs="Cambria"/>
          <w:i/>
        </w:rPr>
        <w:t xml:space="preserve">LD </w:t>
      </w:r>
      <w:r>
        <w:rPr>
          <w:rFonts w:ascii="Cambria" w:eastAsia="Cambria" w:hAnsi="Cambria" w:cs="Cambria"/>
        </w:rPr>
        <w:t xml:space="preserve">where </w:t>
      </w:r>
      <w:r>
        <w:rPr>
          <w:rFonts w:ascii="Cambria" w:eastAsia="Cambria" w:hAnsi="Cambria" w:cs="Cambria"/>
          <w:i/>
        </w:rPr>
        <w:t xml:space="preserve">L </w:t>
      </w:r>
      <w:r>
        <w:rPr>
          <w:rFonts w:ascii="Cambria" w:eastAsia="Cambria" w:hAnsi="Cambria" w:cs="Cambria"/>
        </w:rPr>
        <w:t xml:space="preserve">designates the rate of recovery of the debt on the assets and </w:t>
      </w:r>
      <w:r>
        <w:rPr>
          <w:rFonts w:ascii="Cambria" w:eastAsia="Cambria" w:hAnsi="Cambria" w:cs="Cambria"/>
          <w:i/>
        </w:rPr>
        <w:t xml:space="preserve">D </w:t>
      </w:r>
      <w:r>
        <w:rPr>
          <w:rFonts w:ascii="Cambria" w:eastAsia="Cambria" w:hAnsi="Cambria" w:cs="Cambria"/>
        </w:rPr>
        <w:t>is the principal amount of the outstanding debt.</w:t>
      </w:r>
    </w:p>
    <w:p w:rsidR="00EE13F6" w:rsidRDefault="002E5BC4">
      <w:pPr>
        <w:spacing w:after="167" w:line="264" w:lineRule="auto"/>
        <w:ind w:left="-5" w:right="468" w:hanging="10"/>
        <w:jc w:val="both"/>
      </w:pPr>
      <w:r>
        <w:rPr>
          <w:rFonts w:ascii="Cambria" w:eastAsia="Cambria" w:hAnsi="Cambria" w:cs="Cambria"/>
        </w:rPr>
        <w:t>Following Leland and Toft (1996), we consider a corporate firm which continuously sells a constant (principal)amount of new debt of fixed matur</w:t>
      </w:r>
      <w:r>
        <w:rPr>
          <w:rFonts w:ascii="Cambria" w:eastAsia="Cambria" w:hAnsi="Cambria" w:cs="Cambria"/>
        </w:rPr>
        <w:t xml:space="preserve">ity T, which will reimburse, the outstanding principal </w:t>
      </w:r>
      <w:r>
        <w:rPr>
          <w:rFonts w:ascii="Cambria" w:eastAsia="Cambria" w:hAnsi="Cambria" w:cs="Cambria"/>
          <w:i/>
        </w:rPr>
        <w:t xml:space="preserve">P </w:t>
      </w:r>
      <w:r>
        <w:rPr>
          <w:rFonts w:ascii="Cambria" w:eastAsia="Cambria" w:hAnsi="Cambria" w:cs="Cambria"/>
        </w:rPr>
        <w:t xml:space="preserve">”In Fine” at maturity </w:t>
      </w:r>
      <w:r>
        <w:rPr>
          <w:rFonts w:ascii="Cambria" w:eastAsia="Cambria" w:hAnsi="Cambria" w:cs="Cambria"/>
          <w:i/>
        </w:rPr>
        <w:t xml:space="preserve">T </w:t>
      </w:r>
      <w:r>
        <w:rPr>
          <w:rFonts w:ascii="Cambria" w:eastAsia="Cambria" w:hAnsi="Cambria" w:cs="Cambria"/>
        </w:rPr>
        <w:t xml:space="preserve">, and at par. The new bond principal is issued at rate </w:t>
      </w:r>
      <w:r>
        <w:rPr>
          <w:rFonts w:ascii="Cambria" w:eastAsia="Cambria" w:hAnsi="Cambria" w:cs="Cambria"/>
          <w:i/>
        </w:rPr>
        <w:t xml:space="preserve">p </w:t>
      </w:r>
      <w:r>
        <w:rPr>
          <w:rFonts w:ascii="Cambria" w:eastAsia="Cambria" w:hAnsi="Cambria" w:cs="Cambria"/>
        </w:rPr>
        <w:t>= (</w:t>
      </w:r>
      <w:r>
        <w:rPr>
          <w:rFonts w:ascii="Cambria" w:eastAsia="Cambria" w:hAnsi="Cambria" w:cs="Cambria"/>
          <w:i/>
        </w:rPr>
        <w:t>P/T</w:t>
      </w:r>
      <w:r>
        <w:rPr>
          <w:rFonts w:ascii="Cambria" w:eastAsia="Cambria" w:hAnsi="Cambria" w:cs="Cambria"/>
        </w:rPr>
        <w:t xml:space="preserve">), in such a way that the outstanding amount of debt is </w:t>
      </w:r>
      <w:r>
        <w:rPr>
          <w:rFonts w:ascii="Cambria" w:eastAsia="Cambria" w:hAnsi="Cambria" w:cs="Cambria"/>
          <w:i/>
        </w:rPr>
        <w:t xml:space="preserve">P </w:t>
      </w:r>
      <w:r>
        <w:rPr>
          <w:rFonts w:ascii="Cambria" w:eastAsia="Cambria" w:hAnsi="Cambria" w:cs="Cambria"/>
        </w:rPr>
        <w:t>and the distribution of principal maturities us unifor</w:t>
      </w:r>
      <w:r>
        <w:rPr>
          <w:rFonts w:ascii="Cambria" w:eastAsia="Cambria" w:hAnsi="Cambria" w:cs="Cambria"/>
        </w:rPr>
        <w:t>m in the time interval [</w:t>
      </w:r>
      <w:r>
        <w:rPr>
          <w:rFonts w:ascii="Cambria" w:eastAsia="Cambria" w:hAnsi="Cambria" w:cs="Cambria"/>
          <w:i/>
        </w:rPr>
        <w:t xml:space="preserve">t,t </w:t>
      </w:r>
      <w:r>
        <w:rPr>
          <w:rFonts w:ascii="Cambria" w:eastAsia="Cambria" w:hAnsi="Cambria" w:cs="Cambria"/>
        </w:rPr>
        <w:t xml:space="preserve">+ </w:t>
      </w:r>
      <w:r>
        <w:rPr>
          <w:rFonts w:ascii="Cambria" w:eastAsia="Cambria" w:hAnsi="Cambria" w:cs="Cambria"/>
          <w:i/>
        </w:rPr>
        <w:t>T</w:t>
      </w:r>
      <w:r>
        <w:rPr>
          <w:rFonts w:ascii="Cambria" w:eastAsia="Cambria" w:hAnsi="Cambria" w:cs="Cambria"/>
        </w:rPr>
        <w:t xml:space="preserve">] where the present time is </w:t>
      </w:r>
      <w:r>
        <w:rPr>
          <w:rFonts w:ascii="Cambria" w:eastAsia="Cambria" w:hAnsi="Cambria" w:cs="Cambria"/>
          <w:i/>
        </w:rPr>
        <w:t xml:space="preserve">t </w:t>
      </w:r>
      <w:r>
        <w:rPr>
          <w:rFonts w:ascii="Cambria" w:eastAsia="Cambria" w:hAnsi="Cambria" w:cs="Cambria"/>
        </w:rPr>
        <w:t>= 0.</w:t>
      </w:r>
    </w:p>
    <w:p w:rsidR="00EE13F6" w:rsidRDefault="002E5BC4">
      <w:pPr>
        <w:spacing w:after="135" w:line="264" w:lineRule="auto"/>
        <w:ind w:left="-5" w:right="468" w:hanging="10"/>
        <w:jc w:val="both"/>
      </w:pPr>
      <w:r>
        <w:rPr>
          <w:rFonts w:ascii="Cambria" w:eastAsia="Cambria" w:hAnsi="Cambria" w:cs="Cambria"/>
        </w:rPr>
        <w:t xml:space="preserve">The outstanding principal amount of debt pays an aggregated coupon </w:t>
      </w:r>
      <w:r>
        <w:rPr>
          <w:rFonts w:ascii="Cambria" w:eastAsia="Cambria" w:hAnsi="Cambria" w:cs="Cambria"/>
          <w:i/>
        </w:rPr>
        <w:t xml:space="preserve">C </w:t>
      </w:r>
      <w:r>
        <w:rPr>
          <w:rFonts w:ascii="Cambria" w:eastAsia="Cambria" w:hAnsi="Cambria" w:cs="Cambria"/>
        </w:rPr>
        <w:t xml:space="preserve">on the period of </w:t>
      </w:r>
      <w:r>
        <w:rPr>
          <w:rFonts w:ascii="Cambria" w:eastAsia="Cambria" w:hAnsi="Cambria" w:cs="Cambria"/>
          <w:i/>
        </w:rPr>
        <w:t xml:space="preserve">T </w:t>
      </w:r>
      <w:r>
        <w:rPr>
          <w:rFonts w:ascii="Cambria" w:eastAsia="Cambria" w:hAnsi="Cambria" w:cs="Cambria"/>
        </w:rPr>
        <w:t xml:space="preserve">years and a constant yearly coupon rate </w:t>
      </w:r>
      <w:r>
        <w:rPr>
          <w:rFonts w:ascii="Cambria" w:eastAsia="Cambria" w:hAnsi="Cambria" w:cs="Cambria"/>
          <w:i/>
        </w:rPr>
        <w:t xml:space="preserve">c </w:t>
      </w:r>
      <w:r>
        <w:rPr>
          <w:rFonts w:ascii="Cambria" w:eastAsia="Cambria" w:hAnsi="Cambria" w:cs="Cambria"/>
        </w:rPr>
        <w:t>= (</w:t>
      </w:r>
      <w:r>
        <w:rPr>
          <w:rFonts w:ascii="Cambria" w:eastAsia="Cambria" w:hAnsi="Cambria" w:cs="Cambria"/>
          <w:i/>
        </w:rPr>
        <w:t>C/T</w:t>
      </w:r>
      <w:r>
        <w:rPr>
          <w:rFonts w:ascii="Cambria" w:eastAsia="Cambria" w:hAnsi="Cambria" w:cs="Cambria"/>
        </w:rPr>
        <w:t>) such that the total debt service per year is equal t</w:t>
      </w:r>
      <w:r>
        <w:rPr>
          <w:rFonts w:ascii="Cambria" w:eastAsia="Cambria" w:hAnsi="Cambria" w:cs="Cambria"/>
        </w:rPr>
        <w:t>o (</w:t>
      </w:r>
      <w:r>
        <w:rPr>
          <w:rFonts w:ascii="Cambria" w:eastAsia="Cambria" w:hAnsi="Cambria" w:cs="Cambria"/>
          <w:i/>
        </w:rPr>
        <w:t xml:space="preserve">C </w:t>
      </w:r>
      <w:r>
        <w:rPr>
          <w:rFonts w:ascii="Cambria" w:eastAsia="Cambria" w:hAnsi="Cambria" w:cs="Cambria"/>
        </w:rPr>
        <w:t>+</w:t>
      </w:r>
      <w:r>
        <w:rPr>
          <w:rFonts w:ascii="Cambria" w:eastAsia="Cambria" w:hAnsi="Cambria" w:cs="Cambria"/>
          <w:i/>
        </w:rPr>
        <w:t>P/T</w:t>
      </w:r>
      <w:r>
        <w:rPr>
          <w:rFonts w:ascii="Cambria" w:eastAsia="Cambria" w:hAnsi="Cambria" w:cs="Cambria"/>
        </w:rPr>
        <w:t>). In other words, on an aggregated basis, and in a stationary state, the outstanding debt pays yearly a linear amortisation of the outstanding principal plus the interest.</w:t>
      </w:r>
    </w:p>
    <w:p w:rsidR="00EE13F6" w:rsidRDefault="002E5BC4">
      <w:pPr>
        <w:spacing w:after="10" w:line="264" w:lineRule="auto"/>
        <w:ind w:left="-5" w:right="468" w:hanging="10"/>
        <w:jc w:val="both"/>
      </w:pPr>
      <w:r>
        <w:rPr>
          <w:rFonts w:ascii="Cambria" w:eastAsia="Cambria" w:hAnsi="Cambria" w:cs="Cambria"/>
        </w:rPr>
        <w:t xml:space="preserve">A bond issue with maturity </w:t>
      </w:r>
      <w:r>
        <w:rPr>
          <w:rFonts w:ascii="Cambria" w:eastAsia="Cambria" w:hAnsi="Cambria" w:cs="Cambria"/>
          <w:i/>
        </w:rPr>
        <w:t xml:space="preserve">t </w:t>
      </w:r>
      <w:r>
        <w:rPr>
          <w:rFonts w:ascii="Cambria" w:eastAsia="Cambria" w:hAnsi="Cambria" w:cs="Cambria"/>
        </w:rPr>
        <w:t xml:space="preserve">periods from present time </w:t>
      </w:r>
      <w:r>
        <w:rPr>
          <w:rFonts w:ascii="Cambria" w:eastAsia="Cambria" w:hAnsi="Cambria" w:cs="Cambria"/>
          <w:i/>
        </w:rPr>
        <w:t xml:space="preserve">τ </w:t>
      </w:r>
      <w:r>
        <w:rPr>
          <w:rFonts w:ascii="Cambria" w:eastAsia="Cambria" w:hAnsi="Cambria" w:cs="Cambria"/>
        </w:rPr>
        <w:t xml:space="preserve">= 0 and which continuously pays constant coupon flow </w:t>
      </w:r>
      <w:r>
        <w:rPr>
          <w:rFonts w:ascii="Cambria" w:eastAsia="Cambria" w:hAnsi="Cambria" w:cs="Cambria"/>
          <w:i/>
        </w:rPr>
        <w:t>c</w:t>
      </w:r>
      <w:r>
        <w:rPr>
          <w:rFonts w:ascii="Cambria" w:eastAsia="Cambria" w:hAnsi="Cambria" w:cs="Cambria"/>
        </w:rPr>
        <w:t>(</w:t>
      </w:r>
      <w:r>
        <w:rPr>
          <w:rFonts w:ascii="Cambria" w:eastAsia="Cambria" w:hAnsi="Cambria" w:cs="Cambria"/>
          <w:i/>
        </w:rPr>
        <w:t>t</w:t>
      </w:r>
      <w:r>
        <w:rPr>
          <w:rFonts w:ascii="Cambria" w:eastAsia="Cambria" w:hAnsi="Cambria" w:cs="Cambria"/>
        </w:rPr>
        <w:t xml:space="preserve">) and has principal p(t). Let’s consider </w:t>
      </w:r>
      <w:r>
        <w:rPr>
          <w:rFonts w:ascii="Cambria" w:eastAsia="Cambria" w:hAnsi="Cambria" w:cs="Cambria"/>
          <w:i/>
        </w:rPr>
        <w:t>α</w:t>
      </w:r>
      <w:r>
        <w:rPr>
          <w:rFonts w:ascii="Cambria" w:eastAsia="Cambria" w:hAnsi="Cambria" w:cs="Cambria"/>
        </w:rPr>
        <w:t>(</w:t>
      </w:r>
      <w:r>
        <w:rPr>
          <w:rFonts w:ascii="Cambria" w:eastAsia="Cambria" w:hAnsi="Cambria" w:cs="Cambria"/>
          <w:i/>
        </w:rPr>
        <w:t>t</w:t>
      </w:r>
      <w:r>
        <w:rPr>
          <w:rFonts w:ascii="Cambria" w:eastAsia="Cambria" w:hAnsi="Cambria" w:cs="Cambria"/>
        </w:rPr>
        <w:t>) the fraction of assets lost in the recovery process of the debt using the assets, such that the recovery rate on the debt if the bankruptcy occurs at time</w:t>
      </w:r>
      <w:r>
        <w:rPr>
          <w:rFonts w:ascii="Cambria" w:eastAsia="Cambria" w:hAnsi="Cambria" w:cs="Cambria"/>
        </w:rPr>
        <w:t xml:space="preserve"> </w:t>
      </w:r>
      <w:r>
        <w:rPr>
          <w:rFonts w:ascii="Cambria" w:eastAsia="Cambria" w:hAnsi="Cambria" w:cs="Cambria"/>
          <w:i/>
        </w:rPr>
        <w:t xml:space="preserve">t </w:t>
      </w:r>
      <w:r>
        <w:rPr>
          <w:rFonts w:ascii="Cambria" w:eastAsia="Cambria" w:hAnsi="Cambria" w:cs="Cambria"/>
        </w:rPr>
        <w:t xml:space="preserve">is (1 − </w:t>
      </w:r>
      <w:r>
        <w:rPr>
          <w:rFonts w:ascii="Cambria" w:eastAsia="Cambria" w:hAnsi="Cambria" w:cs="Cambria"/>
          <w:i/>
        </w:rPr>
        <w:t>α</w:t>
      </w:r>
      <w:r>
        <w:rPr>
          <w:rFonts w:ascii="Cambria" w:eastAsia="Cambria" w:hAnsi="Cambria" w:cs="Cambria"/>
        </w:rPr>
        <w:t>(</w:t>
      </w:r>
      <w:r>
        <w:rPr>
          <w:rFonts w:ascii="Cambria" w:eastAsia="Cambria" w:hAnsi="Cambria" w:cs="Cambria"/>
          <w:i/>
        </w:rPr>
        <w:t>t</w:t>
      </w:r>
      <w:r>
        <w:rPr>
          <w:rFonts w:ascii="Cambria" w:eastAsia="Cambria" w:hAnsi="Cambria" w:cs="Cambria"/>
        </w:rPr>
        <w:t>))</w:t>
      </w:r>
      <w:r>
        <w:rPr>
          <w:rFonts w:ascii="Cambria" w:eastAsia="Cambria" w:hAnsi="Cambria" w:cs="Cambria"/>
          <w:i/>
        </w:rPr>
        <w:t>K</w:t>
      </w:r>
      <w:r>
        <w:rPr>
          <w:rFonts w:ascii="Cambria" w:eastAsia="Cambria" w:hAnsi="Cambria" w:cs="Cambria"/>
        </w:rPr>
        <w:t>.</w:t>
      </w:r>
    </w:p>
    <w:p w:rsidR="00EE13F6" w:rsidRDefault="002E5BC4">
      <w:pPr>
        <w:spacing w:after="167"/>
        <w:ind w:left="-40" w:right="-157"/>
      </w:pPr>
      <w:r>
        <w:rPr>
          <w:noProof/>
        </w:rPr>
        <w:drawing>
          <wp:inline distT="0" distB="0" distL="0" distR="0">
            <wp:extent cx="6333744" cy="344424"/>
            <wp:effectExtent l="0" t="0" r="0" b="0"/>
            <wp:docPr id="221972" name="Picture 221972"/>
            <wp:cNvGraphicFramePr/>
            <a:graphic xmlns:a="http://schemas.openxmlformats.org/drawingml/2006/main">
              <a:graphicData uri="http://schemas.openxmlformats.org/drawingml/2006/picture">
                <pic:pic xmlns:pic="http://schemas.openxmlformats.org/drawingml/2006/picture">
                  <pic:nvPicPr>
                    <pic:cNvPr id="221972" name="Picture 221972"/>
                    <pic:cNvPicPr/>
                  </pic:nvPicPr>
                  <pic:blipFill>
                    <a:blip r:embed="rId189"/>
                    <a:stretch>
                      <a:fillRect/>
                    </a:stretch>
                  </pic:blipFill>
                  <pic:spPr>
                    <a:xfrm>
                      <a:off x="0" y="0"/>
                      <a:ext cx="6333744" cy="344424"/>
                    </a:xfrm>
                    <a:prstGeom prst="rect">
                      <a:avLst/>
                    </a:prstGeom>
                  </pic:spPr>
                </pic:pic>
              </a:graphicData>
            </a:graphic>
          </wp:inline>
        </w:drawing>
      </w:r>
    </w:p>
    <w:p w:rsidR="00EE13F6" w:rsidRDefault="002E5BC4">
      <w:pPr>
        <w:spacing w:after="307" w:line="264" w:lineRule="auto"/>
        <w:ind w:left="-5" w:right="468" w:hanging="10"/>
        <w:jc w:val="both"/>
      </w:pPr>
      <w:r>
        <w:rPr>
          <w:rFonts w:ascii="Cambria" w:eastAsia="Cambria" w:hAnsi="Cambria" w:cs="Cambria"/>
        </w:rPr>
        <w:t>with:</w:t>
      </w:r>
    </w:p>
    <w:p w:rsidR="00EE13F6" w:rsidRDefault="002E5BC4" w:rsidP="002E5BC4">
      <w:pPr>
        <w:numPr>
          <w:ilvl w:val="0"/>
          <w:numId w:val="39"/>
        </w:numPr>
        <w:spacing w:after="159" w:line="319" w:lineRule="auto"/>
        <w:ind w:right="468" w:hanging="218"/>
        <w:jc w:val="both"/>
      </w:pPr>
      <w:r>
        <w:rPr>
          <w:rFonts w:ascii="Cambria" w:eastAsia="Cambria" w:hAnsi="Cambria" w:cs="Cambria"/>
          <w:i/>
        </w:rPr>
        <w:t>F</w:t>
      </w:r>
      <w:r>
        <w:rPr>
          <w:rFonts w:ascii="Cambria" w:eastAsia="Cambria" w:hAnsi="Cambria" w:cs="Cambria"/>
        </w:rPr>
        <w:t>(</w:t>
      </w:r>
      <w:r>
        <w:rPr>
          <w:rFonts w:ascii="Cambria" w:eastAsia="Cambria" w:hAnsi="Cambria" w:cs="Cambria"/>
          <w:i/>
        </w:rPr>
        <w:t>t,A</w:t>
      </w:r>
      <w:r>
        <w:rPr>
          <w:rFonts w:ascii="Cambria" w:eastAsia="Cambria" w:hAnsi="Cambria" w:cs="Cambria"/>
          <w:vertAlign w:val="subscript"/>
        </w:rPr>
        <w:t>0</w:t>
      </w:r>
      <w:r>
        <w:rPr>
          <w:rFonts w:ascii="Cambria" w:eastAsia="Cambria" w:hAnsi="Cambria" w:cs="Cambria"/>
          <w:i/>
        </w:rPr>
        <w:t>,K</w:t>
      </w:r>
      <w:r>
        <w:rPr>
          <w:rFonts w:ascii="Cambria" w:eastAsia="Cambria" w:hAnsi="Cambria" w:cs="Cambria"/>
        </w:rPr>
        <w:t xml:space="preserve">) is the cumulative distribution of the first (hitting) time the asset value </w:t>
      </w:r>
      <w:r>
        <w:rPr>
          <w:rFonts w:ascii="Cambria" w:eastAsia="Cambria" w:hAnsi="Cambria" w:cs="Cambria"/>
          <w:i/>
        </w:rPr>
        <w:t xml:space="preserve">A </w:t>
      </w:r>
      <w:r>
        <w:rPr>
          <w:rFonts w:ascii="Cambria" w:eastAsia="Cambria" w:hAnsi="Cambria" w:cs="Cambria"/>
        </w:rPr>
        <w:t xml:space="preserve">with a drift </w:t>
      </w:r>
      <w:r>
        <w:rPr>
          <w:rFonts w:ascii="Cambria" w:eastAsia="Cambria" w:hAnsi="Cambria" w:cs="Cambria"/>
          <w:i/>
        </w:rPr>
        <w:t>r</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d </w:t>
      </w:r>
      <w:r>
        <w:rPr>
          <w:rFonts w:ascii="Cambria" w:eastAsia="Cambria" w:hAnsi="Cambria" w:cs="Cambria"/>
        </w:rPr>
        <w:t xml:space="preserve">and starting from </w:t>
      </w:r>
      <w:r>
        <w:rPr>
          <w:rFonts w:ascii="Cambria" w:eastAsia="Cambria" w:hAnsi="Cambria" w:cs="Cambria"/>
          <w:i/>
        </w:rPr>
        <w:t>A</w:t>
      </w:r>
      <w:r>
        <w:rPr>
          <w:rFonts w:ascii="Cambria" w:eastAsia="Cambria" w:hAnsi="Cambria" w:cs="Cambria"/>
          <w:vertAlign w:val="subscript"/>
        </w:rPr>
        <w:t xml:space="preserve">0 </w:t>
      </w:r>
      <w:r>
        <w:rPr>
          <w:rFonts w:ascii="Cambria" w:eastAsia="Cambria" w:hAnsi="Cambria" w:cs="Cambria"/>
        </w:rPr>
        <w:t xml:space="preserve">touches the bankruptcy level </w:t>
      </w:r>
      <w:r>
        <w:rPr>
          <w:rFonts w:ascii="Cambria" w:eastAsia="Cambria" w:hAnsi="Cambria" w:cs="Cambria"/>
          <w:i/>
        </w:rPr>
        <w:t>K</w:t>
      </w:r>
      <w:r>
        <w:rPr>
          <w:rFonts w:ascii="Cambria" w:eastAsia="Cambria" w:hAnsi="Cambria" w:cs="Cambria"/>
        </w:rPr>
        <w:t>.</w:t>
      </w:r>
    </w:p>
    <w:p w:rsidR="00EE13F6" w:rsidRDefault="002E5BC4" w:rsidP="002E5BC4">
      <w:pPr>
        <w:numPr>
          <w:ilvl w:val="0"/>
          <w:numId w:val="39"/>
        </w:numPr>
        <w:spacing w:after="253" w:line="319" w:lineRule="auto"/>
        <w:ind w:right="468" w:hanging="218"/>
        <w:jc w:val="both"/>
      </w:pPr>
      <w:r>
        <w:rPr>
          <w:rFonts w:ascii="Cambria" w:eastAsia="Cambria" w:hAnsi="Cambria" w:cs="Cambria"/>
          <w:i/>
        </w:rPr>
        <w:t>f</w:t>
      </w:r>
      <w:r>
        <w:rPr>
          <w:rFonts w:ascii="Cambria" w:eastAsia="Cambria" w:hAnsi="Cambria" w:cs="Cambria"/>
        </w:rPr>
        <w:t>(</w:t>
      </w:r>
      <w:r>
        <w:rPr>
          <w:rFonts w:ascii="Cambria" w:eastAsia="Cambria" w:hAnsi="Cambria" w:cs="Cambria"/>
          <w:i/>
        </w:rPr>
        <w:t>τ,A</w:t>
      </w:r>
      <w:r>
        <w:rPr>
          <w:rFonts w:ascii="Cambria" w:eastAsia="Cambria" w:hAnsi="Cambria" w:cs="Cambria"/>
          <w:vertAlign w:val="subscript"/>
        </w:rPr>
        <w:t>0</w:t>
      </w:r>
      <w:r>
        <w:rPr>
          <w:rFonts w:ascii="Cambria" w:eastAsia="Cambria" w:hAnsi="Cambria" w:cs="Cambria"/>
          <w:i/>
        </w:rPr>
        <w:t>,K</w:t>
      </w:r>
      <w:r>
        <w:rPr>
          <w:rFonts w:ascii="Cambria" w:eastAsia="Cambria" w:hAnsi="Cambria" w:cs="Cambria"/>
        </w:rPr>
        <w:t xml:space="preserve">) is the corresponding density of the first (hitting) time the asset value </w:t>
      </w:r>
      <w:r>
        <w:rPr>
          <w:rFonts w:ascii="Cambria" w:eastAsia="Cambria" w:hAnsi="Cambria" w:cs="Cambria"/>
          <w:i/>
        </w:rPr>
        <w:t xml:space="preserve">A </w:t>
      </w:r>
      <w:r>
        <w:rPr>
          <w:rFonts w:ascii="Cambria" w:eastAsia="Cambria" w:hAnsi="Cambria" w:cs="Cambria"/>
        </w:rPr>
        <w:t xml:space="preserve">with a drift </w:t>
      </w:r>
      <w:r>
        <w:rPr>
          <w:rFonts w:ascii="Cambria" w:eastAsia="Cambria" w:hAnsi="Cambria" w:cs="Cambria"/>
          <w:i/>
        </w:rPr>
        <w:t>r</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w:t>
      </w:r>
      <w:r>
        <w:rPr>
          <w:rFonts w:ascii="Cambria" w:eastAsia="Cambria" w:hAnsi="Cambria" w:cs="Cambria"/>
        </w:rPr>
        <w:t xml:space="preserve"> </w:t>
      </w:r>
      <w:r>
        <w:rPr>
          <w:rFonts w:ascii="Cambria" w:eastAsia="Cambria" w:hAnsi="Cambria" w:cs="Cambria"/>
          <w:i/>
        </w:rPr>
        <w:t xml:space="preserve">d </w:t>
      </w:r>
      <w:r>
        <w:rPr>
          <w:rFonts w:ascii="Cambria" w:eastAsia="Cambria" w:hAnsi="Cambria" w:cs="Cambria"/>
        </w:rPr>
        <w:t xml:space="preserve">and starting from </w:t>
      </w:r>
      <w:r>
        <w:rPr>
          <w:rFonts w:ascii="Cambria" w:eastAsia="Cambria" w:hAnsi="Cambria" w:cs="Cambria"/>
          <w:i/>
        </w:rPr>
        <w:t>A</w:t>
      </w:r>
      <w:r>
        <w:rPr>
          <w:rFonts w:ascii="Cambria" w:eastAsia="Cambria" w:hAnsi="Cambria" w:cs="Cambria"/>
          <w:vertAlign w:val="subscript"/>
        </w:rPr>
        <w:t xml:space="preserve">0 </w:t>
      </w:r>
      <w:r>
        <w:rPr>
          <w:rFonts w:ascii="Cambria" w:eastAsia="Cambria" w:hAnsi="Cambria" w:cs="Cambria"/>
        </w:rPr>
        <w:t xml:space="preserve">touches the bankruptcy level </w:t>
      </w:r>
      <w:r>
        <w:rPr>
          <w:rFonts w:ascii="Cambria" w:eastAsia="Cambria" w:hAnsi="Cambria" w:cs="Cambria"/>
          <w:i/>
        </w:rPr>
        <w:t>K</w:t>
      </w:r>
      <w:r>
        <w:rPr>
          <w:rFonts w:ascii="Cambria" w:eastAsia="Cambria" w:hAnsi="Cambria" w:cs="Cambria"/>
        </w:rPr>
        <w:t>.</w:t>
      </w:r>
    </w:p>
    <w:p w:rsidR="00EE13F6" w:rsidRDefault="002E5BC4">
      <w:pPr>
        <w:spacing w:after="0" w:line="264" w:lineRule="auto"/>
        <w:ind w:left="-5" w:right="468" w:hanging="10"/>
        <w:jc w:val="both"/>
      </w:pPr>
      <w:r>
        <w:rPr>
          <w:rFonts w:ascii="Cambria" w:eastAsia="Cambria" w:hAnsi="Cambria" w:cs="Cambria"/>
        </w:rPr>
        <w:t>The integration from the expression above is well known since the respective studies from Harrison and Rub</w:t>
      </w:r>
      <w:r>
        <w:rPr>
          <w:rFonts w:ascii="Cambria" w:eastAsia="Cambria" w:hAnsi="Cambria" w:cs="Cambria"/>
        </w:rPr>
        <w:t>instein and Reiner (Rubinstein and Reiner, 1991). It is described in Leland and Toft</w:t>
      </w:r>
    </w:p>
    <w:p w:rsidR="00EE13F6" w:rsidRDefault="002E5BC4">
      <w:pPr>
        <w:spacing w:after="278" w:line="264" w:lineRule="auto"/>
        <w:ind w:left="-5" w:right="468" w:hanging="10"/>
        <w:jc w:val="both"/>
      </w:pPr>
      <w:r>
        <w:rPr>
          <w:rFonts w:ascii="Cambria" w:eastAsia="Cambria" w:hAnsi="Cambria" w:cs="Cambria"/>
        </w:rPr>
        <w:t>(1996).</w:t>
      </w:r>
    </w:p>
    <w:p w:rsidR="00EE13F6" w:rsidRDefault="002E5BC4">
      <w:pPr>
        <w:tabs>
          <w:tab w:val="center" w:pos="4649"/>
          <w:tab w:val="center" w:pos="9166"/>
        </w:tabs>
        <w:spacing w:after="76" w:line="265" w:lineRule="auto"/>
      </w:pPr>
      <w:r>
        <w:lastRenderedPageBreak/>
        <w:tab/>
      </w:r>
      <w:r>
        <w:rPr>
          <w:noProof/>
        </w:rPr>
        <w:drawing>
          <wp:inline distT="0" distB="0" distL="0" distR="0">
            <wp:extent cx="4587240" cy="835152"/>
            <wp:effectExtent l="0" t="0" r="0" b="0"/>
            <wp:docPr id="221973" name="Picture 221973"/>
            <wp:cNvGraphicFramePr/>
            <a:graphic xmlns:a="http://schemas.openxmlformats.org/drawingml/2006/main">
              <a:graphicData uri="http://schemas.openxmlformats.org/drawingml/2006/picture">
                <pic:pic xmlns:pic="http://schemas.openxmlformats.org/drawingml/2006/picture">
                  <pic:nvPicPr>
                    <pic:cNvPr id="221973" name="Picture 221973"/>
                    <pic:cNvPicPr/>
                  </pic:nvPicPr>
                  <pic:blipFill>
                    <a:blip r:embed="rId190"/>
                    <a:stretch>
                      <a:fillRect/>
                    </a:stretch>
                  </pic:blipFill>
                  <pic:spPr>
                    <a:xfrm>
                      <a:off x="0" y="0"/>
                      <a:ext cx="4587240" cy="835152"/>
                    </a:xfrm>
                    <a:prstGeom prst="rect">
                      <a:avLst/>
                    </a:prstGeom>
                  </pic:spPr>
                </pic:pic>
              </a:graphicData>
            </a:graphic>
          </wp:inline>
        </w:drawing>
      </w:r>
      <w:r>
        <w:rPr>
          <w:rFonts w:ascii="Cambria" w:eastAsia="Cambria" w:hAnsi="Cambria" w:cs="Cambria"/>
        </w:rPr>
        <w:t>)</w:t>
      </w:r>
      <w:r>
        <w:rPr>
          <w:rFonts w:ascii="Cambria" w:eastAsia="Cambria" w:hAnsi="Cambria" w:cs="Cambria"/>
        </w:rPr>
        <w:tab/>
        <w:t>(19)</w:t>
      </w:r>
    </w:p>
    <w:p w:rsidR="00EE13F6" w:rsidRDefault="002E5BC4">
      <w:pPr>
        <w:spacing w:after="0"/>
        <w:ind w:left="2320"/>
      </w:pPr>
      <w:r>
        <w:rPr>
          <w:noProof/>
        </w:rPr>
        <w:drawing>
          <wp:inline distT="0" distB="0" distL="0" distR="0">
            <wp:extent cx="2910840" cy="292608"/>
            <wp:effectExtent l="0" t="0" r="0" b="0"/>
            <wp:docPr id="221974" name="Picture 221974"/>
            <wp:cNvGraphicFramePr/>
            <a:graphic xmlns:a="http://schemas.openxmlformats.org/drawingml/2006/main">
              <a:graphicData uri="http://schemas.openxmlformats.org/drawingml/2006/picture">
                <pic:pic xmlns:pic="http://schemas.openxmlformats.org/drawingml/2006/picture">
                  <pic:nvPicPr>
                    <pic:cNvPr id="221974" name="Picture 221974"/>
                    <pic:cNvPicPr/>
                  </pic:nvPicPr>
                  <pic:blipFill>
                    <a:blip r:embed="rId191"/>
                    <a:stretch>
                      <a:fillRect/>
                    </a:stretch>
                  </pic:blipFill>
                  <pic:spPr>
                    <a:xfrm>
                      <a:off x="0" y="0"/>
                      <a:ext cx="2910840" cy="292608"/>
                    </a:xfrm>
                    <a:prstGeom prst="rect">
                      <a:avLst/>
                    </a:prstGeom>
                  </pic:spPr>
                </pic:pic>
              </a:graphicData>
            </a:graphic>
          </wp:inline>
        </w:drawing>
      </w:r>
    </w:p>
    <w:p w:rsidR="00EE13F6" w:rsidRDefault="002E5BC4">
      <w:pPr>
        <w:spacing w:after="0" w:line="264" w:lineRule="auto"/>
        <w:ind w:left="-5" w:right="468" w:hanging="10"/>
        <w:jc w:val="both"/>
      </w:pPr>
      <w:r>
        <w:rPr>
          <w:rFonts w:ascii="Cambria" w:eastAsia="Cambria" w:hAnsi="Cambria" w:cs="Cambria"/>
        </w:rPr>
        <w:t>where</w:t>
      </w:r>
    </w:p>
    <w:p w:rsidR="00EE13F6" w:rsidRDefault="002E5BC4">
      <w:pPr>
        <w:spacing w:after="51" w:line="265" w:lineRule="auto"/>
        <w:ind w:left="10" w:right="3041" w:hanging="10"/>
        <w:jc w:val="center"/>
      </w:pPr>
      <w:r>
        <w:rPr>
          <w:noProof/>
        </w:rPr>
        <w:drawing>
          <wp:inline distT="0" distB="0" distL="0" distR="0">
            <wp:extent cx="4291584" cy="277368"/>
            <wp:effectExtent l="0" t="0" r="0" b="0"/>
            <wp:docPr id="221975" name="Picture 221975"/>
            <wp:cNvGraphicFramePr/>
            <a:graphic xmlns:a="http://schemas.openxmlformats.org/drawingml/2006/main">
              <a:graphicData uri="http://schemas.openxmlformats.org/drawingml/2006/picture">
                <pic:pic xmlns:pic="http://schemas.openxmlformats.org/drawingml/2006/picture">
                  <pic:nvPicPr>
                    <pic:cNvPr id="221975" name="Picture 221975"/>
                    <pic:cNvPicPr/>
                  </pic:nvPicPr>
                  <pic:blipFill>
                    <a:blip r:embed="rId192"/>
                    <a:stretch>
                      <a:fillRect/>
                    </a:stretch>
                  </pic:blipFill>
                  <pic:spPr>
                    <a:xfrm>
                      <a:off x="0" y="0"/>
                      <a:ext cx="4291584" cy="277368"/>
                    </a:xfrm>
                    <a:prstGeom prst="rect">
                      <a:avLst/>
                    </a:prstGeom>
                  </pic:spPr>
                </pic:pic>
              </a:graphicData>
            </a:graphic>
          </wp:inline>
        </w:drawing>
      </w:r>
      <w:r>
        <w:rPr>
          <w:rFonts w:ascii="Cambria" w:eastAsia="Cambria" w:hAnsi="Cambria" w:cs="Cambria"/>
        </w:rPr>
        <w:t>;</w:t>
      </w:r>
    </w:p>
    <w:p w:rsidR="00EE13F6" w:rsidRDefault="002E5BC4">
      <w:pPr>
        <w:spacing w:after="53" w:line="264" w:lineRule="auto"/>
        <w:ind w:left="-5" w:right="468" w:hanging="10"/>
        <w:jc w:val="both"/>
      </w:pPr>
      <w:r>
        <w:rPr>
          <w:rFonts w:ascii="Cambria" w:eastAsia="Cambria" w:hAnsi="Cambria" w:cs="Cambria"/>
        </w:rPr>
        <w:t>with:</w:t>
      </w:r>
    </w:p>
    <w:p w:rsidR="00EE13F6" w:rsidRDefault="002E5BC4">
      <w:pPr>
        <w:tabs>
          <w:tab w:val="center" w:pos="3052"/>
          <w:tab w:val="center" w:pos="5644"/>
        </w:tabs>
        <w:spacing w:after="135" w:line="264" w:lineRule="auto"/>
        <w:ind w:left="-15"/>
      </w:pPr>
      <w:r>
        <w:rPr>
          <w:noProof/>
        </w:rPr>
        <w:drawing>
          <wp:inline distT="0" distB="0" distL="0" distR="0">
            <wp:extent cx="771144" cy="265176"/>
            <wp:effectExtent l="0" t="0" r="0" b="0"/>
            <wp:docPr id="221976" name="Picture 221976"/>
            <wp:cNvGraphicFramePr/>
            <a:graphic xmlns:a="http://schemas.openxmlformats.org/drawingml/2006/main">
              <a:graphicData uri="http://schemas.openxmlformats.org/drawingml/2006/picture">
                <pic:pic xmlns:pic="http://schemas.openxmlformats.org/drawingml/2006/picture">
                  <pic:nvPicPr>
                    <pic:cNvPr id="221976" name="Picture 221976"/>
                    <pic:cNvPicPr/>
                  </pic:nvPicPr>
                  <pic:blipFill>
                    <a:blip r:embed="rId193"/>
                    <a:stretch>
                      <a:fillRect/>
                    </a:stretch>
                  </pic:blipFill>
                  <pic:spPr>
                    <a:xfrm>
                      <a:off x="0" y="0"/>
                      <a:ext cx="771144" cy="265176"/>
                    </a:xfrm>
                    <a:prstGeom prst="rect">
                      <a:avLst/>
                    </a:prstGeom>
                  </pic:spPr>
                </pic:pic>
              </a:graphicData>
            </a:graphic>
          </wp:inline>
        </w:drawing>
      </w:r>
      <w:r>
        <w:rPr>
          <w:rFonts w:ascii="Cambria" w:eastAsia="Cambria" w:hAnsi="Cambria" w:cs="Cambria"/>
        </w:rPr>
        <w:t>;</w:t>
      </w:r>
      <w:r>
        <w:rPr>
          <w:rFonts w:ascii="Cambria" w:eastAsia="Cambria" w:hAnsi="Cambria" w:cs="Cambria"/>
        </w:rPr>
        <w:tab/>
      </w:r>
      <w:r>
        <w:rPr>
          <w:noProof/>
        </w:rPr>
        <w:drawing>
          <wp:inline distT="0" distB="0" distL="0" distR="0">
            <wp:extent cx="545592" cy="179832"/>
            <wp:effectExtent l="0" t="0" r="0" b="0"/>
            <wp:docPr id="221978" name="Picture 221978"/>
            <wp:cNvGraphicFramePr/>
            <a:graphic xmlns:a="http://schemas.openxmlformats.org/drawingml/2006/main">
              <a:graphicData uri="http://schemas.openxmlformats.org/drawingml/2006/picture">
                <pic:pic xmlns:pic="http://schemas.openxmlformats.org/drawingml/2006/picture">
                  <pic:nvPicPr>
                    <pic:cNvPr id="221978" name="Picture 221978"/>
                    <pic:cNvPicPr/>
                  </pic:nvPicPr>
                  <pic:blipFill>
                    <a:blip r:embed="rId194"/>
                    <a:stretch>
                      <a:fillRect/>
                    </a:stretch>
                  </pic:blipFill>
                  <pic:spPr>
                    <a:xfrm>
                      <a:off x="0" y="0"/>
                      <a:ext cx="545592" cy="179832"/>
                    </a:xfrm>
                    <a:prstGeom prst="rect">
                      <a:avLst/>
                    </a:prstGeom>
                  </pic:spPr>
                </pic:pic>
              </a:graphicData>
            </a:graphic>
          </wp:inline>
        </w:drawing>
      </w:r>
      <w:r>
        <w:rPr>
          <w:rFonts w:ascii="Cambria" w:eastAsia="Cambria" w:hAnsi="Cambria" w:cs="Cambria"/>
        </w:rPr>
        <w:t>];</w:t>
      </w:r>
      <w:r>
        <w:rPr>
          <w:rFonts w:ascii="Cambria" w:eastAsia="Cambria" w:hAnsi="Cambria" w:cs="Cambria"/>
        </w:rPr>
        <w:tab/>
      </w:r>
      <w:r>
        <w:rPr>
          <w:noProof/>
        </w:rPr>
        <w:drawing>
          <wp:inline distT="0" distB="0" distL="0" distR="0">
            <wp:extent cx="1030224" cy="252984"/>
            <wp:effectExtent l="0" t="0" r="0" b="0"/>
            <wp:docPr id="221977" name="Picture 221977"/>
            <wp:cNvGraphicFramePr/>
            <a:graphic xmlns:a="http://schemas.openxmlformats.org/drawingml/2006/main">
              <a:graphicData uri="http://schemas.openxmlformats.org/drawingml/2006/picture">
                <pic:pic xmlns:pic="http://schemas.openxmlformats.org/drawingml/2006/picture">
                  <pic:nvPicPr>
                    <pic:cNvPr id="221977" name="Picture 221977"/>
                    <pic:cNvPicPr/>
                  </pic:nvPicPr>
                  <pic:blipFill>
                    <a:blip r:embed="rId195"/>
                    <a:stretch>
                      <a:fillRect/>
                    </a:stretch>
                  </pic:blipFill>
                  <pic:spPr>
                    <a:xfrm>
                      <a:off x="0" y="0"/>
                      <a:ext cx="1030224" cy="252984"/>
                    </a:xfrm>
                    <a:prstGeom prst="rect">
                      <a:avLst/>
                    </a:prstGeom>
                  </pic:spPr>
                </pic:pic>
              </a:graphicData>
            </a:graphic>
          </wp:inline>
        </w:drawing>
      </w:r>
    </w:p>
    <w:p w:rsidR="00EE13F6" w:rsidRDefault="002E5BC4">
      <w:pPr>
        <w:spacing w:after="170" w:line="264" w:lineRule="auto"/>
        <w:ind w:left="-5" w:right="468" w:hanging="10"/>
        <w:jc w:val="both"/>
      </w:pPr>
      <w:r>
        <w:rPr>
          <w:rFonts w:ascii="Cambria" w:eastAsia="Cambria" w:hAnsi="Cambria" w:cs="Cambria"/>
        </w:rPr>
        <w:t xml:space="preserve">One can see that </w:t>
      </w:r>
      <w:r>
        <w:rPr>
          <w:rFonts w:ascii="Cambria" w:eastAsia="Cambria" w:hAnsi="Cambria" w:cs="Cambria"/>
          <w:i/>
        </w:rPr>
        <w:t xml:space="preserve">a </w:t>
      </w:r>
      <w:r>
        <w:rPr>
          <w:rFonts w:ascii="Cambria" w:eastAsia="Cambria" w:hAnsi="Cambria" w:cs="Cambria"/>
        </w:rPr>
        <w:t>has exactly the same expression as in equation (12).</w:t>
      </w:r>
    </w:p>
    <w:p w:rsidR="00EE13F6" w:rsidRDefault="002E5BC4">
      <w:pPr>
        <w:spacing w:after="59" w:line="264" w:lineRule="auto"/>
        <w:ind w:left="-5" w:right="468" w:hanging="10"/>
        <w:jc w:val="both"/>
      </w:pPr>
      <w:r>
        <w:rPr>
          <w:rFonts w:ascii="Cambria" w:eastAsia="Cambria" w:hAnsi="Cambria" w:cs="Cambria"/>
        </w:rPr>
        <w:t xml:space="preserve">One can further verify that </w:t>
      </w:r>
      <w:r>
        <w:rPr>
          <w:rFonts w:ascii="Cambria" w:eastAsia="Cambria" w:hAnsi="Cambria" w:cs="Cambria"/>
          <w:i/>
        </w:rPr>
        <w:t xml:space="preserve">x </w:t>
      </w:r>
      <w:r>
        <w:rPr>
          <w:rFonts w:ascii="Cambria" w:eastAsia="Cambria" w:hAnsi="Cambria" w:cs="Cambria"/>
        </w:rPr>
        <w:t xml:space="preserve">= </w:t>
      </w:r>
      <w:r>
        <w:rPr>
          <w:rFonts w:ascii="Cambria" w:eastAsia="Cambria" w:hAnsi="Cambria" w:cs="Cambria"/>
          <w:i/>
        </w:rPr>
        <w:t xml:space="preserve">z </w:t>
      </w:r>
      <w:r>
        <w:rPr>
          <w:rFonts w:ascii="Cambria" w:eastAsia="Cambria" w:hAnsi="Cambria" w:cs="Cambria"/>
        </w:rPr>
        <w:t xml:space="preserve">+ </w:t>
      </w:r>
      <w:r>
        <w:rPr>
          <w:rFonts w:ascii="Cambria" w:eastAsia="Cambria" w:hAnsi="Cambria" w:cs="Cambria"/>
          <w:i/>
        </w:rPr>
        <w:t xml:space="preserve">a </w:t>
      </w:r>
      <w:r>
        <w:rPr>
          <w:rFonts w:ascii="Cambria" w:eastAsia="Cambria" w:hAnsi="Cambria" w:cs="Cambria"/>
        </w:rPr>
        <w:t xml:space="preserve">using the definition of </w:t>
      </w:r>
      <w:r>
        <w:rPr>
          <w:rFonts w:ascii="Cambria" w:eastAsia="Cambria" w:hAnsi="Cambria" w:cs="Cambria"/>
          <w:i/>
        </w:rPr>
        <w:t xml:space="preserve">x </w:t>
      </w:r>
      <w:r>
        <w:rPr>
          <w:rFonts w:ascii="Cambria" w:eastAsia="Cambria" w:hAnsi="Cambria" w:cs="Cambria"/>
        </w:rPr>
        <w:t>in equation (11).</w:t>
      </w:r>
    </w:p>
    <w:p w:rsidR="00EE13F6" w:rsidRDefault="002E5BC4">
      <w:pPr>
        <w:spacing w:after="210" w:line="216" w:lineRule="auto"/>
        <w:ind w:left="-5" w:right="468" w:hanging="10"/>
        <w:jc w:val="both"/>
      </w:pPr>
      <w:r>
        <w:rPr>
          <w:rFonts w:ascii="Cambria" w:eastAsia="Cambria" w:hAnsi="Cambria" w:cs="Cambria"/>
        </w:rPr>
        <w:t>The integration of equation (19) leads to</w:t>
      </w:r>
      <w:r>
        <w:rPr>
          <w:noProof/>
        </w:rPr>
        <w:drawing>
          <wp:inline distT="0" distB="0" distL="0" distR="0">
            <wp:extent cx="1871472" cy="195072"/>
            <wp:effectExtent l="0" t="0" r="0" b="0"/>
            <wp:docPr id="221979" name="Picture 221979"/>
            <wp:cNvGraphicFramePr/>
            <a:graphic xmlns:a="http://schemas.openxmlformats.org/drawingml/2006/main">
              <a:graphicData uri="http://schemas.openxmlformats.org/drawingml/2006/picture">
                <pic:pic xmlns:pic="http://schemas.openxmlformats.org/drawingml/2006/picture">
                  <pic:nvPicPr>
                    <pic:cNvPr id="221979" name="Picture 221979"/>
                    <pic:cNvPicPr/>
                  </pic:nvPicPr>
                  <pic:blipFill>
                    <a:blip r:embed="rId196"/>
                    <a:stretch>
                      <a:fillRect/>
                    </a:stretch>
                  </pic:blipFill>
                  <pic:spPr>
                    <a:xfrm>
                      <a:off x="0" y="0"/>
                      <a:ext cx="1871472" cy="195072"/>
                    </a:xfrm>
                    <a:prstGeom prst="rect">
                      <a:avLst/>
                    </a:prstGeom>
                  </pic:spPr>
                </pic:pic>
              </a:graphicData>
            </a:graphic>
          </wp:inline>
        </w:drawing>
      </w:r>
      <w:r>
        <w:rPr>
          <w:rFonts w:ascii="Cambria" w:eastAsia="Cambria" w:hAnsi="Cambria" w:cs="Cambria"/>
        </w:rPr>
        <w:t>which designates the value of all outstanding bonds with maturity T.</w:t>
      </w:r>
    </w:p>
    <w:p w:rsidR="00EE13F6" w:rsidRDefault="002E5BC4">
      <w:pPr>
        <w:spacing w:after="254" w:line="264" w:lineRule="auto"/>
        <w:ind w:left="-5" w:right="468" w:hanging="10"/>
        <w:jc w:val="both"/>
      </w:pPr>
      <w:r>
        <w:rPr>
          <w:rFonts w:ascii="Cambria" w:eastAsia="Cambria" w:hAnsi="Cambria" w:cs="Cambria"/>
        </w:rPr>
        <w:t xml:space="preserve">The computation has been done by Leland and Toft under the assumption that </w:t>
      </w:r>
      <w:r>
        <w:rPr>
          <w:rFonts w:ascii="Cambria" w:eastAsia="Cambria" w:hAnsi="Cambria" w:cs="Cambria"/>
          <w:i/>
        </w:rPr>
        <w:t>α</w:t>
      </w:r>
      <w:r>
        <w:rPr>
          <w:rFonts w:ascii="Cambria" w:eastAsia="Cambria" w:hAnsi="Cambria" w:cs="Cambria"/>
        </w:rPr>
        <w:t>(</w:t>
      </w:r>
      <w:r>
        <w:rPr>
          <w:rFonts w:ascii="Cambria" w:eastAsia="Cambria" w:hAnsi="Cambria" w:cs="Cambria"/>
          <w:i/>
        </w:rPr>
        <w:t>t</w:t>
      </w:r>
      <w:r>
        <w:rPr>
          <w:rFonts w:ascii="Cambria" w:eastAsia="Cambria" w:hAnsi="Cambria" w:cs="Cambria"/>
        </w:rPr>
        <w:t xml:space="preserve">) = </w:t>
      </w:r>
      <w:r>
        <w:rPr>
          <w:rFonts w:ascii="Cambria" w:eastAsia="Cambria" w:hAnsi="Cambria" w:cs="Cambria"/>
          <w:i/>
        </w:rPr>
        <w:t xml:space="preserve">α </w:t>
      </w:r>
      <w:r>
        <w:rPr>
          <w:rFonts w:ascii="Cambria" w:eastAsia="Cambria" w:hAnsi="Cambria" w:cs="Cambria"/>
        </w:rPr>
        <w:t>is constant which</w:t>
      </w:r>
      <w:r>
        <w:rPr>
          <w:rFonts w:ascii="Cambria" w:eastAsia="Cambria" w:hAnsi="Cambria" w:cs="Cambria"/>
        </w:rPr>
        <w:t xml:space="preserve"> supposes that all debt issued on the interval [0</w:t>
      </w:r>
      <w:r>
        <w:rPr>
          <w:rFonts w:ascii="Cambria" w:eastAsia="Cambria" w:hAnsi="Cambria" w:cs="Cambria"/>
          <w:i/>
        </w:rPr>
        <w:t>,T</w:t>
      </w:r>
      <w:r>
        <w:rPr>
          <w:rFonts w:ascii="Cambria" w:eastAsia="Cambria" w:hAnsi="Cambria" w:cs="Cambria"/>
        </w:rPr>
        <w:t>] have the same seniority. We finally obtain the expected value under the risk neutral measure of the outstanding debt of the firm in a ”stationary state”.</w:t>
      </w:r>
    </w:p>
    <w:p w:rsidR="00EE13F6" w:rsidRDefault="002E5BC4">
      <w:pPr>
        <w:tabs>
          <w:tab w:val="center" w:pos="4664"/>
          <w:tab w:val="center" w:pos="9166"/>
        </w:tabs>
        <w:spacing w:after="232" w:line="265" w:lineRule="auto"/>
      </w:pPr>
      <w:r>
        <w:tab/>
      </w:r>
      <w:r>
        <w:rPr>
          <w:noProof/>
        </w:rPr>
        <w:drawing>
          <wp:inline distT="0" distB="0" distL="0" distR="0">
            <wp:extent cx="4373881" cy="344424"/>
            <wp:effectExtent l="0" t="0" r="0" b="0"/>
            <wp:docPr id="221980" name="Picture 221980"/>
            <wp:cNvGraphicFramePr/>
            <a:graphic xmlns:a="http://schemas.openxmlformats.org/drawingml/2006/main">
              <a:graphicData uri="http://schemas.openxmlformats.org/drawingml/2006/picture">
                <pic:pic xmlns:pic="http://schemas.openxmlformats.org/drawingml/2006/picture">
                  <pic:nvPicPr>
                    <pic:cNvPr id="221980" name="Picture 221980"/>
                    <pic:cNvPicPr/>
                  </pic:nvPicPr>
                  <pic:blipFill>
                    <a:blip r:embed="rId197"/>
                    <a:stretch>
                      <a:fillRect/>
                    </a:stretch>
                  </pic:blipFill>
                  <pic:spPr>
                    <a:xfrm>
                      <a:off x="0" y="0"/>
                      <a:ext cx="4373881" cy="344424"/>
                    </a:xfrm>
                    <a:prstGeom prst="rect">
                      <a:avLst/>
                    </a:prstGeom>
                  </pic:spPr>
                </pic:pic>
              </a:graphicData>
            </a:graphic>
          </wp:inline>
        </w:drawing>
      </w:r>
      <w:r>
        <w:rPr>
          <w:rFonts w:ascii="Cambria" w:eastAsia="Cambria" w:hAnsi="Cambria" w:cs="Cambria"/>
        </w:rPr>
        <w:t>)</w:t>
      </w:r>
      <w:r>
        <w:rPr>
          <w:rFonts w:ascii="Cambria" w:eastAsia="Cambria" w:hAnsi="Cambria" w:cs="Cambria"/>
        </w:rPr>
        <w:tab/>
        <w:t>(20)</w:t>
      </w:r>
    </w:p>
    <w:p w:rsidR="00EE13F6" w:rsidRDefault="002E5BC4">
      <w:pPr>
        <w:spacing w:after="0" w:line="264" w:lineRule="auto"/>
        <w:ind w:left="-5" w:right="3683" w:hanging="10"/>
        <w:jc w:val="both"/>
      </w:pPr>
      <w:r>
        <w:rPr>
          <w:rFonts w:ascii="Cambria" w:eastAsia="Cambria" w:hAnsi="Cambria" w:cs="Cambria"/>
        </w:rPr>
        <w:t>with</w:t>
      </w:r>
    </w:p>
    <w:p w:rsidR="00EE13F6" w:rsidRDefault="002E5BC4">
      <w:pPr>
        <w:spacing w:after="294"/>
        <w:ind w:left="3160"/>
      </w:pPr>
      <w:r>
        <w:rPr>
          <w:noProof/>
        </w:rPr>
        <w:drawing>
          <wp:inline distT="0" distB="0" distL="0" distR="0">
            <wp:extent cx="1859280" cy="286512"/>
            <wp:effectExtent l="0" t="0" r="0" b="0"/>
            <wp:docPr id="221981" name="Picture 221981"/>
            <wp:cNvGraphicFramePr/>
            <a:graphic xmlns:a="http://schemas.openxmlformats.org/drawingml/2006/main">
              <a:graphicData uri="http://schemas.openxmlformats.org/drawingml/2006/picture">
                <pic:pic xmlns:pic="http://schemas.openxmlformats.org/drawingml/2006/picture">
                  <pic:nvPicPr>
                    <pic:cNvPr id="221981" name="Picture 221981"/>
                    <pic:cNvPicPr/>
                  </pic:nvPicPr>
                  <pic:blipFill>
                    <a:blip r:embed="rId198"/>
                    <a:stretch>
                      <a:fillRect/>
                    </a:stretch>
                  </pic:blipFill>
                  <pic:spPr>
                    <a:xfrm>
                      <a:off x="0" y="0"/>
                      <a:ext cx="1859280" cy="286512"/>
                    </a:xfrm>
                    <a:prstGeom prst="rect">
                      <a:avLst/>
                    </a:prstGeom>
                  </pic:spPr>
                </pic:pic>
              </a:graphicData>
            </a:graphic>
          </wp:inline>
        </w:drawing>
      </w:r>
    </w:p>
    <w:p w:rsidR="00EE13F6" w:rsidRDefault="002E5BC4">
      <w:pPr>
        <w:spacing w:after="0" w:line="264" w:lineRule="auto"/>
        <w:ind w:left="-5" w:right="1555" w:hanging="10"/>
        <w:jc w:val="both"/>
      </w:pPr>
      <w:r>
        <w:rPr>
          <w:rFonts w:ascii="Cambria" w:eastAsia="Cambria" w:hAnsi="Cambria" w:cs="Cambria"/>
        </w:rPr>
        <w:t>and</w:t>
      </w:r>
    </w:p>
    <w:p w:rsidR="00EE13F6" w:rsidRDefault="002E5BC4">
      <w:pPr>
        <w:spacing w:after="295"/>
        <w:ind w:left="1040"/>
      </w:pPr>
      <w:r>
        <w:rPr>
          <w:noProof/>
        </w:rPr>
        <w:drawing>
          <wp:inline distT="0" distB="0" distL="0" distR="0">
            <wp:extent cx="4565904" cy="362712"/>
            <wp:effectExtent l="0" t="0" r="0" b="0"/>
            <wp:docPr id="221982" name="Picture 221982"/>
            <wp:cNvGraphicFramePr/>
            <a:graphic xmlns:a="http://schemas.openxmlformats.org/drawingml/2006/main">
              <a:graphicData uri="http://schemas.openxmlformats.org/drawingml/2006/picture">
                <pic:pic xmlns:pic="http://schemas.openxmlformats.org/drawingml/2006/picture">
                  <pic:nvPicPr>
                    <pic:cNvPr id="221982" name="Picture 221982"/>
                    <pic:cNvPicPr/>
                  </pic:nvPicPr>
                  <pic:blipFill>
                    <a:blip r:embed="rId199"/>
                    <a:stretch>
                      <a:fillRect/>
                    </a:stretch>
                  </pic:blipFill>
                  <pic:spPr>
                    <a:xfrm>
                      <a:off x="0" y="0"/>
                      <a:ext cx="4565904" cy="362712"/>
                    </a:xfrm>
                    <a:prstGeom prst="rect">
                      <a:avLst/>
                    </a:prstGeom>
                  </pic:spPr>
                </pic:pic>
              </a:graphicData>
            </a:graphic>
          </wp:inline>
        </w:drawing>
      </w:r>
    </w:p>
    <w:p w:rsidR="00EE13F6" w:rsidRDefault="002E5BC4">
      <w:pPr>
        <w:spacing w:after="135" w:line="264" w:lineRule="auto"/>
        <w:ind w:left="-5" w:right="468" w:hanging="10"/>
        <w:jc w:val="both"/>
      </w:pPr>
      <w:r>
        <w:rPr>
          <w:rFonts w:ascii="Cambria" w:eastAsia="Cambria" w:hAnsi="Cambria" w:cs="Cambria"/>
        </w:rPr>
        <w:t xml:space="preserve">We then assume as in equation , that the firm value </w:t>
      </w:r>
      <w:r>
        <w:rPr>
          <w:rFonts w:ascii="Cambria" w:eastAsia="Cambria" w:hAnsi="Cambria" w:cs="Cambria"/>
          <w:i/>
        </w:rPr>
        <w:t xml:space="preserve">V </w:t>
      </w:r>
      <w:r>
        <w:rPr>
          <w:rFonts w:ascii="Cambria" w:eastAsia="Cambria" w:hAnsi="Cambria" w:cs="Cambria"/>
        </w:rPr>
        <w:t>(</w:t>
      </w:r>
      <w:r>
        <w:rPr>
          <w:rFonts w:ascii="Cambria" w:eastAsia="Cambria" w:hAnsi="Cambria" w:cs="Cambria"/>
          <w:i/>
        </w:rPr>
        <w:t>A</w:t>
      </w:r>
      <w:r>
        <w:rPr>
          <w:rFonts w:ascii="Cambria" w:eastAsia="Cambria" w:hAnsi="Cambria" w:cs="Cambria"/>
          <w:vertAlign w:val="subscript"/>
        </w:rPr>
        <w:t>0</w:t>
      </w:r>
      <w:r>
        <w:rPr>
          <w:rFonts w:ascii="Cambria" w:eastAsia="Cambria" w:hAnsi="Cambria" w:cs="Cambria"/>
          <w:i/>
        </w:rPr>
        <w:t>,K,T</w:t>
      </w:r>
      <w:r>
        <w:rPr>
          <w:rFonts w:ascii="Cambria" w:eastAsia="Cambria" w:hAnsi="Cambria" w:cs="Cambria"/>
        </w:rPr>
        <w:t xml:space="preserve">) will depend upon the asset value </w:t>
      </w:r>
      <w:r>
        <w:rPr>
          <w:rFonts w:ascii="Cambria" w:eastAsia="Cambria" w:hAnsi="Cambria" w:cs="Cambria"/>
          <w:i/>
        </w:rPr>
        <w:t>A</w:t>
      </w:r>
      <w:r>
        <w:rPr>
          <w:rFonts w:ascii="Cambria" w:eastAsia="Cambria" w:hAnsi="Cambria" w:cs="Cambria"/>
          <w:vertAlign w:val="subscript"/>
        </w:rPr>
        <w:t>0</w:t>
      </w:r>
      <w:r>
        <w:rPr>
          <w:rFonts w:ascii="Cambria" w:eastAsia="Cambria" w:hAnsi="Cambria" w:cs="Cambria"/>
        </w:rPr>
        <w:t>, the coupon tax benefit as well as the bankruptcy charges.</w:t>
      </w:r>
    </w:p>
    <w:p w:rsidR="00EE13F6" w:rsidRDefault="002E5BC4">
      <w:pPr>
        <w:spacing w:after="804" w:line="264" w:lineRule="auto"/>
        <w:ind w:left="-5" w:right="468" w:hanging="10"/>
        <w:jc w:val="both"/>
      </w:pPr>
      <w:r>
        <w:rPr>
          <w:rFonts w:ascii="Cambria" w:eastAsia="Cambria" w:hAnsi="Cambria" w:cs="Cambria"/>
        </w:rPr>
        <w:t>The value of corporate equity amounts then to:</w:t>
      </w:r>
    </w:p>
    <w:p w:rsidR="00EE13F6" w:rsidRDefault="002E5BC4">
      <w:pPr>
        <w:spacing w:after="53" w:line="264" w:lineRule="auto"/>
        <w:ind w:left="-5" w:right="2563" w:hanging="10"/>
        <w:jc w:val="both"/>
      </w:pPr>
      <w:r>
        <w:rPr>
          <w:noProof/>
        </w:rPr>
        <w:drawing>
          <wp:anchor distT="0" distB="0" distL="114300" distR="114300" simplePos="0" relativeHeight="251666432" behindDoc="0" locked="0" layoutInCell="1" allowOverlap="0">
            <wp:simplePos x="0" y="0"/>
            <wp:positionH relativeFrom="column">
              <wp:posOffset>1270002</wp:posOffset>
            </wp:positionH>
            <wp:positionV relativeFrom="paragraph">
              <wp:posOffset>-270713</wp:posOffset>
            </wp:positionV>
            <wp:extent cx="3288792" cy="704088"/>
            <wp:effectExtent l="0" t="0" r="0" b="0"/>
            <wp:wrapSquare wrapText="bothSides"/>
            <wp:docPr id="221983" name="Picture 221983"/>
            <wp:cNvGraphicFramePr/>
            <a:graphic xmlns:a="http://schemas.openxmlformats.org/drawingml/2006/main">
              <a:graphicData uri="http://schemas.openxmlformats.org/drawingml/2006/picture">
                <pic:pic xmlns:pic="http://schemas.openxmlformats.org/drawingml/2006/picture">
                  <pic:nvPicPr>
                    <pic:cNvPr id="221983" name="Picture 221983"/>
                    <pic:cNvPicPr/>
                  </pic:nvPicPr>
                  <pic:blipFill>
                    <a:blip r:embed="rId200"/>
                    <a:stretch>
                      <a:fillRect/>
                    </a:stretch>
                  </pic:blipFill>
                  <pic:spPr>
                    <a:xfrm>
                      <a:off x="0" y="0"/>
                      <a:ext cx="3288792" cy="704088"/>
                    </a:xfrm>
                    <a:prstGeom prst="rect">
                      <a:avLst/>
                    </a:prstGeom>
                  </pic:spPr>
                </pic:pic>
              </a:graphicData>
            </a:graphic>
          </wp:anchor>
        </w:drawing>
      </w:r>
      <w:r>
        <w:rPr>
          <w:rFonts w:ascii="Cambria" w:eastAsia="Cambria" w:hAnsi="Cambria" w:cs="Cambria"/>
        </w:rPr>
        <w:t>with</w:t>
      </w:r>
    </w:p>
    <w:p w:rsidR="00EE13F6" w:rsidRDefault="002E5BC4">
      <w:pPr>
        <w:spacing w:after="407" w:line="265" w:lineRule="auto"/>
        <w:ind w:left="2010" w:right="468" w:hanging="10"/>
        <w:jc w:val="right"/>
      </w:pPr>
      <w:r>
        <w:rPr>
          <w:rFonts w:ascii="Cambria" w:eastAsia="Cambria" w:hAnsi="Cambria" w:cs="Cambria"/>
        </w:rPr>
        <w:t>(21)</w:t>
      </w:r>
    </w:p>
    <w:p w:rsidR="00EE13F6" w:rsidRDefault="002E5BC4">
      <w:pPr>
        <w:spacing w:after="135" w:line="264" w:lineRule="auto"/>
        <w:ind w:left="-5" w:right="468" w:hanging="10"/>
        <w:jc w:val="both"/>
      </w:pPr>
      <w:r>
        <w:rPr>
          <w:rFonts w:ascii="Cambria" w:eastAsia="Cambria" w:hAnsi="Cambria" w:cs="Cambria"/>
        </w:rPr>
        <w:t>where x is defined as in equation (10) a</w:t>
      </w:r>
      <w:r>
        <w:rPr>
          <w:rFonts w:ascii="Cambria" w:eastAsia="Cambria" w:hAnsi="Cambria" w:cs="Cambria"/>
        </w:rPr>
        <w:t xml:space="preserve">nd (11) and where also </w:t>
      </w:r>
      <w:r>
        <w:rPr>
          <w:rFonts w:ascii="Cambria" w:eastAsia="Cambria" w:hAnsi="Cambria" w:cs="Cambria"/>
          <w:i/>
        </w:rPr>
        <w:t xml:space="preserve">x </w:t>
      </w:r>
      <w:r>
        <w:rPr>
          <w:rFonts w:ascii="Cambria" w:eastAsia="Cambria" w:hAnsi="Cambria" w:cs="Cambria"/>
        </w:rPr>
        <w:t xml:space="preserve">= </w:t>
      </w:r>
      <w:r>
        <w:rPr>
          <w:rFonts w:ascii="Cambria" w:eastAsia="Cambria" w:hAnsi="Cambria" w:cs="Cambria"/>
          <w:i/>
        </w:rPr>
        <w:t xml:space="preserve">z </w:t>
      </w:r>
      <w:r>
        <w:rPr>
          <w:rFonts w:ascii="Cambria" w:eastAsia="Cambria" w:hAnsi="Cambria" w:cs="Cambria"/>
        </w:rPr>
        <w:t xml:space="preserve">+ </w:t>
      </w:r>
      <w:r>
        <w:rPr>
          <w:rFonts w:ascii="Cambria" w:eastAsia="Cambria" w:hAnsi="Cambria" w:cs="Cambria"/>
          <w:i/>
        </w:rPr>
        <w:t>a</w:t>
      </w:r>
      <w:r>
        <w:rPr>
          <w:rFonts w:ascii="Cambria" w:eastAsia="Cambria" w:hAnsi="Cambria" w:cs="Cambria"/>
        </w:rPr>
        <w:t>.</w:t>
      </w:r>
    </w:p>
    <w:p w:rsidR="00EE13F6" w:rsidRDefault="002E5BC4">
      <w:pPr>
        <w:spacing w:after="138" w:line="257" w:lineRule="auto"/>
        <w:ind w:left="-5" w:right="468" w:hanging="10"/>
        <w:jc w:val="both"/>
      </w:pPr>
      <w:r>
        <w:rPr>
          <w:rFonts w:ascii="Cambria" w:eastAsia="Cambria" w:hAnsi="Cambria" w:cs="Cambria"/>
          <w:b/>
        </w:rPr>
        <w:lastRenderedPageBreak/>
        <w:t>Remark: Optimal Capital Structure</w:t>
      </w:r>
    </w:p>
    <w:p w:rsidR="00EE13F6" w:rsidRDefault="002E5BC4">
      <w:pPr>
        <w:spacing w:after="269" w:line="264" w:lineRule="auto"/>
        <w:ind w:left="-5" w:right="468" w:hanging="10"/>
        <w:jc w:val="both"/>
      </w:pPr>
      <w:r>
        <w:rPr>
          <w:rFonts w:ascii="Cambria" w:eastAsia="Cambria" w:hAnsi="Cambria" w:cs="Cambria"/>
        </w:rPr>
        <w:t xml:space="preserve">It is possible to determine an optimal leverage in the case of an exogenous determination of bankruptcy. The optimal value of </w:t>
      </w:r>
      <w:r>
        <w:rPr>
          <w:rFonts w:ascii="Cambria" w:eastAsia="Cambria" w:hAnsi="Cambria" w:cs="Cambria"/>
          <w:i/>
        </w:rPr>
        <w:t>P</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 xml:space="preserve">maximizes the firm value in equation (24). </w:t>
      </w:r>
      <w:r>
        <w:rPr>
          <w:rFonts w:ascii="Cambria" w:eastAsia="Cambria" w:hAnsi="Cambria" w:cs="Cambria"/>
          <w:i/>
        </w:rPr>
        <w:t xml:space="preserve">K </w:t>
      </w:r>
      <w:r>
        <w:rPr>
          <w:rFonts w:ascii="Cambria" w:eastAsia="Cambria" w:hAnsi="Cambria" w:cs="Cambria"/>
        </w:rPr>
        <w:t xml:space="preserve">the threshold is estimated at </w:t>
      </w:r>
      <w:r>
        <w:rPr>
          <w:rFonts w:ascii="Cambria" w:eastAsia="Cambria" w:hAnsi="Cambria" w:cs="Cambria"/>
          <w:i/>
        </w:rPr>
        <w:t>LP</w:t>
      </w:r>
      <w:r>
        <w:rPr>
          <w:rFonts w:ascii="Cambria" w:eastAsia="Cambria" w:hAnsi="Cambria" w:cs="Cambria"/>
        </w:rPr>
        <w:t xml:space="preserve">. The first order condition on </w:t>
      </w:r>
      <w:r>
        <w:rPr>
          <w:rFonts w:ascii="Cambria" w:eastAsia="Cambria" w:hAnsi="Cambria" w:cs="Cambria"/>
          <w:i/>
        </w:rPr>
        <w:t xml:space="preserve">V </w:t>
      </w:r>
      <w:r>
        <w:rPr>
          <w:rFonts w:ascii="Cambria" w:eastAsia="Cambria" w:hAnsi="Cambria" w:cs="Cambria"/>
        </w:rPr>
        <w:t>(</w:t>
      </w:r>
      <w:r>
        <w:rPr>
          <w:rFonts w:ascii="Cambria" w:eastAsia="Cambria" w:hAnsi="Cambria" w:cs="Cambria"/>
          <w:i/>
        </w:rPr>
        <w:t>P,K,T</w:t>
      </w:r>
      <w:r>
        <w:rPr>
          <w:rFonts w:ascii="Cambria" w:eastAsia="Cambria" w:hAnsi="Cambria" w:cs="Cambria"/>
        </w:rPr>
        <w:t>) derivatives leads to:</w:t>
      </w:r>
    </w:p>
    <w:p w:rsidR="00EE13F6" w:rsidRDefault="002E5BC4">
      <w:pPr>
        <w:tabs>
          <w:tab w:val="center" w:pos="4732"/>
          <w:tab w:val="center" w:pos="9166"/>
        </w:tabs>
        <w:spacing w:after="76" w:line="265" w:lineRule="auto"/>
      </w:pPr>
      <w:r>
        <w:tab/>
      </w:r>
      <w:r>
        <w:rPr>
          <w:noProof/>
        </w:rPr>
        <w:drawing>
          <wp:inline distT="0" distB="0" distL="0" distR="0">
            <wp:extent cx="2273808" cy="466344"/>
            <wp:effectExtent l="0" t="0" r="0" b="0"/>
            <wp:docPr id="221984" name="Picture 221984"/>
            <wp:cNvGraphicFramePr/>
            <a:graphic xmlns:a="http://schemas.openxmlformats.org/drawingml/2006/main">
              <a:graphicData uri="http://schemas.openxmlformats.org/drawingml/2006/picture">
                <pic:pic xmlns:pic="http://schemas.openxmlformats.org/drawingml/2006/picture">
                  <pic:nvPicPr>
                    <pic:cNvPr id="221984" name="Picture 221984"/>
                    <pic:cNvPicPr/>
                  </pic:nvPicPr>
                  <pic:blipFill>
                    <a:blip r:embed="rId201"/>
                    <a:stretch>
                      <a:fillRect/>
                    </a:stretch>
                  </pic:blipFill>
                  <pic:spPr>
                    <a:xfrm>
                      <a:off x="0" y="0"/>
                      <a:ext cx="2273808" cy="466344"/>
                    </a:xfrm>
                    <a:prstGeom prst="rect">
                      <a:avLst/>
                    </a:prstGeom>
                  </pic:spPr>
                </pic:pic>
              </a:graphicData>
            </a:graphic>
          </wp:inline>
        </w:drawing>
      </w:r>
      <w:r>
        <w:rPr>
          <w:rFonts w:ascii="Cambria" w:eastAsia="Cambria" w:hAnsi="Cambria" w:cs="Cambria"/>
        </w:rPr>
        <w:tab/>
        <w:t>(22)</w:t>
      </w:r>
    </w:p>
    <w:p w:rsidR="00EE13F6" w:rsidRDefault="002E5BC4">
      <w:pPr>
        <w:spacing w:after="170" w:line="264" w:lineRule="auto"/>
        <w:ind w:left="-5" w:right="468" w:hanging="10"/>
        <w:jc w:val="both"/>
      </w:pPr>
      <w:r>
        <w:rPr>
          <w:rFonts w:ascii="Cambria" w:eastAsia="Cambria" w:hAnsi="Cambria" w:cs="Cambria"/>
        </w:rPr>
        <w:t xml:space="preserve">where </w:t>
      </w:r>
      <w:r>
        <w:rPr>
          <w:rFonts w:ascii="Cambria" w:eastAsia="Cambria" w:hAnsi="Cambria" w:cs="Cambria"/>
          <w:i/>
        </w:rPr>
        <w:t>s</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is the corporate credit spread corresponding to the maturity T.</w:t>
      </w:r>
    </w:p>
    <w:p w:rsidR="00EE13F6" w:rsidRDefault="002E5BC4">
      <w:pPr>
        <w:spacing w:after="292" w:line="264" w:lineRule="auto"/>
        <w:ind w:left="-5" w:right="468" w:hanging="10"/>
        <w:jc w:val="both"/>
      </w:pPr>
      <w:r>
        <w:rPr>
          <w:rFonts w:ascii="Cambria" w:eastAsia="Cambria" w:hAnsi="Cambria" w:cs="Cambria"/>
        </w:rPr>
        <w:t>Equation (25) above can be written in terms of optimal leverage, as follows:</w:t>
      </w:r>
    </w:p>
    <w:p w:rsidR="00EE13F6" w:rsidRDefault="002E5BC4">
      <w:pPr>
        <w:tabs>
          <w:tab w:val="center" w:pos="4731"/>
          <w:tab w:val="center" w:pos="9166"/>
        </w:tabs>
        <w:spacing w:after="208" w:line="265" w:lineRule="auto"/>
      </w:pPr>
      <w:r>
        <w:tab/>
      </w:r>
      <w:r>
        <w:rPr>
          <w:noProof/>
        </w:rPr>
        <w:drawing>
          <wp:inline distT="0" distB="0" distL="0" distR="0">
            <wp:extent cx="2225040" cy="463296"/>
            <wp:effectExtent l="0" t="0" r="0" b="0"/>
            <wp:docPr id="221985" name="Picture 221985"/>
            <wp:cNvGraphicFramePr/>
            <a:graphic xmlns:a="http://schemas.openxmlformats.org/drawingml/2006/main">
              <a:graphicData uri="http://schemas.openxmlformats.org/drawingml/2006/picture">
                <pic:pic xmlns:pic="http://schemas.openxmlformats.org/drawingml/2006/picture">
                  <pic:nvPicPr>
                    <pic:cNvPr id="221985" name="Picture 221985"/>
                    <pic:cNvPicPr/>
                  </pic:nvPicPr>
                  <pic:blipFill>
                    <a:blip r:embed="rId202"/>
                    <a:stretch>
                      <a:fillRect/>
                    </a:stretch>
                  </pic:blipFill>
                  <pic:spPr>
                    <a:xfrm>
                      <a:off x="0" y="0"/>
                      <a:ext cx="2225040" cy="463296"/>
                    </a:xfrm>
                    <a:prstGeom prst="rect">
                      <a:avLst/>
                    </a:prstGeom>
                  </pic:spPr>
                </pic:pic>
              </a:graphicData>
            </a:graphic>
          </wp:inline>
        </w:drawing>
      </w:r>
      <w:r>
        <w:rPr>
          <w:rFonts w:ascii="Cambria" w:eastAsia="Cambria" w:hAnsi="Cambria" w:cs="Cambria"/>
        </w:rPr>
        <w:tab/>
      </w:r>
      <w:r>
        <w:rPr>
          <w:rFonts w:ascii="Cambria" w:eastAsia="Cambria" w:hAnsi="Cambria" w:cs="Cambria"/>
        </w:rPr>
        <w:t>(23)</w:t>
      </w:r>
    </w:p>
    <w:p w:rsidR="00EE13F6" w:rsidRDefault="002E5BC4">
      <w:pPr>
        <w:spacing w:after="135" w:line="264" w:lineRule="auto"/>
        <w:ind w:left="-5" w:right="468" w:hanging="10"/>
        <w:jc w:val="both"/>
      </w:pPr>
      <w:r>
        <w:rPr>
          <w:rFonts w:ascii="Cambria" w:eastAsia="Cambria" w:hAnsi="Cambria" w:cs="Cambria"/>
        </w:rPr>
        <w:t xml:space="preserve">One can see directly on equation above, that the value of </w:t>
      </w:r>
      <w:r>
        <w:rPr>
          <w:rFonts w:ascii="Cambria" w:eastAsia="Cambria" w:hAnsi="Cambria" w:cs="Cambria"/>
          <w:i/>
        </w:rPr>
        <w:t>P</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 xml:space="preserve">will be ”stationary” if the asset value has no drift. In the general case, this optimum value will change with </w:t>
      </w:r>
      <w:r>
        <w:rPr>
          <w:rFonts w:ascii="Cambria" w:eastAsia="Cambria" w:hAnsi="Cambria" w:cs="Cambria"/>
          <w:i/>
        </w:rPr>
        <w:t>A</w:t>
      </w:r>
      <w:r>
        <w:rPr>
          <w:rFonts w:ascii="Cambria" w:eastAsia="Cambria" w:hAnsi="Cambria" w:cs="Cambria"/>
          <w:i/>
          <w:vertAlign w:val="subscript"/>
        </w:rPr>
        <w:t xml:space="preserve">t </w:t>
      </w:r>
      <w:r>
        <w:rPr>
          <w:rFonts w:ascii="Cambria" w:eastAsia="Cambria" w:hAnsi="Cambria" w:cs="Cambria"/>
        </w:rPr>
        <w:t xml:space="preserve">and </w:t>
      </w:r>
      <w:r>
        <w:rPr>
          <w:rFonts w:ascii="Cambria" w:eastAsia="Cambria" w:hAnsi="Cambria" w:cs="Cambria"/>
          <w:i/>
        </w:rPr>
        <w:t>P</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can therefore be considered as a moving target.</w:t>
      </w:r>
    </w:p>
    <w:p w:rsidR="00EE13F6" w:rsidRDefault="002E5BC4">
      <w:pPr>
        <w:spacing w:after="454" w:line="216" w:lineRule="auto"/>
        <w:ind w:left="-5" w:right="468" w:hanging="10"/>
        <w:jc w:val="both"/>
      </w:pPr>
      <w:r>
        <w:rPr>
          <w:rFonts w:ascii="Cambria" w:eastAsia="Cambria" w:hAnsi="Cambria" w:cs="Cambria"/>
        </w:rPr>
        <w:t xml:space="preserve">However, in terms of capital structure, one can see directly on equation (23), that the optimal capital structure </w:t>
      </w:r>
      <w:r>
        <w:rPr>
          <w:noProof/>
        </w:rPr>
        <w:drawing>
          <wp:inline distT="0" distB="0" distL="0" distR="0">
            <wp:extent cx="143256" cy="195072"/>
            <wp:effectExtent l="0" t="0" r="0" b="0"/>
            <wp:docPr id="221986" name="Picture 221986"/>
            <wp:cNvGraphicFramePr/>
            <a:graphic xmlns:a="http://schemas.openxmlformats.org/drawingml/2006/main">
              <a:graphicData uri="http://schemas.openxmlformats.org/drawingml/2006/picture">
                <pic:pic xmlns:pic="http://schemas.openxmlformats.org/drawingml/2006/picture">
                  <pic:nvPicPr>
                    <pic:cNvPr id="221986" name="Picture 221986"/>
                    <pic:cNvPicPr/>
                  </pic:nvPicPr>
                  <pic:blipFill>
                    <a:blip r:embed="rId203"/>
                    <a:stretch>
                      <a:fillRect/>
                    </a:stretch>
                  </pic:blipFill>
                  <pic:spPr>
                    <a:xfrm>
                      <a:off x="0" y="0"/>
                      <a:ext cx="143256" cy="195072"/>
                    </a:xfrm>
                    <a:prstGeom prst="rect">
                      <a:avLst/>
                    </a:prstGeom>
                  </pic:spPr>
                </pic:pic>
              </a:graphicData>
            </a:graphic>
          </wp:inline>
        </w:drawing>
      </w:r>
      <w:r>
        <w:rPr>
          <w:rFonts w:ascii="Cambria" w:eastAsia="Cambria" w:hAnsi="Cambria" w:cs="Cambria"/>
        </w:rPr>
        <w:t xml:space="preserve"> is constant as long as </w:t>
      </w:r>
      <w:r>
        <w:rPr>
          <w:rFonts w:ascii="Cambria" w:eastAsia="Cambria" w:hAnsi="Cambria" w:cs="Cambria"/>
          <w:i/>
        </w:rPr>
        <w:t>ρ,r,s</w:t>
      </w:r>
      <w:r>
        <w:rPr>
          <w:rFonts w:ascii="Cambria" w:eastAsia="Cambria" w:hAnsi="Cambria" w:cs="Cambria"/>
          <w:vertAlign w:val="superscript"/>
        </w:rPr>
        <w:t>∗</w:t>
      </w:r>
      <w:r>
        <w:rPr>
          <w:rFonts w:ascii="Cambria" w:eastAsia="Cambria" w:hAnsi="Cambria" w:cs="Cambria"/>
          <w:i/>
        </w:rPr>
        <w:t xml:space="preserve">,d,σ </w:t>
      </w:r>
      <w:r>
        <w:rPr>
          <w:rFonts w:ascii="Cambria" w:eastAsia="Cambria" w:hAnsi="Cambria" w:cs="Cambria"/>
        </w:rPr>
        <w:t>are fixed.</w:t>
      </w:r>
    </w:p>
    <w:p w:rsidR="00EE13F6" w:rsidRDefault="002E5BC4">
      <w:pPr>
        <w:pStyle w:val="Heading2"/>
        <w:tabs>
          <w:tab w:val="center" w:pos="2973"/>
        </w:tabs>
        <w:spacing w:after="266" w:line="251" w:lineRule="auto"/>
        <w:ind w:left="-15" w:firstLine="0"/>
      </w:pPr>
      <w:r>
        <w:t>1.4</w:t>
      </w:r>
      <w:r>
        <w:tab/>
        <w:t>Addition, Superposition and Limit Case</w:t>
      </w:r>
    </w:p>
    <w:p w:rsidR="00EE13F6" w:rsidRDefault="002E5BC4">
      <w:pPr>
        <w:spacing w:after="135" w:line="264" w:lineRule="auto"/>
        <w:ind w:left="-5" w:right="468" w:hanging="10"/>
        <w:jc w:val="both"/>
      </w:pPr>
      <w:r>
        <w:rPr>
          <w:rFonts w:ascii="Cambria" w:eastAsia="Cambria" w:hAnsi="Cambria" w:cs="Cambria"/>
        </w:rPr>
        <w:t>It follows from equation (14) and (21), which are the same, that the corporate firm’s value depends of overall coupon paid on both fixed term debt and perpetual debt. Consequently, we can consider in equation (9) the sum of all coupon paid for all debt mat</w:t>
      </w:r>
      <w:r>
        <w:rPr>
          <w:rFonts w:ascii="Cambria" w:eastAsia="Cambria" w:hAnsi="Cambria" w:cs="Cambria"/>
        </w:rPr>
        <w:t>urity classes, as long as we consider a threshold established on the total outstanding amount of principal debt and the same seniority for the debt considered.</w:t>
      </w:r>
    </w:p>
    <w:p w:rsidR="00EE13F6" w:rsidRDefault="002E5BC4">
      <w:pPr>
        <w:spacing w:after="135" w:line="264" w:lineRule="auto"/>
        <w:ind w:left="-5" w:right="468" w:hanging="10"/>
        <w:jc w:val="both"/>
      </w:pPr>
      <w:r>
        <w:rPr>
          <w:rFonts w:ascii="Cambria" w:eastAsia="Cambria" w:hAnsi="Cambria" w:cs="Cambria"/>
        </w:rPr>
        <w:t>In order to compute exactly the equity value, we need to consider the case of a corporation wher</w:t>
      </w:r>
      <w:r>
        <w:rPr>
          <w:rFonts w:ascii="Cambria" w:eastAsia="Cambria" w:hAnsi="Cambria" w:cs="Cambria"/>
        </w:rPr>
        <w:t>e debt of several maturities are issued. Practically, it comes to computing the respective values for each debt maturity according to equation (20). In some particular cases, where the corporation has issued hundreds of corporate bonds with various maturit</w:t>
      </w:r>
      <w:r>
        <w:rPr>
          <w:rFonts w:ascii="Cambria" w:eastAsia="Cambria" w:hAnsi="Cambria" w:cs="Cambria"/>
        </w:rPr>
        <w:t>ies, it can be burdensome.</w:t>
      </w:r>
    </w:p>
    <w:p w:rsidR="00EE13F6" w:rsidRDefault="002E5BC4">
      <w:pPr>
        <w:spacing w:after="135" w:line="264" w:lineRule="auto"/>
        <w:ind w:left="-5" w:right="468" w:hanging="10"/>
        <w:jc w:val="both"/>
      </w:pPr>
      <w:r>
        <w:rPr>
          <w:rFonts w:ascii="Cambria" w:eastAsia="Cambria" w:hAnsi="Cambria" w:cs="Cambria"/>
        </w:rPr>
        <w:t>As a proxy, we will consider the case of a corporation which issues continuously debt and is redeeming it at the same rate such that the outstanding amount of principal debt is constant, as well as the ”average maturity”. Because</w:t>
      </w:r>
      <w:r>
        <w:rPr>
          <w:rFonts w:ascii="Cambria" w:eastAsia="Cambria" w:hAnsi="Cambria" w:cs="Cambria"/>
        </w:rPr>
        <w:t xml:space="preserve"> the debt newly issued can be issued at a different price than par, it means that any difference will be offset by the corporation through equity issuance or redemption. We will consider this model is an acceptable proxy.</w:t>
      </w:r>
    </w:p>
    <w:p w:rsidR="00EE13F6" w:rsidRDefault="002E5BC4">
      <w:pPr>
        <w:spacing w:after="292" w:line="264" w:lineRule="auto"/>
        <w:ind w:left="-5" w:right="468" w:hanging="10"/>
        <w:jc w:val="both"/>
      </w:pPr>
      <w:r>
        <w:rPr>
          <w:rFonts w:ascii="Cambria" w:eastAsia="Cambria" w:hAnsi="Cambria" w:cs="Cambria"/>
        </w:rPr>
        <w:t>The model which is described in Le</w:t>
      </w:r>
      <w:r>
        <w:rPr>
          <w:rFonts w:ascii="Cambria" w:eastAsia="Cambria" w:hAnsi="Cambria" w:cs="Cambria"/>
        </w:rPr>
        <w:t>land and Toft (1996) writes for the expectation of the debt’s value under the risk neutral assumption:</w:t>
      </w:r>
    </w:p>
    <w:p w:rsidR="00EE13F6" w:rsidRDefault="002E5BC4">
      <w:pPr>
        <w:tabs>
          <w:tab w:val="center" w:pos="4691"/>
          <w:tab w:val="center" w:pos="9166"/>
        </w:tabs>
        <w:spacing w:after="286" w:line="265" w:lineRule="auto"/>
      </w:pPr>
      <w:r>
        <w:tab/>
      </w:r>
      <w:r>
        <w:rPr>
          <w:noProof/>
        </w:rPr>
        <w:drawing>
          <wp:inline distT="0" distB="0" distL="0" distR="0">
            <wp:extent cx="3044952" cy="335280"/>
            <wp:effectExtent l="0" t="0" r="0" b="0"/>
            <wp:docPr id="221987" name="Picture 221987"/>
            <wp:cNvGraphicFramePr/>
            <a:graphic xmlns:a="http://schemas.openxmlformats.org/drawingml/2006/main">
              <a:graphicData uri="http://schemas.openxmlformats.org/drawingml/2006/picture">
                <pic:pic xmlns:pic="http://schemas.openxmlformats.org/drawingml/2006/picture">
                  <pic:nvPicPr>
                    <pic:cNvPr id="221987" name="Picture 221987"/>
                    <pic:cNvPicPr/>
                  </pic:nvPicPr>
                  <pic:blipFill>
                    <a:blip r:embed="rId204"/>
                    <a:stretch>
                      <a:fillRect/>
                    </a:stretch>
                  </pic:blipFill>
                  <pic:spPr>
                    <a:xfrm>
                      <a:off x="0" y="0"/>
                      <a:ext cx="3044952" cy="335280"/>
                    </a:xfrm>
                    <a:prstGeom prst="rect">
                      <a:avLst/>
                    </a:prstGeom>
                  </pic:spPr>
                </pic:pic>
              </a:graphicData>
            </a:graphic>
          </wp:inline>
        </w:drawing>
      </w:r>
      <w:r>
        <w:rPr>
          <w:rFonts w:ascii="Cambria" w:eastAsia="Cambria" w:hAnsi="Cambria" w:cs="Cambria"/>
        </w:rPr>
        <w:tab/>
        <w:t>(24)</w:t>
      </w:r>
    </w:p>
    <w:p w:rsidR="00EE13F6" w:rsidRDefault="002E5BC4">
      <w:pPr>
        <w:spacing w:after="135" w:line="264" w:lineRule="auto"/>
        <w:ind w:left="-5" w:right="468" w:hanging="10"/>
        <w:jc w:val="both"/>
      </w:pPr>
      <w:r>
        <w:rPr>
          <w:rFonts w:ascii="Cambria" w:eastAsia="Cambria" w:hAnsi="Cambria" w:cs="Cambria"/>
          <w:i/>
        </w:rPr>
        <w:lastRenderedPageBreak/>
        <w:t xml:space="preserve">M </w:t>
      </w:r>
      <w:r>
        <w:rPr>
          <w:rFonts w:ascii="Cambria" w:eastAsia="Cambria" w:hAnsi="Cambria" w:cs="Cambria"/>
        </w:rPr>
        <w:t xml:space="preserve">designates the average maturity and </w:t>
      </w:r>
      <w:r>
        <w:rPr>
          <w:rFonts w:ascii="Cambria" w:eastAsia="Cambria" w:hAnsi="Cambria" w:cs="Cambria"/>
          <w:i/>
        </w:rPr>
        <w:t xml:space="preserve">m </w:t>
      </w:r>
      <w:r>
        <w:rPr>
          <w:rFonts w:ascii="Cambria" w:eastAsia="Cambria" w:hAnsi="Cambria" w:cs="Cambria"/>
        </w:rPr>
        <w:t xml:space="preserve">= </w:t>
      </w:r>
      <w:r>
        <w:rPr>
          <w:rFonts w:ascii="Cambria" w:eastAsia="Cambria" w:hAnsi="Cambria" w:cs="Cambria"/>
          <w:i/>
          <w:vertAlign w:val="subscript"/>
        </w:rPr>
        <w:t>M</w:t>
      </w:r>
      <w:r>
        <w:rPr>
          <w:rFonts w:ascii="Cambria" w:eastAsia="Cambria" w:hAnsi="Cambria" w:cs="Cambria"/>
          <w:u w:val="single" w:color="000000"/>
          <w:vertAlign w:val="superscript"/>
        </w:rPr>
        <w:t xml:space="preserve">1 </w:t>
      </w:r>
      <w:r>
        <w:rPr>
          <w:rFonts w:ascii="Cambria" w:eastAsia="Cambria" w:hAnsi="Cambria" w:cs="Cambria"/>
        </w:rPr>
        <w:t xml:space="preserve">the ”average” rate at which the outstanding debt is renewed. </w:t>
      </w:r>
      <w:r>
        <w:rPr>
          <w:rFonts w:ascii="Cambria" w:eastAsia="Cambria" w:hAnsi="Cambria" w:cs="Cambria"/>
          <w:i/>
        </w:rPr>
        <w:t xml:space="preserve">P </w:t>
      </w:r>
      <w:r>
        <w:rPr>
          <w:rFonts w:ascii="Cambria" w:eastAsia="Cambria" w:hAnsi="Cambria" w:cs="Cambria"/>
        </w:rPr>
        <w:t xml:space="preserve">designates the outstanding principal </w:t>
      </w:r>
      <w:r>
        <w:rPr>
          <w:rFonts w:ascii="Cambria" w:eastAsia="Cambria" w:hAnsi="Cambria" w:cs="Cambria"/>
        </w:rPr>
        <w:t xml:space="preserve">amount of the corporation’s debt. </w:t>
      </w:r>
      <w:r>
        <w:rPr>
          <w:rFonts w:ascii="Cambria" w:eastAsia="Cambria" w:hAnsi="Cambria" w:cs="Cambria"/>
          <w:i/>
        </w:rPr>
        <w:t xml:space="preserve">δ </w:t>
      </w:r>
      <w:r>
        <w:rPr>
          <w:rFonts w:ascii="Cambria" w:eastAsia="Cambria" w:hAnsi="Cambria" w:cs="Cambria"/>
        </w:rPr>
        <w:t>designate the continuous ”dividend yield” paid out on the corporate assets.</w:t>
      </w:r>
    </w:p>
    <w:p w:rsidR="00EE13F6" w:rsidRDefault="002E5BC4">
      <w:pPr>
        <w:spacing w:after="72" w:line="264" w:lineRule="auto"/>
        <w:ind w:left="-5" w:right="468" w:hanging="10"/>
        <w:jc w:val="both"/>
      </w:pPr>
      <w:r>
        <w:rPr>
          <w:rFonts w:ascii="Cambria" w:eastAsia="Cambria" w:hAnsi="Cambria" w:cs="Cambria"/>
        </w:rPr>
        <w:t>We compute from equation (10) the quantity</w:t>
      </w:r>
    </w:p>
    <w:p w:rsidR="00EE13F6" w:rsidRDefault="002E5BC4">
      <w:pPr>
        <w:spacing w:after="258"/>
        <w:ind w:left="1920"/>
      </w:pPr>
      <w:r>
        <w:rPr>
          <w:noProof/>
        </w:rPr>
        <w:drawing>
          <wp:inline distT="0" distB="0" distL="0" distR="0">
            <wp:extent cx="3435096" cy="356616"/>
            <wp:effectExtent l="0" t="0" r="0" b="0"/>
            <wp:docPr id="221988" name="Picture 221988"/>
            <wp:cNvGraphicFramePr/>
            <a:graphic xmlns:a="http://schemas.openxmlformats.org/drawingml/2006/main">
              <a:graphicData uri="http://schemas.openxmlformats.org/drawingml/2006/picture">
                <pic:pic xmlns:pic="http://schemas.openxmlformats.org/drawingml/2006/picture">
                  <pic:nvPicPr>
                    <pic:cNvPr id="221988" name="Picture 221988"/>
                    <pic:cNvPicPr/>
                  </pic:nvPicPr>
                  <pic:blipFill>
                    <a:blip r:embed="rId205"/>
                    <a:stretch>
                      <a:fillRect/>
                    </a:stretch>
                  </pic:blipFill>
                  <pic:spPr>
                    <a:xfrm>
                      <a:off x="0" y="0"/>
                      <a:ext cx="3435096" cy="356616"/>
                    </a:xfrm>
                    <a:prstGeom prst="rect">
                      <a:avLst/>
                    </a:prstGeom>
                  </pic:spPr>
                </pic:pic>
              </a:graphicData>
            </a:graphic>
          </wp:inline>
        </w:drawing>
      </w:r>
    </w:p>
    <w:p w:rsidR="00EE13F6" w:rsidRDefault="002E5BC4">
      <w:pPr>
        <w:spacing w:after="135" w:line="264" w:lineRule="auto"/>
        <w:ind w:left="-5" w:right="468" w:hanging="10"/>
        <w:jc w:val="both"/>
      </w:pPr>
      <w:r>
        <w:rPr>
          <w:rFonts w:ascii="Cambria" w:eastAsia="Cambria" w:hAnsi="Cambria" w:cs="Cambria"/>
        </w:rPr>
        <w:t xml:space="preserve">We compute from equation (11) the quantity </w:t>
      </w:r>
      <w:r>
        <w:rPr>
          <w:rFonts w:ascii="Cambria" w:eastAsia="Cambria" w:hAnsi="Cambria" w:cs="Cambria"/>
          <w:i/>
        </w:rPr>
        <w:t xml:space="preserve">x </w:t>
      </w:r>
      <w:r>
        <w:rPr>
          <w:rFonts w:ascii="Cambria" w:eastAsia="Cambria" w:hAnsi="Cambria" w:cs="Cambria"/>
        </w:rPr>
        <w:t>such that the corporation’s value is:</w:t>
      </w:r>
    </w:p>
    <w:p w:rsidR="00EE13F6" w:rsidRDefault="002E5BC4">
      <w:pPr>
        <w:spacing w:after="293"/>
        <w:ind w:left="2640"/>
      </w:pPr>
      <w:r>
        <w:rPr>
          <w:noProof/>
        </w:rPr>
        <w:drawing>
          <wp:inline distT="0" distB="0" distL="0" distR="0">
            <wp:extent cx="2526792" cy="335280"/>
            <wp:effectExtent l="0" t="0" r="0" b="0"/>
            <wp:docPr id="221989" name="Picture 221989"/>
            <wp:cNvGraphicFramePr/>
            <a:graphic xmlns:a="http://schemas.openxmlformats.org/drawingml/2006/main">
              <a:graphicData uri="http://schemas.openxmlformats.org/drawingml/2006/picture">
                <pic:pic xmlns:pic="http://schemas.openxmlformats.org/drawingml/2006/picture">
                  <pic:nvPicPr>
                    <pic:cNvPr id="221989" name="Picture 221989"/>
                    <pic:cNvPicPr/>
                  </pic:nvPicPr>
                  <pic:blipFill>
                    <a:blip r:embed="rId206"/>
                    <a:stretch>
                      <a:fillRect/>
                    </a:stretch>
                  </pic:blipFill>
                  <pic:spPr>
                    <a:xfrm>
                      <a:off x="0" y="0"/>
                      <a:ext cx="2526792" cy="335280"/>
                    </a:xfrm>
                    <a:prstGeom prst="rect">
                      <a:avLst/>
                    </a:prstGeom>
                  </pic:spPr>
                </pic:pic>
              </a:graphicData>
            </a:graphic>
          </wp:inline>
        </w:drawing>
      </w:r>
    </w:p>
    <w:p w:rsidR="00EE13F6" w:rsidRDefault="002E5BC4">
      <w:pPr>
        <w:spacing w:after="0" w:line="264" w:lineRule="auto"/>
        <w:ind w:left="-5" w:right="2779" w:hanging="10"/>
        <w:jc w:val="both"/>
      </w:pPr>
      <w:r>
        <w:rPr>
          <w:rFonts w:ascii="Cambria" w:eastAsia="Cambria" w:hAnsi="Cambria" w:cs="Cambria"/>
        </w:rPr>
        <w:t>with</w:t>
      </w:r>
    </w:p>
    <w:p w:rsidR="00EE13F6" w:rsidRDefault="002E5BC4">
      <w:pPr>
        <w:spacing w:after="259"/>
        <w:ind w:left="2240"/>
      </w:pPr>
      <w:r>
        <w:rPr>
          <w:noProof/>
        </w:rPr>
        <w:drawing>
          <wp:inline distT="0" distB="0" distL="0" distR="0">
            <wp:extent cx="3041904" cy="359664"/>
            <wp:effectExtent l="0" t="0" r="0" b="0"/>
            <wp:docPr id="221990" name="Picture 221990"/>
            <wp:cNvGraphicFramePr/>
            <a:graphic xmlns:a="http://schemas.openxmlformats.org/drawingml/2006/main">
              <a:graphicData uri="http://schemas.openxmlformats.org/drawingml/2006/picture">
                <pic:pic xmlns:pic="http://schemas.openxmlformats.org/drawingml/2006/picture">
                  <pic:nvPicPr>
                    <pic:cNvPr id="221990" name="Picture 221990"/>
                    <pic:cNvPicPr/>
                  </pic:nvPicPr>
                  <pic:blipFill>
                    <a:blip r:embed="rId207"/>
                    <a:stretch>
                      <a:fillRect/>
                    </a:stretch>
                  </pic:blipFill>
                  <pic:spPr>
                    <a:xfrm>
                      <a:off x="0" y="0"/>
                      <a:ext cx="3041904" cy="359664"/>
                    </a:xfrm>
                    <a:prstGeom prst="rect">
                      <a:avLst/>
                    </a:prstGeom>
                  </pic:spPr>
                </pic:pic>
              </a:graphicData>
            </a:graphic>
          </wp:inline>
        </w:drawing>
      </w:r>
    </w:p>
    <w:p w:rsidR="00EE13F6" w:rsidRDefault="002E5BC4">
      <w:pPr>
        <w:spacing w:after="273" w:line="264" w:lineRule="auto"/>
        <w:ind w:left="-5" w:right="468" w:hanging="10"/>
        <w:jc w:val="both"/>
      </w:pPr>
      <w:r>
        <w:rPr>
          <w:rFonts w:ascii="Cambria" w:eastAsia="Cambria" w:hAnsi="Cambria" w:cs="Cambria"/>
        </w:rPr>
        <w:t>Under the assumption that all debts have the same recovery rate, it is possible to compute then the corporate equity value by subtracting the value of the cumulated debt from corporate value. By the same token as in equation (22) we can also find the optim</w:t>
      </w:r>
      <w:r>
        <w:rPr>
          <w:rFonts w:ascii="Cambria" w:eastAsia="Cambria" w:hAnsi="Cambria" w:cs="Cambria"/>
        </w:rPr>
        <w:t>al amount of debt which will maximize the corporation’s value.</w:t>
      </w:r>
    </w:p>
    <w:p w:rsidR="00EE13F6" w:rsidRDefault="002E5BC4">
      <w:pPr>
        <w:tabs>
          <w:tab w:val="center" w:pos="4731"/>
          <w:tab w:val="center" w:pos="9166"/>
        </w:tabs>
        <w:spacing w:after="215" w:line="265" w:lineRule="auto"/>
      </w:pPr>
      <w:r>
        <w:tab/>
      </w:r>
      <w:r>
        <w:rPr>
          <w:noProof/>
        </w:rPr>
        <w:drawing>
          <wp:inline distT="0" distB="0" distL="0" distR="0">
            <wp:extent cx="2225040" cy="463296"/>
            <wp:effectExtent l="0" t="0" r="0" b="0"/>
            <wp:docPr id="221991" name="Picture 221991"/>
            <wp:cNvGraphicFramePr/>
            <a:graphic xmlns:a="http://schemas.openxmlformats.org/drawingml/2006/main">
              <a:graphicData uri="http://schemas.openxmlformats.org/drawingml/2006/picture">
                <pic:pic xmlns:pic="http://schemas.openxmlformats.org/drawingml/2006/picture">
                  <pic:nvPicPr>
                    <pic:cNvPr id="221991" name="Picture 221991"/>
                    <pic:cNvPicPr/>
                  </pic:nvPicPr>
                  <pic:blipFill>
                    <a:blip r:embed="rId208"/>
                    <a:stretch>
                      <a:fillRect/>
                    </a:stretch>
                  </pic:blipFill>
                  <pic:spPr>
                    <a:xfrm>
                      <a:off x="0" y="0"/>
                      <a:ext cx="2225040" cy="463296"/>
                    </a:xfrm>
                    <a:prstGeom prst="rect">
                      <a:avLst/>
                    </a:prstGeom>
                  </pic:spPr>
                </pic:pic>
              </a:graphicData>
            </a:graphic>
          </wp:inline>
        </w:drawing>
      </w:r>
      <w:r>
        <w:rPr>
          <w:rFonts w:ascii="Cambria" w:eastAsia="Cambria" w:hAnsi="Cambria" w:cs="Cambria"/>
        </w:rPr>
        <w:tab/>
        <w:t>(25)</w:t>
      </w:r>
    </w:p>
    <w:p w:rsidR="00EE13F6" w:rsidRDefault="002E5BC4">
      <w:pPr>
        <w:spacing w:after="618" w:line="264" w:lineRule="auto"/>
        <w:ind w:left="-5" w:right="468" w:hanging="10"/>
        <w:jc w:val="both"/>
      </w:pPr>
      <w:r>
        <w:rPr>
          <w:rFonts w:ascii="Cambria" w:eastAsia="Cambria" w:hAnsi="Cambria" w:cs="Cambria"/>
        </w:rPr>
        <w:t xml:space="preserve">where </w:t>
      </w:r>
      <w:r>
        <w:rPr>
          <w:rFonts w:ascii="Cambria" w:eastAsia="Cambria" w:hAnsi="Cambria" w:cs="Cambria"/>
          <w:i/>
        </w:rPr>
        <w:t>s</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is the corporate credit spread corresponding to the average maturity of the debt.</w:t>
      </w:r>
    </w:p>
    <w:p w:rsidR="00EE13F6" w:rsidRDefault="002E5BC4">
      <w:pPr>
        <w:pStyle w:val="Heading1"/>
        <w:spacing w:after="263" w:line="261" w:lineRule="auto"/>
        <w:ind w:left="469" w:right="468" w:hanging="484"/>
        <w:jc w:val="both"/>
      </w:pPr>
      <w:r>
        <w:t>2</w:t>
      </w:r>
      <w:r>
        <w:tab/>
        <w:t>Consequences of the FTT introduction on the Theoretical Equity Share Price</w:t>
      </w:r>
    </w:p>
    <w:p w:rsidR="00EE13F6" w:rsidRDefault="002E5BC4">
      <w:pPr>
        <w:spacing w:after="135" w:line="264" w:lineRule="auto"/>
        <w:ind w:left="-5" w:right="468" w:hanging="10"/>
        <w:jc w:val="both"/>
      </w:pPr>
      <w:r>
        <w:rPr>
          <w:rFonts w:ascii="Cambria" w:eastAsia="Cambria" w:hAnsi="Cambria" w:cs="Cambria"/>
        </w:rPr>
        <w:t>In this section, we use the framework introduced and discussed in both chapter I and II. In order to raise capital on primary bond markets, corporations have to compensate the bond holders for the credit risk they support in case the corporation defaults o</w:t>
      </w:r>
      <w:r>
        <w:rPr>
          <w:rFonts w:ascii="Cambria" w:eastAsia="Cambria" w:hAnsi="Cambria" w:cs="Cambria"/>
        </w:rPr>
        <w:t xml:space="preserve">n its debt. This is done through a credit spread embedded into the corporate bond price. This credit spread itself corresponds to a Credit Default Swap (CDS) which insures the bond holders against the part of the debt which cannot be recovered against the </w:t>
      </w:r>
      <w:r>
        <w:rPr>
          <w:rFonts w:ascii="Cambria" w:eastAsia="Cambria" w:hAnsi="Cambria" w:cs="Cambria"/>
        </w:rPr>
        <w:t>value of assets at bankruptcy time.</w:t>
      </w:r>
    </w:p>
    <w:p w:rsidR="00EE13F6" w:rsidRDefault="002E5BC4">
      <w:pPr>
        <w:spacing w:after="135" w:line="264" w:lineRule="auto"/>
        <w:ind w:left="-5" w:right="468" w:hanging="10"/>
        <w:jc w:val="both"/>
      </w:pPr>
      <w:r>
        <w:rPr>
          <w:rFonts w:ascii="Cambria" w:eastAsia="Cambria" w:hAnsi="Cambria" w:cs="Cambria"/>
        </w:rPr>
        <w:t>By way of capital structure arbitrage, as seen in chapter II, the value of the CDS is equivalent to the value of an equity put option on the stock, and is linked to the volatility level of the underlying equity. Conseque</w:t>
      </w:r>
      <w:r>
        <w:rPr>
          <w:rFonts w:ascii="Cambria" w:eastAsia="Cambria" w:hAnsi="Cambria" w:cs="Cambria"/>
        </w:rPr>
        <w:t>ntly, the credit protection provided by the CDS is equivalent to the one provided by buying a put option.</w:t>
      </w:r>
    </w:p>
    <w:p w:rsidR="00EE13F6" w:rsidRDefault="002E5BC4">
      <w:pPr>
        <w:spacing w:after="135" w:line="264" w:lineRule="auto"/>
        <w:ind w:left="-5" w:right="468" w:hanging="10"/>
        <w:jc w:val="both"/>
      </w:pPr>
      <w:r>
        <w:rPr>
          <w:rFonts w:ascii="Cambria" w:eastAsia="Cambria" w:hAnsi="Cambria" w:cs="Cambria"/>
        </w:rPr>
        <w:t>Furthermore, the credit spread of the CDS can be linked to the volatility of the corporation’s asset value, which is itself linked to the corporation’</w:t>
      </w:r>
      <w:r>
        <w:rPr>
          <w:rFonts w:ascii="Cambria" w:eastAsia="Cambria" w:hAnsi="Cambria" w:cs="Cambria"/>
        </w:rPr>
        <w:t xml:space="preserve">s equity share price volatility. According to the results developed in Chapter I therefore the equity option market-makers will pass through the full impact </w:t>
      </w:r>
      <w:r>
        <w:rPr>
          <w:rFonts w:ascii="Cambria" w:eastAsia="Cambria" w:hAnsi="Cambria" w:cs="Cambria"/>
        </w:rPr>
        <w:lastRenderedPageBreak/>
        <w:t>of the additional transaction costs generated by the FTT to the end users, by increasing the implie</w:t>
      </w:r>
      <w:r>
        <w:rPr>
          <w:rFonts w:ascii="Cambria" w:eastAsia="Cambria" w:hAnsi="Cambria" w:cs="Cambria"/>
        </w:rPr>
        <w:t xml:space="preserve">d volatility level, on the </w:t>
      </w:r>
      <w:r>
        <w:rPr>
          <w:rFonts w:ascii="Cambria" w:eastAsia="Cambria" w:hAnsi="Cambria" w:cs="Cambria"/>
          <w:b/>
        </w:rPr>
        <w:t>volatility asking price.</w:t>
      </w:r>
    </w:p>
    <w:p w:rsidR="00EE13F6" w:rsidRDefault="002E5BC4">
      <w:pPr>
        <w:spacing w:after="135" w:line="264" w:lineRule="auto"/>
        <w:ind w:left="-5" w:right="468" w:hanging="10"/>
        <w:jc w:val="both"/>
      </w:pPr>
      <w:r>
        <w:rPr>
          <w:rFonts w:ascii="Cambria" w:eastAsia="Cambria" w:hAnsi="Cambria" w:cs="Cambria"/>
        </w:rPr>
        <w:t>Because corporations are borrowing money on capital markets, they are on the wrong side of the volatility increase due to the introduction of the FTT, and they will have to pay the increase in the volatil</w:t>
      </w:r>
      <w:r>
        <w:rPr>
          <w:rFonts w:ascii="Cambria" w:eastAsia="Cambria" w:hAnsi="Cambria" w:cs="Cambria"/>
        </w:rPr>
        <w:t>ity asking price to compensate, through the CDS spread, the equity option market makers for the increased transaction costs generated by the FTT.</w:t>
      </w:r>
    </w:p>
    <w:p w:rsidR="00EE13F6" w:rsidRDefault="002E5BC4">
      <w:pPr>
        <w:spacing w:after="135" w:line="264" w:lineRule="auto"/>
        <w:ind w:left="-5" w:right="468" w:hanging="10"/>
        <w:jc w:val="both"/>
      </w:pPr>
      <w:r>
        <w:rPr>
          <w:rFonts w:ascii="Cambria" w:eastAsia="Cambria" w:hAnsi="Cambria" w:cs="Cambria"/>
        </w:rPr>
        <w:t>The numerical impact of the FTT is inversely related to the liquidity of such option markets. Equity Options w</w:t>
      </w:r>
      <w:r>
        <w:rPr>
          <w:rFonts w:ascii="Cambria" w:eastAsia="Cambria" w:hAnsi="Cambria" w:cs="Cambria"/>
        </w:rPr>
        <w:t>ith long dated maturities, will generally have very illiquid markets, consequently we will consider that equity option market makers are not able to find an offsetting trade. In the particular case of Credit Default swaps, for maturities matching the durat</w:t>
      </w:r>
      <w:r>
        <w:rPr>
          <w:rFonts w:ascii="Cambria" w:eastAsia="Cambria" w:hAnsi="Cambria" w:cs="Cambria"/>
        </w:rPr>
        <w:t>ion of corporate debt (from 5 years to 20 years) and hedged with out of the money put equity options, we will consider that at the time the FTT will be introduced, those markets will have this kind of restricted liquidity.</w:t>
      </w:r>
    </w:p>
    <w:p w:rsidR="00EE13F6" w:rsidRDefault="002E5BC4">
      <w:pPr>
        <w:spacing w:after="0" w:line="264" w:lineRule="auto"/>
        <w:ind w:left="-5" w:right="468" w:hanging="10"/>
        <w:jc w:val="both"/>
      </w:pPr>
      <w:r>
        <w:rPr>
          <w:rFonts w:ascii="Cambria" w:eastAsia="Cambria" w:hAnsi="Cambria" w:cs="Cambria"/>
        </w:rPr>
        <w:t>We consider comparative statics o</w:t>
      </w:r>
      <w:r>
        <w:rPr>
          <w:rFonts w:ascii="Cambria" w:eastAsia="Cambria" w:hAnsi="Cambria" w:cs="Cambria"/>
        </w:rPr>
        <w:t xml:space="preserve">n the respective values of the firm, its debt and equity for the increased level of implied volatility, and considering the same level of asset value at time </w:t>
      </w:r>
      <w:r>
        <w:rPr>
          <w:rFonts w:ascii="Cambria" w:eastAsia="Cambria" w:hAnsi="Cambria" w:cs="Cambria"/>
          <w:i/>
        </w:rPr>
        <w:t xml:space="preserve">τ </w:t>
      </w:r>
      <w:r>
        <w:rPr>
          <w:rFonts w:ascii="Cambria" w:eastAsia="Cambria" w:hAnsi="Cambria" w:cs="Cambria"/>
        </w:rPr>
        <w:t>= 0. The readjustment rule followed by the market-maker is a 2 percent ∆</w:t>
      </w:r>
      <w:r>
        <w:rPr>
          <w:rFonts w:ascii="Cambria" w:eastAsia="Cambria" w:hAnsi="Cambria" w:cs="Cambria"/>
          <w:i/>
          <w:vertAlign w:val="subscript"/>
        </w:rPr>
        <w:t xml:space="preserve">s </w:t>
      </w:r>
      <w:r>
        <w:rPr>
          <w:rFonts w:ascii="Cambria" w:eastAsia="Cambria" w:hAnsi="Cambria" w:cs="Cambria"/>
        </w:rPr>
        <w:t xml:space="preserve">rule. The theoretical </w:t>
      </w:r>
      <w:r>
        <w:rPr>
          <w:rFonts w:ascii="Cambria" w:eastAsia="Cambria" w:hAnsi="Cambria" w:cs="Cambria"/>
        </w:rPr>
        <w:t xml:space="preserve">equity share price is computed according to the results of section I as the expectation of the corporate equity value under a risk neutral assumption. The measure considered is the natural measure induced by by the corporate asset value diffusion process. </w:t>
      </w:r>
      <w:r>
        <w:rPr>
          <w:rFonts w:ascii="Cambria" w:eastAsia="Cambria" w:hAnsi="Cambria" w:cs="Cambria"/>
        </w:rPr>
        <w:t>The increase in the equity share price volatility is then transmitted to the asset value volatility, in the same way as in chapter 2, by the following equation:</w:t>
      </w:r>
    </w:p>
    <w:p w:rsidR="00EE13F6" w:rsidRDefault="002E5BC4">
      <w:pPr>
        <w:tabs>
          <w:tab w:val="center" w:pos="4760"/>
          <w:tab w:val="center" w:pos="9166"/>
        </w:tabs>
        <w:spacing w:after="76" w:line="265" w:lineRule="auto"/>
      </w:pPr>
      <w:r>
        <w:tab/>
      </w:r>
      <w:r>
        <w:rPr>
          <w:noProof/>
        </w:rPr>
        <w:drawing>
          <wp:inline distT="0" distB="0" distL="0" distR="0">
            <wp:extent cx="755904" cy="292608"/>
            <wp:effectExtent l="0" t="0" r="0" b="0"/>
            <wp:docPr id="221992" name="Picture 221992"/>
            <wp:cNvGraphicFramePr/>
            <a:graphic xmlns:a="http://schemas.openxmlformats.org/drawingml/2006/main">
              <a:graphicData uri="http://schemas.openxmlformats.org/drawingml/2006/picture">
                <pic:pic xmlns:pic="http://schemas.openxmlformats.org/drawingml/2006/picture">
                  <pic:nvPicPr>
                    <pic:cNvPr id="221992" name="Picture 221992"/>
                    <pic:cNvPicPr/>
                  </pic:nvPicPr>
                  <pic:blipFill>
                    <a:blip r:embed="rId209"/>
                    <a:stretch>
                      <a:fillRect/>
                    </a:stretch>
                  </pic:blipFill>
                  <pic:spPr>
                    <a:xfrm>
                      <a:off x="0" y="0"/>
                      <a:ext cx="755904" cy="292608"/>
                    </a:xfrm>
                    <a:prstGeom prst="rect">
                      <a:avLst/>
                    </a:prstGeom>
                  </pic:spPr>
                </pic:pic>
              </a:graphicData>
            </a:graphic>
          </wp:inline>
        </w:drawing>
      </w:r>
      <w:r>
        <w:rPr>
          <w:rFonts w:ascii="Cambria" w:eastAsia="Cambria" w:hAnsi="Cambria" w:cs="Cambria"/>
        </w:rPr>
        <w:tab/>
        <w:t>(26)</w:t>
      </w:r>
    </w:p>
    <w:p w:rsidR="00EE13F6" w:rsidRDefault="002E5BC4">
      <w:pPr>
        <w:spacing w:after="135" w:line="264" w:lineRule="auto"/>
        <w:ind w:left="-5" w:right="468" w:hanging="10"/>
        <w:jc w:val="both"/>
      </w:pPr>
      <w:r>
        <w:rPr>
          <w:rFonts w:ascii="Cambria" w:eastAsia="Cambria" w:hAnsi="Cambria" w:cs="Cambria"/>
        </w:rPr>
        <w:t xml:space="preserve">where </w:t>
      </w:r>
      <w:r>
        <w:rPr>
          <w:rFonts w:ascii="Cambria" w:eastAsia="Cambria" w:hAnsi="Cambria" w:cs="Cambria"/>
          <w:i/>
        </w:rPr>
        <w:t xml:space="preserve">λ </w:t>
      </w:r>
      <w:r>
        <w:rPr>
          <w:rFonts w:ascii="Cambria" w:eastAsia="Cambria" w:hAnsi="Cambria" w:cs="Cambria"/>
        </w:rPr>
        <w:t>is constant in the short run and is estimated through calibration and using the</w:t>
      </w:r>
      <w:r>
        <w:rPr>
          <w:rFonts w:ascii="Cambria" w:eastAsia="Cambria" w:hAnsi="Cambria" w:cs="Cambria"/>
        </w:rPr>
        <w:t xml:space="preserve"> corporation balance sheet structure. This leads to:</w:t>
      </w:r>
    </w:p>
    <w:p w:rsidR="00EE13F6" w:rsidRDefault="002E5BC4">
      <w:pPr>
        <w:spacing w:after="240"/>
        <w:ind w:left="4160"/>
      </w:pPr>
      <w:r>
        <w:rPr>
          <w:noProof/>
        </w:rPr>
        <w:drawing>
          <wp:inline distT="0" distB="0" distL="0" distR="0">
            <wp:extent cx="597408" cy="152400"/>
            <wp:effectExtent l="0" t="0" r="0" b="0"/>
            <wp:docPr id="221993" name="Picture 221993"/>
            <wp:cNvGraphicFramePr/>
            <a:graphic xmlns:a="http://schemas.openxmlformats.org/drawingml/2006/main">
              <a:graphicData uri="http://schemas.openxmlformats.org/drawingml/2006/picture">
                <pic:pic xmlns:pic="http://schemas.openxmlformats.org/drawingml/2006/picture">
                  <pic:nvPicPr>
                    <pic:cNvPr id="221993" name="Picture 221993"/>
                    <pic:cNvPicPr/>
                  </pic:nvPicPr>
                  <pic:blipFill>
                    <a:blip r:embed="rId210"/>
                    <a:stretch>
                      <a:fillRect/>
                    </a:stretch>
                  </pic:blipFill>
                  <pic:spPr>
                    <a:xfrm>
                      <a:off x="0" y="0"/>
                      <a:ext cx="597408" cy="152400"/>
                    </a:xfrm>
                    <a:prstGeom prst="rect">
                      <a:avLst/>
                    </a:prstGeom>
                  </pic:spPr>
                </pic:pic>
              </a:graphicData>
            </a:graphic>
          </wp:inline>
        </w:drawing>
      </w:r>
    </w:p>
    <w:p w:rsidR="00EE13F6" w:rsidRDefault="002E5BC4">
      <w:pPr>
        <w:spacing w:after="135" w:line="264" w:lineRule="auto"/>
        <w:ind w:left="-5" w:right="468" w:hanging="10"/>
        <w:jc w:val="both"/>
      </w:pPr>
      <w:r>
        <w:rPr>
          <w:rFonts w:ascii="Cambria" w:eastAsia="Cambria" w:hAnsi="Cambria" w:cs="Cambria"/>
        </w:rPr>
        <w:t>where</w:t>
      </w:r>
      <w:r>
        <w:rPr>
          <w:noProof/>
        </w:rPr>
        <w:drawing>
          <wp:inline distT="0" distB="0" distL="0" distR="0">
            <wp:extent cx="155448" cy="152400"/>
            <wp:effectExtent l="0" t="0" r="0" b="0"/>
            <wp:docPr id="221994" name="Picture 221994"/>
            <wp:cNvGraphicFramePr/>
            <a:graphic xmlns:a="http://schemas.openxmlformats.org/drawingml/2006/main">
              <a:graphicData uri="http://schemas.openxmlformats.org/drawingml/2006/picture">
                <pic:pic xmlns:pic="http://schemas.openxmlformats.org/drawingml/2006/picture">
                  <pic:nvPicPr>
                    <pic:cNvPr id="221994" name="Picture 221994"/>
                    <pic:cNvPicPr/>
                  </pic:nvPicPr>
                  <pic:blipFill>
                    <a:blip r:embed="rId211"/>
                    <a:stretch>
                      <a:fillRect/>
                    </a:stretch>
                  </pic:blipFill>
                  <pic:spPr>
                    <a:xfrm>
                      <a:off x="0" y="0"/>
                      <a:ext cx="155448" cy="152400"/>
                    </a:xfrm>
                    <a:prstGeom prst="rect">
                      <a:avLst/>
                    </a:prstGeom>
                  </pic:spPr>
                </pic:pic>
              </a:graphicData>
            </a:graphic>
          </wp:inline>
        </w:drawing>
      </w:r>
      <w:r>
        <w:rPr>
          <w:rFonts w:ascii="Cambria" w:eastAsia="Cambria" w:hAnsi="Cambria" w:cs="Cambria"/>
        </w:rPr>
        <w:t xml:space="preserve"> and </w:t>
      </w:r>
      <w:r>
        <w:rPr>
          <w:noProof/>
        </w:rPr>
        <w:drawing>
          <wp:inline distT="0" distB="0" distL="0" distR="0">
            <wp:extent cx="161544" cy="152400"/>
            <wp:effectExtent l="0" t="0" r="0" b="0"/>
            <wp:docPr id="221995" name="Picture 221995"/>
            <wp:cNvGraphicFramePr/>
            <a:graphic xmlns:a="http://schemas.openxmlformats.org/drawingml/2006/main">
              <a:graphicData uri="http://schemas.openxmlformats.org/drawingml/2006/picture">
                <pic:pic xmlns:pic="http://schemas.openxmlformats.org/drawingml/2006/picture">
                  <pic:nvPicPr>
                    <pic:cNvPr id="221995" name="Picture 221995"/>
                    <pic:cNvPicPr/>
                  </pic:nvPicPr>
                  <pic:blipFill>
                    <a:blip r:embed="rId212"/>
                    <a:stretch>
                      <a:fillRect/>
                    </a:stretch>
                  </pic:blipFill>
                  <pic:spPr>
                    <a:xfrm>
                      <a:off x="0" y="0"/>
                      <a:ext cx="161544" cy="152400"/>
                    </a:xfrm>
                    <a:prstGeom prst="rect">
                      <a:avLst/>
                    </a:prstGeom>
                  </pic:spPr>
                </pic:pic>
              </a:graphicData>
            </a:graphic>
          </wp:inline>
        </w:drawing>
      </w:r>
      <w:r>
        <w:rPr>
          <w:rFonts w:ascii="Cambria" w:eastAsia="Cambria" w:hAnsi="Cambria" w:cs="Cambria"/>
        </w:rPr>
        <w:t xml:space="preserve"> designate respectively the modified volatilities of corporation’s asset value and equity share price, following the introduction of the FTT, computed through Boyle and Vorst calculations.</w:t>
      </w:r>
    </w:p>
    <w:p w:rsidR="00EE13F6" w:rsidRDefault="002E5BC4">
      <w:pPr>
        <w:spacing w:after="476" w:line="264" w:lineRule="auto"/>
        <w:ind w:left="-5" w:right="468" w:hanging="10"/>
        <w:jc w:val="both"/>
      </w:pPr>
      <w:r>
        <w:rPr>
          <w:rFonts w:ascii="Cambria" w:eastAsia="Cambria" w:hAnsi="Cambria" w:cs="Cambria"/>
        </w:rPr>
        <w:t>The theoretical equity share price is computed according to the results of section I as the expectation of the corporate equity value under a risk neutral assumption. The measure considered is the natural measure induced by by the corporate asset value dif</w:t>
      </w:r>
      <w:r>
        <w:rPr>
          <w:rFonts w:ascii="Cambria" w:eastAsia="Cambria" w:hAnsi="Cambria" w:cs="Cambria"/>
        </w:rPr>
        <w:t>fusion process.</w:t>
      </w:r>
    </w:p>
    <w:p w:rsidR="00EE13F6" w:rsidRDefault="002E5BC4">
      <w:pPr>
        <w:pStyle w:val="Heading2"/>
        <w:spacing w:after="288" w:line="251" w:lineRule="auto"/>
        <w:ind w:left="608" w:right="468" w:hanging="623"/>
        <w:jc w:val="both"/>
      </w:pPr>
      <w:r>
        <w:t>2.1</w:t>
      </w:r>
      <w:r>
        <w:tab/>
        <w:t>Impact of the FTT for Corporate Firms Funded through Equity, and Perpetual Debt. Comparative Statics</w:t>
      </w:r>
    </w:p>
    <w:p w:rsidR="00EE13F6" w:rsidRDefault="002E5BC4">
      <w:pPr>
        <w:spacing w:after="319" w:line="257" w:lineRule="auto"/>
        <w:ind w:left="752" w:right="468" w:hanging="767"/>
        <w:jc w:val="both"/>
      </w:pPr>
      <w:r>
        <w:rPr>
          <w:rFonts w:ascii="Cambria" w:eastAsia="Cambria" w:hAnsi="Cambria" w:cs="Cambria"/>
          <w:b/>
        </w:rPr>
        <w:t>2.1.1</w:t>
      </w:r>
      <w:r>
        <w:rPr>
          <w:rFonts w:ascii="Cambria" w:eastAsia="Cambria" w:hAnsi="Cambria" w:cs="Cambria"/>
          <w:b/>
        </w:rPr>
        <w:tab/>
        <w:t>The Theoretical Impact of the FTT Implementation when the Corporation is Funded Solely Through Equity and Perpetual Debt</w:t>
      </w:r>
    </w:p>
    <w:p w:rsidR="00EE13F6" w:rsidRDefault="002E5BC4">
      <w:pPr>
        <w:spacing w:after="135" w:line="264" w:lineRule="auto"/>
        <w:ind w:left="-5" w:hanging="10"/>
        <w:jc w:val="both"/>
      </w:pPr>
      <w:r>
        <w:rPr>
          <w:rFonts w:ascii="Cambria" w:eastAsia="Cambria" w:hAnsi="Cambria" w:cs="Cambria"/>
          <w:b/>
        </w:rPr>
        <w:t>Definiti</w:t>
      </w:r>
      <w:r>
        <w:rPr>
          <w:rFonts w:ascii="Cambria" w:eastAsia="Cambria" w:hAnsi="Cambria" w:cs="Cambria"/>
          <w:b/>
        </w:rPr>
        <w:t xml:space="preserve">on 1: </w:t>
      </w:r>
      <w:r>
        <w:rPr>
          <w:rFonts w:ascii="Cambria" w:eastAsia="Cambria" w:hAnsi="Cambria" w:cs="Cambria"/>
        </w:rPr>
        <w:t>A ”Valued Capital Structure” for a given corporate firm is the vector (</w:t>
      </w:r>
      <w:r>
        <w:rPr>
          <w:rFonts w:ascii="Cambria" w:eastAsia="Cambria" w:hAnsi="Cambria" w:cs="Cambria"/>
          <w:i/>
        </w:rPr>
        <w:t>A</w:t>
      </w:r>
      <w:r>
        <w:rPr>
          <w:rFonts w:ascii="Cambria" w:eastAsia="Cambria" w:hAnsi="Cambria" w:cs="Cambria"/>
          <w:vertAlign w:val="subscript"/>
        </w:rPr>
        <w:t>0</w:t>
      </w:r>
      <w:r>
        <w:rPr>
          <w:rFonts w:ascii="Cambria" w:eastAsia="Cambria" w:hAnsi="Cambria" w:cs="Cambria"/>
          <w:i/>
        </w:rPr>
        <w:t>,D</w:t>
      </w:r>
      <w:r>
        <w:rPr>
          <w:rFonts w:ascii="Cambria" w:eastAsia="Cambria" w:hAnsi="Cambria" w:cs="Cambria"/>
          <w:vertAlign w:val="subscript"/>
        </w:rPr>
        <w:t>0</w:t>
      </w:r>
      <w:r>
        <w:rPr>
          <w:rFonts w:ascii="Cambria" w:eastAsia="Cambria" w:hAnsi="Cambria" w:cs="Cambria"/>
          <w:i/>
        </w:rPr>
        <w:t>,V</w:t>
      </w:r>
      <w:r>
        <w:rPr>
          <w:rFonts w:ascii="Cambria" w:eastAsia="Cambria" w:hAnsi="Cambria" w:cs="Cambria"/>
          <w:vertAlign w:val="subscript"/>
        </w:rPr>
        <w:t>0</w:t>
      </w:r>
      <w:r>
        <w:rPr>
          <w:rFonts w:ascii="Cambria" w:eastAsia="Cambria" w:hAnsi="Cambria" w:cs="Cambria"/>
          <w:i/>
        </w:rPr>
        <w:t>,K</w:t>
      </w:r>
      <w:r>
        <w:rPr>
          <w:rFonts w:ascii="Cambria" w:eastAsia="Cambria" w:hAnsi="Cambria" w:cs="Cambria"/>
          <w:vertAlign w:val="subscript"/>
        </w:rPr>
        <w:t>0</w:t>
      </w:r>
      <w:r>
        <w:rPr>
          <w:rFonts w:ascii="Cambria" w:eastAsia="Cambria" w:hAnsi="Cambria" w:cs="Cambria"/>
          <w:i/>
        </w:rPr>
        <w:t>,σ</w:t>
      </w:r>
      <w:r>
        <w:rPr>
          <w:rFonts w:ascii="Cambria" w:eastAsia="Cambria" w:hAnsi="Cambria" w:cs="Cambria"/>
          <w:vertAlign w:val="subscript"/>
        </w:rPr>
        <w:t>0</w:t>
      </w:r>
      <w:r>
        <w:rPr>
          <w:rFonts w:ascii="Cambria" w:eastAsia="Cambria" w:hAnsi="Cambria" w:cs="Cambria"/>
        </w:rPr>
        <w:t>)</w:t>
      </w:r>
      <w:r>
        <w:rPr>
          <w:rFonts w:ascii="Cambria" w:eastAsia="Cambria" w:hAnsi="Cambria" w:cs="Cambria"/>
          <w:i/>
        </w:rPr>
        <w:t xml:space="preserve">,r </w:t>
      </w:r>
      <w:r>
        <w:rPr>
          <w:rFonts w:ascii="Cambria" w:eastAsia="Cambria" w:hAnsi="Cambria" w:cs="Cambria"/>
        </w:rPr>
        <w:t>where:</w:t>
      </w:r>
    </w:p>
    <w:p w:rsidR="00EE13F6" w:rsidRDefault="002E5BC4">
      <w:pPr>
        <w:spacing w:after="179" w:line="264" w:lineRule="auto"/>
        <w:ind w:left="-5" w:right="468" w:hanging="10"/>
        <w:jc w:val="both"/>
      </w:pPr>
      <w:r>
        <w:rPr>
          <w:rFonts w:ascii="Cambria" w:eastAsia="Cambria" w:hAnsi="Cambria" w:cs="Cambria"/>
          <w:i/>
        </w:rPr>
        <w:t>A</w:t>
      </w:r>
      <w:r>
        <w:rPr>
          <w:rFonts w:ascii="Cambria" w:eastAsia="Cambria" w:hAnsi="Cambria" w:cs="Cambria"/>
          <w:vertAlign w:val="subscript"/>
        </w:rPr>
        <w:t xml:space="preserve">0 </w:t>
      </w:r>
      <w:r>
        <w:rPr>
          <w:rFonts w:ascii="Cambria" w:eastAsia="Cambria" w:hAnsi="Cambria" w:cs="Cambria"/>
        </w:rPr>
        <w:t>is the asset value;</w:t>
      </w:r>
    </w:p>
    <w:p w:rsidR="00EE13F6" w:rsidRDefault="002E5BC4">
      <w:pPr>
        <w:spacing w:after="135" w:line="264" w:lineRule="auto"/>
        <w:ind w:left="-5" w:right="468" w:hanging="10"/>
        <w:jc w:val="both"/>
      </w:pPr>
      <w:r>
        <w:rPr>
          <w:rFonts w:ascii="Cambria" w:eastAsia="Cambria" w:hAnsi="Cambria" w:cs="Cambria"/>
          <w:i/>
        </w:rPr>
        <w:lastRenderedPageBreak/>
        <w:t>D</w:t>
      </w:r>
      <w:r>
        <w:rPr>
          <w:rFonts w:ascii="Cambria" w:eastAsia="Cambria" w:hAnsi="Cambria" w:cs="Cambria"/>
          <w:vertAlign w:val="subscript"/>
        </w:rPr>
        <w:t xml:space="preserve">0 </w:t>
      </w:r>
      <w:r>
        <w:rPr>
          <w:rFonts w:ascii="Cambria" w:eastAsia="Cambria" w:hAnsi="Cambria" w:cs="Cambria"/>
        </w:rPr>
        <w:t xml:space="preserve">is the market value of the outstanding debt whose outstanding principal amount is </w:t>
      </w:r>
      <w:r>
        <w:rPr>
          <w:rFonts w:ascii="Cambria" w:eastAsia="Cambria" w:hAnsi="Cambria" w:cs="Cambria"/>
          <w:i/>
        </w:rPr>
        <w:t xml:space="preserve">P </w:t>
      </w:r>
      <w:r>
        <w:rPr>
          <w:rFonts w:ascii="Cambria" w:eastAsia="Cambria" w:hAnsi="Cambria" w:cs="Cambria"/>
        </w:rPr>
        <w:t xml:space="preserve">and which is paying a fixed coupon </w:t>
      </w:r>
      <w:r>
        <w:rPr>
          <w:rFonts w:ascii="Cambria" w:eastAsia="Cambria" w:hAnsi="Cambria" w:cs="Cambria"/>
          <w:i/>
        </w:rPr>
        <w:t>C</w:t>
      </w:r>
      <w:r>
        <w:rPr>
          <w:rFonts w:ascii="Cambria" w:eastAsia="Cambria" w:hAnsi="Cambria" w:cs="Cambria"/>
        </w:rPr>
        <w:t>; This debt can be either perpetual, fixed term debt or the aggregation of the two types as seen in subsection above.</w:t>
      </w:r>
    </w:p>
    <w:p w:rsidR="00EE13F6" w:rsidRDefault="002E5BC4">
      <w:pPr>
        <w:spacing w:after="162" w:line="264" w:lineRule="auto"/>
        <w:ind w:left="-5" w:right="468" w:hanging="10"/>
        <w:jc w:val="both"/>
      </w:pPr>
      <w:r>
        <w:rPr>
          <w:rFonts w:ascii="Cambria" w:eastAsia="Cambria" w:hAnsi="Cambria" w:cs="Cambria"/>
          <w:i/>
        </w:rPr>
        <w:t>V</w:t>
      </w:r>
      <w:r>
        <w:rPr>
          <w:rFonts w:ascii="Cambria" w:eastAsia="Cambria" w:hAnsi="Cambria" w:cs="Cambria"/>
          <w:vertAlign w:val="subscript"/>
        </w:rPr>
        <w:t xml:space="preserve">0 </w:t>
      </w:r>
      <w:r>
        <w:rPr>
          <w:rFonts w:ascii="Cambria" w:eastAsia="Cambria" w:hAnsi="Cambria" w:cs="Cambria"/>
        </w:rPr>
        <w:t>is the firm value as defined by equation (14);</w:t>
      </w:r>
    </w:p>
    <w:p w:rsidR="00EE13F6" w:rsidRDefault="002E5BC4">
      <w:pPr>
        <w:spacing w:after="8" w:line="415" w:lineRule="auto"/>
        <w:ind w:left="-5" w:right="3868" w:hanging="10"/>
        <w:jc w:val="both"/>
      </w:pPr>
      <w:r>
        <w:rPr>
          <w:rFonts w:ascii="Cambria" w:eastAsia="Cambria" w:hAnsi="Cambria" w:cs="Cambria"/>
          <w:i/>
        </w:rPr>
        <w:t>K</w:t>
      </w:r>
      <w:r>
        <w:rPr>
          <w:rFonts w:ascii="Cambria" w:eastAsia="Cambria" w:hAnsi="Cambria" w:cs="Cambria"/>
          <w:vertAlign w:val="subscript"/>
        </w:rPr>
        <w:t xml:space="preserve">0 </w:t>
      </w:r>
      <w:r>
        <w:rPr>
          <w:rFonts w:ascii="Cambria" w:eastAsia="Cambria" w:hAnsi="Cambria" w:cs="Cambria"/>
        </w:rPr>
        <w:t xml:space="preserve">is the threshold on asset level triggering the bankruptcy; </w:t>
      </w:r>
      <w:r>
        <w:rPr>
          <w:rFonts w:ascii="Cambria" w:eastAsia="Cambria" w:hAnsi="Cambria" w:cs="Cambria"/>
          <w:i/>
        </w:rPr>
        <w:t>σ</w:t>
      </w:r>
      <w:r>
        <w:rPr>
          <w:rFonts w:ascii="Cambria" w:eastAsia="Cambria" w:hAnsi="Cambria" w:cs="Cambria"/>
          <w:vertAlign w:val="subscript"/>
        </w:rPr>
        <w:t xml:space="preserve">0 </w:t>
      </w:r>
      <w:r>
        <w:rPr>
          <w:rFonts w:ascii="Cambria" w:eastAsia="Cambria" w:hAnsi="Cambria" w:cs="Cambria"/>
        </w:rPr>
        <w:t>designates the asset vo</w:t>
      </w:r>
      <w:r>
        <w:rPr>
          <w:rFonts w:ascii="Cambria" w:eastAsia="Cambria" w:hAnsi="Cambria" w:cs="Cambria"/>
        </w:rPr>
        <w:t>latility.</w:t>
      </w:r>
    </w:p>
    <w:p w:rsidR="00EE13F6" w:rsidRDefault="002E5BC4">
      <w:pPr>
        <w:spacing w:after="135" w:line="264" w:lineRule="auto"/>
        <w:ind w:left="-5" w:right="468" w:hanging="10"/>
        <w:jc w:val="both"/>
      </w:pPr>
      <w:r>
        <w:rPr>
          <w:rFonts w:ascii="Cambria" w:eastAsia="Cambria" w:hAnsi="Cambria" w:cs="Cambria"/>
          <w:b/>
        </w:rPr>
        <w:t xml:space="preserve">Definition 2: </w:t>
      </w:r>
      <w:r>
        <w:rPr>
          <w:rFonts w:ascii="Cambria" w:eastAsia="Cambria" w:hAnsi="Cambria" w:cs="Cambria"/>
        </w:rPr>
        <w:t>A ”Fixed Capital Structure” is a Valued Capital Structure where the outstanding amount of the debt principal is kept constant.</w:t>
      </w:r>
    </w:p>
    <w:p w:rsidR="00EE13F6" w:rsidRDefault="002E5BC4" w:rsidP="002E5BC4">
      <w:pPr>
        <w:numPr>
          <w:ilvl w:val="0"/>
          <w:numId w:val="40"/>
        </w:numPr>
        <w:spacing w:after="139" w:line="257" w:lineRule="auto"/>
        <w:ind w:right="468" w:hanging="10"/>
        <w:jc w:val="both"/>
      </w:pPr>
      <w:r>
        <w:rPr>
          <w:rFonts w:ascii="Cambria" w:eastAsia="Cambria" w:hAnsi="Cambria" w:cs="Cambria"/>
          <w:b/>
        </w:rPr>
        <w:t>Short Term Effects for Corporations Carrying an Inventory of Perpetual Debt atThe time of FTT Implementation.</w:t>
      </w:r>
    </w:p>
    <w:p w:rsidR="00EE13F6" w:rsidRDefault="002E5BC4">
      <w:pPr>
        <w:spacing w:after="135" w:line="264" w:lineRule="auto"/>
        <w:ind w:left="-5" w:right="468" w:hanging="10"/>
        <w:jc w:val="both"/>
      </w:pPr>
      <w:r>
        <w:rPr>
          <w:rFonts w:ascii="Cambria" w:eastAsia="Cambria" w:hAnsi="Cambria" w:cs="Cambria"/>
        </w:rPr>
        <w:t xml:space="preserve">According to equation (14), as well as the literature (see Black and Cox), when the debt is perpetual, the corporate equity value is a monotonous </w:t>
      </w:r>
      <w:r>
        <w:rPr>
          <w:rFonts w:ascii="Cambria" w:eastAsia="Cambria" w:hAnsi="Cambria" w:cs="Cambria"/>
        </w:rPr>
        <w:t>increasing function of the asset volatility. Consequently, corporate firms carrying an inventory of perpetual debt, and funded solely through perpetual debt and equity should see an immediate increase in their theoretical equity share price. At the same ti</w:t>
      </w:r>
      <w:r>
        <w:rPr>
          <w:rFonts w:ascii="Cambria" w:eastAsia="Cambria" w:hAnsi="Cambria" w:cs="Cambria"/>
        </w:rPr>
        <w:t>me, because preferred shares and quasi-equity are similar to perpetual debt, it results from the negative impact of the FTT on perpetual debt, that both preferred shares and quasi-equity should record immediately a decrease in their theoretical price.</w:t>
      </w:r>
    </w:p>
    <w:p w:rsidR="00EE13F6" w:rsidRDefault="002E5BC4" w:rsidP="002E5BC4">
      <w:pPr>
        <w:numPr>
          <w:ilvl w:val="0"/>
          <w:numId w:val="40"/>
        </w:numPr>
        <w:spacing w:after="139" w:line="257" w:lineRule="auto"/>
        <w:ind w:right="468" w:hanging="10"/>
        <w:jc w:val="both"/>
      </w:pPr>
      <w:r>
        <w:rPr>
          <w:rFonts w:ascii="Cambria" w:eastAsia="Cambria" w:hAnsi="Cambria" w:cs="Cambria"/>
          <w:b/>
        </w:rPr>
        <w:t>Shor</w:t>
      </w:r>
      <w:r>
        <w:rPr>
          <w:rFonts w:ascii="Cambria" w:eastAsia="Cambria" w:hAnsi="Cambria" w:cs="Cambria"/>
          <w:b/>
        </w:rPr>
        <w:t>t Term Effects for Debt Free Corporations Issuing Perpetual Debt After theIntroduction of the FTT</w:t>
      </w:r>
    </w:p>
    <w:p w:rsidR="00EE13F6" w:rsidRDefault="002E5BC4">
      <w:pPr>
        <w:spacing w:after="135" w:line="264" w:lineRule="auto"/>
        <w:ind w:left="-5" w:right="468" w:hanging="10"/>
        <w:jc w:val="both"/>
      </w:pPr>
      <w:r>
        <w:rPr>
          <w:rFonts w:ascii="Cambria" w:eastAsia="Cambria" w:hAnsi="Cambria" w:cs="Cambria"/>
        </w:rPr>
        <w:t>Conversely, if we consider that the corporation is ”perpetual debt free” at the time of the introduction of the FTT, and further assume that the corporation h</w:t>
      </w:r>
      <w:r>
        <w:rPr>
          <w:rFonts w:ascii="Cambria" w:eastAsia="Cambria" w:hAnsi="Cambria" w:cs="Cambria"/>
        </w:rPr>
        <w:t>as to fulfil a fixed amount of funding on the debt capital markets, we can conclude that the possible issuances of perpetual debt after the introduction of the FTT will lead to a decrease in the theoretical equity share prices.</w:t>
      </w:r>
    </w:p>
    <w:p w:rsidR="00EE13F6" w:rsidRDefault="002E5BC4">
      <w:pPr>
        <w:spacing w:after="138" w:line="257" w:lineRule="auto"/>
        <w:ind w:left="-5" w:right="468" w:hanging="10"/>
        <w:jc w:val="both"/>
      </w:pPr>
      <w:r>
        <w:rPr>
          <w:rFonts w:ascii="Cambria" w:eastAsia="Cambria" w:hAnsi="Cambria" w:cs="Cambria"/>
          <w:b/>
        </w:rPr>
        <w:t>Proposition (1)</w:t>
      </w:r>
    </w:p>
    <w:p w:rsidR="00EE13F6" w:rsidRDefault="002E5BC4" w:rsidP="002E5BC4">
      <w:pPr>
        <w:numPr>
          <w:ilvl w:val="0"/>
          <w:numId w:val="41"/>
        </w:numPr>
        <w:spacing w:after="135" w:line="264" w:lineRule="auto"/>
        <w:ind w:right="468" w:hanging="303"/>
        <w:jc w:val="both"/>
      </w:pPr>
      <w:r>
        <w:rPr>
          <w:rFonts w:ascii="Cambria" w:eastAsia="Cambria" w:hAnsi="Cambria" w:cs="Cambria"/>
        </w:rPr>
        <w:t xml:space="preserve">Considering </w:t>
      </w:r>
      <w:r>
        <w:rPr>
          <w:rFonts w:ascii="Cambria" w:eastAsia="Cambria" w:hAnsi="Cambria" w:cs="Cambria"/>
        </w:rPr>
        <w:t>a corporate firm funding its capital requirements through the issuance of equity.</w:t>
      </w:r>
    </w:p>
    <w:p w:rsidR="00EE13F6" w:rsidRDefault="002E5BC4" w:rsidP="002E5BC4">
      <w:pPr>
        <w:numPr>
          <w:ilvl w:val="0"/>
          <w:numId w:val="41"/>
        </w:numPr>
        <w:spacing w:after="135" w:line="264" w:lineRule="auto"/>
        <w:ind w:right="468" w:hanging="303"/>
        <w:jc w:val="both"/>
      </w:pPr>
      <w:r>
        <w:rPr>
          <w:rFonts w:ascii="Cambria" w:eastAsia="Cambria" w:hAnsi="Cambria" w:cs="Cambria"/>
        </w:rPr>
        <w:t>Futures Corporate firm’s capital requirements are to be fulfilled partially through the issuanceof perpetual debt.</w:t>
      </w:r>
    </w:p>
    <w:p w:rsidR="00EE13F6" w:rsidRDefault="002E5BC4" w:rsidP="002E5BC4">
      <w:pPr>
        <w:numPr>
          <w:ilvl w:val="0"/>
          <w:numId w:val="42"/>
        </w:numPr>
        <w:spacing w:after="135" w:line="264" w:lineRule="auto"/>
        <w:ind w:right="468" w:hanging="10"/>
        <w:jc w:val="both"/>
      </w:pPr>
      <w:r>
        <w:rPr>
          <w:rFonts w:ascii="Cambria" w:eastAsia="Cambria" w:hAnsi="Cambria" w:cs="Cambria"/>
        </w:rPr>
        <w:t>The bankruptcy is triggered as soon as the asset value fall</w:t>
      </w:r>
      <w:r>
        <w:rPr>
          <w:rFonts w:ascii="Cambria" w:eastAsia="Cambria" w:hAnsi="Cambria" w:cs="Cambria"/>
        </w:rPr>
        <w:t>s below a predetermined threshold</w:t>
      </w:r>
      <w:r>
        <w:rPr>
          <w:rFonts w:ascii="Cambria" w:eastAsia="Cambria" w:hAnsi="Cambria" w:cs="Cambria"/>
          <w:i/>
        </w:rPr>
        <w:t>K</w:t>
      </w:r>
      <w:r>
        <w:rPr>
          <w:rFonts w:ascii="Cambria" w:eastAsia="Cambria" w:hAnsi="Cambria" w:cs="Cambria"/>
        </w:rPr>
        <w:t xml:space="preserve">, </w:t>
      </w:r>
      <w:r>
        <w:rPr>
          <w:rFonts w:ascii="Cambria" w:eastAsia="Cambria" w:hAnsi="Cambria" w:cs="Cambria"/>
          <w:i/>
        </w:rPr>
        <w:t xml:space="preserve">K </w:t>
      </w:r>
      <w:r>
        <w:rPr>
          <w:rFonts w:ascii="Cambria" w:eastAsia="Cambria" w:hAnsi="Cambria" w:cs="Cambria"/>
        </w:rPr>
        <w:t>being a fixed fraction of the debt.</w:t>
      </w:r>
    </w:p>
    <w:p w:rsidR="00EE13F6" w:rsidRDefault="002E5BC4" w:rsidP="002E5BC4">
      <w:pPr>
        <w:numPr>
          <w:ilvl w:val="0"/>
          <w:numId w:val="42"/>
        </w:numPr>
        <w:spacing w:after="135" w:line="264" w:lineRule="auto"/>
        <w:ind w:right="468" w:hanging="10"/>
        <w:jc w:val="both"/>
      </w:pPr>
      <w:r>
        <w:rPr>
          <w:rFonts w:ascii="Cambria" w:eastAsia="Cambria" w:hAnsi="Cambria" w:cs="Cambria"/>
        </w:rPr>
        <w:t>Corporation is aiming for a fixed amount of capital to raise from the primary corporate debtmarket.</w:t>
      </w:r>
    </w:p>
    <w:p w:rsidR="00EE13F6" w:rsidRDefault="002E5BC4">
      <w:pPr>
        <w:spacing w:after="135" w:line="264" w:lineRule="auto"/>
        <w:ind w:left="-5" w:right="468" w:hanging="10"/>
        <w:jc w:val="both"/>
      </w:pPr>
      <w:r>
        <w:rPr>
          <w:rFonts w:ascii="Cambria" w:eastAsia="Cambria" w:hAnsi="Cambria" w:cs="Cambria"/>
        </w:rPr>
        <w:t>Then:</w:t>
      </w:r>
    </w:p>
    <w:p w:rsidR="00EE13F6" w:rsidRDefault="002E5BC4" w:rsidP="002E5BC4">
      <w:pPr>
        <w:numPr>
          <w:ilvl w:val="0"/>
          <w:numId w:val="42"/>
        </w:numPr>
        <w:spacing w:after="135" w:line="264" w:lineRule="auto"/>
        <w:ind w:right="468" w:hanging="10"/>
        <w:jc w:val="both"/>
      </w:pPr>
      <w:r>
        <w:rPr>
          <w:rFonts w:ascii="Cambria" w:eastAsia="Cambria" w:hAnsi="Cambria" w:cs="Cambria"/>
        </w:rPr>
        <w:t>The theoretical expected values, of quasi-equity, equity and corporate value</w:t>
      </w:r>
      <w:r>
        <w:rPr>
          <w:rFonts w:ascii="Cambria" w:eastAsia="Cambria" w:hAnsi="Cambria" w:cs="Cambria"/>
        </w:rPr>
        <w:t>, under the naturalrisk measure associated to the corporate asset diffusion process values of quasi-equity, will be lower after the introduction of the FTT.</w:t>
      </w:r>
    </w:p>
    <w:p w:rsidR="00EE13F6" w:rsidRDefault="002E5BC4">
      <w:pPr>
        <w:spacing w:after="165" w:line="257" w:lineRule="auto"/>
        <w:ind w:left="94" w:right="468" w:hanging="10"/>
        <w:jc w:val="both"/>
      </w:pPr>
      <w:r>
        <w:rPr>
          <w:rFonts w:ascii="Cambria" w:eastAsia="Cambria" w:hAnsi="Cambria" w:cs="Cambria"/>
          <w:b/>
        </w:rPr>
        <w:t>Proof</w:t>
      </w:r>
    </w:p>
    <w:p w:rsidR="00EE13F6" w:rsidRDefault="002E5BC4">
      <w:pPr>
        <w:spacing w:after="88" w:line="264" w:lineRule="auto"/>
        <w:ind w:left="-5" w:right="468" w:hanging="10"/>
        <w:jc w:val="both"/>
      </w:pPr>
      <w:r>
        <w:rPr>
          <w:rFonts w:ascii="Cambria" w:eastAsia="Cambria" w:hAnsi="Cambria" w:cs="Cambria"/>
        </w:rPr>
        <w:t xml:space="preserve">Let’s designate by </w:t>
      </w:r>
      <w:r>
        <w:rPr>
          <w:rFonts w:ascii="Cambria" w:eastAsia="Cambria" w:hAnsi="Cambria" w:cs="Cambria"/>
          <w:i/>
        </w:rPr>
        <w:t xml:space="preserve">K </w:t>
      </w:r>
      <w:r>
        <w:rPr>
          <w:rFonts w:ascii="Cambria" w:eastAsia="Cambria" w:hAnsi="Cambria" w:cs="Cambria"/>
        </w:rPr>
        <w:t>the predetermined threshold triggering the default in the case of protected debt.</w:t>
      </w:r>
    </w:p>
    <w:p w:rsidR="00EE13F6" w:rsidRDefault="002E5BC4">
      <w:pPr>
        <w:spacing w:after="0" w:line="319" w:lineRule="auto"/>
        <w:ind w:left="-5" w:right="468" w:hanging="10"/>
        <w:jc w:val="both"/>
      </w:pPr>
      <w:r>
        <w:rPr>
          <w:rFonts w:ascii="Cambria" w:eastAsia="Cambria" w:hAnsi="Cambria" w:cs="Cambria"/>
        </w:rPr>
        <w:lastRenderedPageBreak/>
        <w:t>Considering</w:t>
      </w:r>
      <w:r>
        <w:rPr>
          <w:noProof/>
        </w:rPr>
        <w:drawing>
          <wp:inline distT="0" distB="0" distL="0" distR="0">
            <wp:extent cx="164592" cy="149352"/>
            <wp:effectExtent l="0" t="0" r="0" b="0"/>
            <wp:docPr id="221996" name="Picture 221996"/>
            <wp:cNvGraphicFramePr/>
            <a:graphic xmlns:a="http://schemas.openxmlformats.org/drawingml/2006/main">
              <a:graphicData uri="http://schemas.openxmlformats.org/drawingml/2006/picture">
                <pic:pic xmlns:pic="http://schemas.openxmlformats.org/drawingml/2006/picture">
                  <pic:nvPicPr>
                    <pic:cNvPr id="221996" name="Picture 221996"/>
                    <pic:cNvPicPr/>
                  </pic:nvPicPr>
                  <pic:blipFill>
                    <a:blip r:embed="rId213"/>
                    <a:stretch>
                      <a:fillRect/>
                    </a:stretch>
                  </pic:blipFill>
                  <pic:spPr>
                    <a:xfrm>
                      <a:off x="0" y="0"/>
                      <a:ext cx="164592" cy="149352"/>
                    </a:xfrm>
                    <a:prstGeom prst="rect">
                      <a:avLst/>
                    </a:prstGeom>
                  </pic:spPr>
                </pic:pic>
              </a:graphicData>
            </a:graphic>
          </wp:inline>
        </w:drawing>
      </w:r>
      <w:r>
        <w:rPr>
          <w:rFonts w:ascii="Cambria" w:eastAsia="Cambria" w:hAnsi="Cambria" w:cs="Cambria"/>
        </w:rPr>
        <w:t xml:space="preserve"> the value of outstanding debt following the introduction of the FTT and </w:t>
      </w:r>
      <w:r>
        <w:rPr>
          <w:rFonts w:ascii="Cambria" w:eastAsia="Cambria" w:hAnsi="Cambria" w:cs="Cambria"/>
          <w:i/>
        </w:rPr>
        <w:t>D</w:t>
      </w:r>
      <w:r>
        <w:rPr>
          <w:rFonts w:ascii="Cambria" w:eastAsia="Cambria" w:hAnsi="Cambria" w:cs="Cambria"/>
          <w:vertAlign w:val="subscript"/>
        </w:rPr>
        <w:t xml:space="preserve">0 </w:t>
      </w:r>
      <w:r>
        <w:rPr>
          <w:rFonts w:ascii="Cambria" w:eastAsia="Cambria" w:hAnsi="Cambria" w:cs="Cambria"/>
        </w:rPr>
        <w:t>the value of outstanding debt without FTT. Because the FTT generates an increase in th</w:t>
      </w:r>
      <w:r>
        <w:rPr>
          <w:rFonts w:ascii="Cambria" w:eastAsia="Cambria" w:hAnsi="Cambria" w:cs="Cambria"/>
        </w:rPr>
        <w:t xml:space="preserve">e volatility let’s consider </w:t>
      </w:r>
      <w:r>
        <w:rPr>
          <w:rFonts w:ascii="Cambria" w:eastAsia="Cambria" w:hAnsi="Cambria" w:cs="Cambria"/>
          <w:i/>
        </w:rPr>
        <w:t>x</w:t>
      </w:r>
      <w:r>
        <w:rPr>
          <w:rFonts w:ascii="Cambria" w:eastAsia="Cambria" w:hAnsi="Cambria" w:cs="Cambria"/>
          <w:vertAlign w:val="superscript"/>
        </w:rPr>
        <w:t xml:space="preserve">0 </w:t>
      </w:r>
      <w:r>
        <w:rPr>
          <w:rFonts w:ascii="Cambria" w:eastAsia="Cambria" w:hAnsi="Cambria" w:cs="Cambria"/>
        </w:rPr>
        <w:t xml:space="preserve">which is associated to the new volatility level </w:t>
      </w:r>
      <w:r>
        <w:rPr>
          <w:rFonts w:ascii="Cambria" w:eastAsia="Cambria" w:hAnsi="Cambria" w:cs="Cambria"/>
          <w:i/>
        </w:rPr>
        <w:t>σ</w:t>
      </w:r>
      <w:r>
        <w:rPr>
          <w:rFonts w:ascii="Cambria" w:eastAsia="Cambria" w:hAnsi="Cambria" w:cs="Cambria"/>
          <w:vertAlign w:val="superscript"/>
        </w:rPr>
        <w:t xml:space="preserve">0 </w:t>
      </w:r>
      <w:r>
        <w:rPr>
          <w:rFonts w:ascii="Cambria" w:eastAsia="Cambria" w:hAnsi="Cambria" w:cs="Cambria"/>
        </w:rPr>
        <w:t xml:space="preserve">using equation (11) and (12). We have </w:t>
      </w:r>
      <w:r>
        <w:rPr>
          <w:noProof/>
        </w:rPr>
        <w:drawing>
          <wp:inline distT="0" distB="0" distL="0" distR="0">
            <wp:extent cx="2679192" cy="335280"/>
            <wp:effectExtent l="0" t="0" r="0" b="0"/>
            <wp:docPr id="221997" name="Picture 221997"/>
            <wp:cNvGraphicFramePr/>
            <a:graphic xmlns:a="http://schemas.openxmlformats.org/drawingml/2006/main">
              <a:graphicData uri="http://schemas.openxmlformats.org/drawingml/2006/picture">
                <pic:pic xmlns:pic="http://schemas.openxmlformats.org/drawingml/2006/picture">
                  <pic:nvPicPr>
                    <pic:cNvPr id="221997" name="Picture 221997"/>
                    <pic:cNvPicPr/>
                  </pic:nvPicPr>
                  <pic:blipFill>
                    <a:blip r:embed="rId214"/>
                    <a:stretch>
                      <a:fillRect/>
                    </a:stretch>
                  </pic:blipFill>
                  <pic:spPr>
                    <a:xfrm>
                      <a:off x="0" y="0"/>
                      <a:ext cx="2679192" cy="335280"/>
                    </a:xfrm>
                    <a:prstGeom prst="rect">
                      <a:avLst/>
                    </a:prstGeom>
                  </pic:spPr>
                </pic:pic>
              </a:graphicData>
            </a:graphic>
          </wp:inline>
        </w:drawing>
      </w:r>
    </w:p>
    <w:p w:rsidR="00EE13F6" w:rsidRDefault="002E5BC4">
      <w:pPr>
        <w:tabs>
          <w:tab w:val="center" w:pos="4640"/>
        </w:tabs>
        <w:spacing w:after="291" w:line="264" w:lineRule="auto"/>
        <w:ind w:left="-15"/>
      </w:pPr>
      <w:r>
        <w:rPr>
          <w:rFonts w:ascii="Cambria" w:eastAsia="Cambria" w:hAnsi="Cambria" w:cs="Cambria"/>
        </w:rPr>
        <w:t>and</w:t>
      </w:r>
      <w:r>
        <w:rPr>
          <w:rFonts w:ascii="Cambria" w:eastAsia="Cambria" w:hAnsi="Cambria" w:cs="Cambria"/>
        </w:rPr>
        <w:tab/>
      </w:r>
      <w:r>
        <w:rPr>
          <w:noProof/>
        </w:rPr>
        <w:drawing>
          <wp:inline distT="0" distB="0" distL="0" distR="0">
            <wp:extent cx="2746248" cy="649224"/>
            <wp:effectExtent l="0" t="0" r="0" b="0"/>
            <wp:docPr id="221998" name="Picture 221998"/>
            <wp:cNvGraphicFramePr/>
            <a:graphic xmlns:a="http://schemas.openxmlformats.org/drawingml/2006/main">
              <a:graphicData uri="http://schemas.openxmlformats.org/drawingml/2006/picture">
                <pic:pic xmlns:pic="http://schemas.openxmlformats.org/drawingml/2006/picture">
                  <pic:nvPicPr>
                    <pic:cNvPr id="221998" name="Picture 221998"/>
                    <pic:cNvPicPr/>
                  </pic:nvPicPr>
                  <pic:blipFill>
                    <a:blip r:embed="rId215"/>
                    <a:stretch>
                      <a:fillRect/>
                    </a:stretch>
                  </pic:blipFill>
                  <pic:spPr>
                    <a:xfrm>
                      <a:off x="0" y="0"/>
                      <a:ext cx="2746248" cy="649224"/>
                    </a:xfrm>
                    <a:prstGeom prst="rect">
                      <a:avLst/>
                    </a:prstGeom>
                  </pic:spPr>
                </pic:pic>
              </a:graphicData>
            </a:graphic>
          </wp:inline>
        </w:drawing>
      </w:r>
    </w:p>
    <w:p w:rsidR="00EE13F6" w:rsidRDefault="002E5BC4">
      <w:pPr>
        <w:spacing w:after="0" w:line="264" w:lineRule="auto"/>
        <w:ind w:left="-5" w:right="468" w:hanging="10"/>
        <w:jc w:val="both"/>
      </w:pPr>
      <w:r>
        <w:rPr>
          <w:rFonts w:ascii="Cambria" w:eastAsia="Cambria" w:hAnsi="Cambria" w:cs="Cambria"/>
        </w:rPr>
        <w:t xml:space="preserve">Let’s consider the new coupon </w:t>
      </w:r>
      <w:r>
        <w:rPr>
          <w:rFonts w:ascii="Cambria" w:eastAsia="Cambria" w:hAnsi="Cambria" w:cs="Cambria"/>
          <w:i/>
        </w:rPr>
        <w:t>C</w:t>
      </w:r>
      <w:r>
        <w:rPr>
          <w:rFonts w:ascii="Cambria" w:eastAsia="Cambria" w:hAnsi="Cambria" w:cs="Cambria"/>
          <w:vertAlign w:val="superscript"/>
        </w:rPr>
        <w:t xml:space="preserve">0 </w:t>
      </w:r>
      <w:r>
        <w:rPr>
          <w:rFonts w:ascii="Cambria" w:eastAsia="Cambria" w:hAnsi="Cambria" w:cs="Cambria"/>
        </w:rPr>
        <w:t xml:space="preserve">such that it offsets the negative impact on the debt value of the </w:t>
      </w:r>
      <w:r>
        <w:rPr>
          <w:rFonts w:ascii="Cambria" w:eastAsia="Cambria" w:hAnsi="Cambria" w:cs="Cambria"/>
        </w:rPr>
        <w:t>increase in the probability of default due of the increase in the asset volatility. Corporate firms will be willing to pay this increased coupon in order to raise the same amount of capital through debt.</w:t>
      </w:r>
    </w:p>
    <w:p w:rsidR="00EE13F6" w:rsidRDefault="002E5BC4">
      <w:pPr>
        <w:spacing w:after="440"/>
        <w:ind w:left="2120"/>
      </w:pPr>
      <w:r>
        <w:rPr>
          <w:noProof/>
        </w:rPr>
        <w:drawing>
          <wp:inline distT="0" distB="0" distL="0" distR="0">
            <wp:extent cx="3176016" cy="335280"/>
            <wp:effectExtent l="0" t="0" r="0" b="0"/>
            <wp:docPr id="221999" name="Picture 221999"/>
            <wp:cNvGraphicFramePr/>
            <a:graphic xmlns:a="http://schemas.openxmlformats.org/drawingml/2006/main">
              <a:graphicData uri="http://schemas.openxmlformats.org/drawingml/2006/picture">
                <pic:pic xmlns:pic="http://schemas.openxmlformats.org/drawingml/2006/picture">
                  <pic:nvPicPr>
                    <pic:cNvPr id="221999" name="Picture 221999"/>
                    <pic:cNvPicPr/>
                  </pic:nvPicPr>
                  <pic:blipFill>
                    <a:blip r:embed="rId216"/>
                    <a:stretch>
                      <a:fillRect/>
                    </a:stretch>
                  </pic:blipFill>
                  <pic:spPr>
                    <a:xfrm>
                      <a:off x="0" y="0"/>
                      <a:ext cx="3176016" cy="335280"/>
                    </a:xfrm>
                    <a:prstGeom prst="rect">
                      <a:avLst/>
                    </a:prstGeom>
                  </pic:spPr>
                </pic:pic>
              </a:graphicData>
            </a:graphic>
          </wp:inline>
        </w:drawing>
      </w:r>
    </w:p>
    <w:p w:rsidR="00EE13F6" w:rsidRDefault="002E5BC4">
      <w:pPr>
        <w:spacing w:after="249"/>
        <w:ind w:left="3600"/>
      </w:pPr>
      <w:r>
        <w:rPr>
          <w:noProof/>
        </w:rPr>
        <w:drawing>
          <wp:inline distT="0" distB="0" distL="0" distR="0">
            <wp:extent cx="1283208" cy="155448"/>
            <wp:effectExtent l="0" t="0" r="0" b="0"/>
            <wp:docPr id="222000" name="Picture 222000"/>
            <wp:cNvGraphicFramePr/>
            <a:graphic xmlns:a="http://schemas.openxmlformats.org/drawingml/2006/main">
              <a:graphicData uri="http://schemas.openxmlformats.org/drawingml/2006/picture">
                <pic:pic xmlns:pic="http://schemas.openxmlformats.org/drawingml/2006/picture">
                  <pic:nvPicPr>
                    <pic:cNvPr id="222000" name="Picture 222000"/>
                    <pic:cNvPicPr/>
                  </pic:nvPicPr>
                  <pic:blipFill>
                    <a:blip r:embed="rId217"/>
                    <a:stretch>
                      <a:fillRect/>
                    </a:stretch>
                  </pic:blipFill>
                  <pic:spPr>
                    <a:xfrm>
                      <a:off x="0" y="0"/>
                      <a:ext cx="1283208" cy="155448"/>
                    </a:xfrm>
                    <a:prstGeom prst="rect">
                      <a:avLst/>
                    </a:prstGeom>
                  </pic:spPr>
                </pic:pic>
              </a:graphicData>
            </a:graphic>
          </wp:inline>
        </w:drawing>
      </w:r>
    </w:p>
    <w:p w:rsidR="00EE13F6" w:rsidRDefault="002E5BC4">
      <w:pPr>
        <w:spacing w:after="0" w:line="264" w:lineRule="auto"/>
        <w:ind w:left="-5" w:right="468" w:hanging="10"/>
        <w:jc w:val="both"/>
      </w:pPr>
      <w:r>
        <w:rPr>
          <w:rFonts w:ascii="Cambria" w:eastAsia="Cambria" w:hAnsi="Cambria" w:cs="Cambria"/>
        </w:rPr>
        <w:t>Replacing</w:t>
      </w:r>
      <w:r>
        <w:rPr>
          <w:noProof/>
        </w:rPr>
        <w:drawing>
          <wp:inline distT="0" distB="0" distL="0" distR="0">
            <wp:extent cx="649224" cy="149352"/>
            <wp:effectExtent l="0" t="0" r="0" b="0"/>
            <wp:docPr id="222001" name="Picture 222001"/>
            <wp:cNvGraphicFramePr/>
            <a:graphic xmlns:a="http://schemas.openxmlformats.org/drawingml/2006/main">
              <a:graphicData uri="http://schemas.openxmlformats.org/drawingml/2006/picture">
                <pic:pic xmlns:pic="http://schemas.openxmlformats.org/drawingml/2006/picture">
                  <pic:nvPicPr>
                    <pic:cNvPr id="222001" name="Picture 222001"/>
                    <pic:cNvPicPr/>
                  </pic:nvPicPr>
                  <pic:blipFill>
                    <a:blip r:embed="rId218"/>
                    <a:stretch>
                      <a:fillRect/>
                    </a:stretch>
                  </pic:blipFill>
                  <pic:spPr>
                    <a:xfrm>
                      <a:off x="0" y="0"/>
                      <a:ext cx="649224" cy="149352"/>
                    </a:xfrm>
                    <a:prstGeom prst="rect">
                      <a:avLst/>
                    </a:prstGeom>
                  </pic:spPr>
                </pic:pic>
              </a:graphicData>
            </a:graphic>
          </wp:inline>
        </w:drawing>
      </w:r>
      <w:r>
        <w:rPr>
          <w:rFonts w:ascii="Cambria" w:eastAsia="Cambria" w:hAnsi="Cambria" w:cs="Cambria"/>
        </w:rPr>
        <w:t>by their respective values and after s</w:t>
      </w:r>
      <w:r>
        <w:rPr>
          <w:rFonts w:ascii="Cambria" w:eastAsia="Cambria" w:hAnsi="Cambria" w:cs="Cambria"/>
        </w:rPr>
        <w:t>implification we find:</w:t>
      </w:r>
    </w:p>
    <w:p w:rsidR="00EE13F6" w:rsidRDefault="002E5BC4">
      <w:pPr>
        <w:tabs>
          <w:tab w:val="center" w:pos="4690"/>
          <w:tab w:val="center" w:pos="9166"/>
        </w:tabs>
        <w:spacing w:after="307" w:line="265" w:lineRule="auto"/>
      </w:pPr>
      <w:r>
        <w:tab/>
      </w:r>
      <w:r>
        <w:rPr>
          <w:noProof/>
        </w:rPr>
        <w:drawing>
          <wp:inline distT="0" distB="0" distL="0" distR="0">
            <wp:extent cx="4203193" cy="335280"/>
            <wp:effectExtent l="0" t="0" r="0" b="0"/>
            <wp:docPr id="222002" name="Picture 222002"/>
            <wp:cNvGraphicFramePr/>
            <a:graphic xmlns:a="http://schemas.openxmlformats.org/drawingml/2006/main">
              <a:graphicData uri="http://schemas.openxmlformats.org/drawingml/2006/picture">
                <pic:pic xmlns:pic="http://schemas.openxmlformats.org/drawingml/2006/picture">
                  <pic:nvPicPr>
                    <pic:cNvPr id="222002" name="Picture 222002"/>
                    <pic:cNvPicPr/>
                  </pic:nvPicPr>
                  <pic:blipFill>
                    <a:blip r:embed="rId219"/>
                    <a:stretch>
                      <a:fillRect/>
                    </a:stretch>
                  </pic:blipFill>
                  <pic:spPr>
                    <a:xfrm>
                      <a:off x="0" y="0"/>
                      <a:ext cx="4203193" cy="335280"/>
                    </a:xfrm>
                    <a:prstGeom prst="rect">
                      <a:avLst/>
                    </a:prstGeom>
                  </pic:spPr>
                </pic:pic>
              </a:graphicData>
            </a:graphic>
          </wp:inline>
        </w:drawing>
      </w:r>
      <w:r>
        <w:rPr>
          <w:rFonts w:ascii="Cambria" w:eastAsia="Cambria" w:hAnsi="Cambria" w:cs="Cambria"/>
        </w:rPr>
        <w:tab/>
        <w:t>(27)</w:t>
      </w:r>
    </w:p>
    <w:p w:rsidR="00EE13F6" w:rsidRDefault="002E5BC4">
      <w:pPr>
        <w:spacing w:after="0" w:line="264" w:lineRule="auto"/>
        <w:ind w:left="-5" w:right="468" w:hanging="10"/>
        <w:jc w:val="both"/>
      </w:pPr>
      <w:r>
        <w:rPr>
          <w:rFonts w:ascii="Cambria" w:eastAsia="Cambria" w:hAnsi="Cambria" w:cs="Cambria"/>
        </w:rPr>
        <w:t>We know that the new value of equity</w:t>
      </w:r>
      <w:r>
        <w:rPr>
          <w:noProof/>
        </w:rPr>
        <w:drawing>
          <wp:inline distT="0" distB="0" distL="0" distR="0">
            <wp:extent cx="167640" cy="152400"/>
            <wp:effectExtent l="0" t="0" r="0" b="0"/>
            <wp:docPr id="222003" name="Picture 222003"/>
            <wp:cNvGraphicFramePr/>
            <a:graphic xmlns:a="http://schemas.openxmlformats.org/drawingml/2006/main">
              <a:graphicData uri="http://schemas.openxmlformats.org/drawingml/2006/picture">
                <pic:pic xmlns:pic="http://schemas.openxmlformats.org/drawingml/2006/picture">
                  <pic:nvPicPr>
                    <pic:cNvPr id="222003" name="Picture 222003"/>
                    <pic:cNvPicPr/>
                  </pic:nvPicPr>
                  <pic:blipFill>
                    <a:blip r:embed="rId220"/>
                    <a:stretch>
                      <a:fillRect/>
                    </a:stretch>
                  </pic:blipFill>
                  <pic:spPr>
                    <a:xfrm>
                      <a:off x="0" y="0"/>
                      <a:ext cx="167640" cy="152400"/>
                    </a:xfrm>
                    <a:prstGeom prst="rect">
                      <a:avLst/>
                    </a:prstGeom>
                  </pic:spPr>
                </pic:pic>
              </a:graphicData>
            </a:graphic>
          </wp:inline>
        </w:drawing>
      </w:r>
      <w:r>
        <w:rPr>
          <w:rFonts w:ascii="Cambria" w:eastAsia="Cambria" w:hAnsi="Cambria" w:cs="Cambria"/>
        </w:rPr>
        <w:t xml:space="preserve"> is such that:</w:t>
      </w:r>
    </w:p>
    <w:p w:rsidR="00EE13F6" w:rsidRDefault="002E5BC4">
      <w:pPr>
        <w:spacing w:after="367"/>
        <w:ind w:left="2160"/>
      </w:pPr>
      <w:r>
        <w:rPr>
          <w:noProof/>
        </w:rPr>
        <w:drawing>
          <wp:inline distT="0" distB="0" distL="0" distR="0">
            <wp:extent cx="3099816" cy="332232"/>
            <wp:effectExtent l="0" t="0" r="0" b="0"/>
            <wp:docPr id="222004" name="Picture 222004"/>
            <wp:cNvGraphicFramePr/>
            <a:graphic xmlns:a="http://schemas.openxmlformats.org/drawingml/2006/main">
              <a:graphicData uri="http://schemas.openxmlformats.org/drawingml/2006/picture">
                <pic:pic xmlns:pic="http://schemas.openxmlformats.org/drawingml/2006/picture">
                  <pic:nvPicPr>
                    <pic:cNvPr id="222004" name="Picture 222004"/>
                    <pic:cNvPicPr/>
                  </pic:nvPicPr>
                  <pic:blipFill>
                    <a:blip r:embed="rId221"/>
                    <a:stretch>
                      <a:fillRect/>
                    </a:stretch>
                  </pic:blipFill>
                  <pic:spPr>
                    <a:xfrm>
                      <a:off x="0" y="0"/>
                      <a:ext cx="3099816" cy="332232"/>
                    </a:xfrm>
                    <a:prstGeom prst="rect">
                      <a:avLst/>
                    </a:prstGeom>
                  </pic:spPr>
                </pic:pic>
              </a:graphicData>
            </a:graphic>
          </wp:inline>
        </w:drawing>
      </w:r>
    </w:p>
    <w:p w:rsidR="00EE13F6" w:rsidRDefault="002E5BC4">
      <w:pPr>
        <w:spacing w:after="156" w:line="264" w:lineRule="auto"/>
        <w:ind w:left="-5" w:right="468" w:hanging="10"/>
        <w:jc w:val="both"/>
      </w:pPr>
      <w:r>
        <w:rPr>
          <w:rFonts w:ascii="Cambria" w:eastAsia="Cambria" w:hAnsi="Cambria" w:cs="Cambria"/>
        </w:rPr>
        <w:t>Using equation (15) we find then</w:t>
      </w:r>
    </w:p>
    <w:p w:rsidR="00EE13F6" w:rsidRDefault="002E5BC4">
      <w:pPr>
        <w:spacing w:after="439"/>
        <w:ind w:left="80"/>
      </w:pPr>
      <w:r>
        <w:rPr>
          <w:noProof/>
        </w:rPr>
        <w:drawing>
          <wp:inline distT="0" distB="0" distL="0" distR="0">
            <wp:extent cx="5861304" cy="332232"/>
            <wp:effectExtent l="0" t="0" r="0" b="0"/>
            <wp:docPr id="222005" name="Picture 222005"/>
            <wp:cNvGraphicFramePr/>
            <a:graphic xmlns:a="http://schemas.openxmlformats.org/drawingml/2006/main">
              <a:graphicData uri="http://schemas.openxmlformats.org/drawingml/2006/picture">
                <pic:pic xmlns:pic="http://schemas.openxmlformats.org/drawingml/2006/picture">
                  <pic:nvPicPr>
                    <pic:cNvPr id="222005" name="Picture 222005"/>
                    <pic:cNvPicPr/>
                  </pic:nvPicPr>
                  <pic:blipFill>
                    <a:blip r:embed="rId222"/>
                    <a:stretch>
                      <a:fillRect/>
                    </a:stretch>
                  </pic:blipFill>
                  <pic:spPr>
                    <a:xfrm>
                      <a:off x="0" y="0"/>
                      <a:ext cx="5861304" cy="332232"/>
                    </a:xfrm>
                    <a:prstGeom prst="rect">
                      <a:avLst/>
                    </a:prstGeom>
                  </pic:spPr>
                </pic:pic>
              </a:graphicData>
            </a:graphic>
          </wp:inline>
        </w:drawing>
      </w:r>
    </w:p>
    <w:p w:rsidR="00EE13F6" w:rsidRDefault="002E5BC4">
      <w:pPr>
        <w:spacing w:after="273" w:line="264" w:lineRule="auto"/>
        <w:ind w:left="-5" w:right="468" w:hanging="10"/>
        <w:jc w:val="both"/>
      </w:pPr>
      <w:r>
        <w:rPr>
          <w:rFonts w:ascii="Cambria" w:eastAsia="Cambria" w:hAnsi="Cambria" w:cs="Cambria"/>
        </w:rPr>
        <w:t>Which writes:</w:t>
      </w:r>
    </w:p>
    <w:p w:rsidR="00EE13F6" w:rsidRDefault="002E5BC4">
      <w:pPr>
        <w:spacing w:after="506" w:line="265" w:lineRule="auto"/>
        <w:ind w:left="1050" w:right="468" w:hanging="10"/>
        <w:jc w:val="right"/>
      </w:pPr>
      <w:r>
        <w:rPr>
          <w:rFonts w:ascii="Cambria" w:eastAsia="Cambria" w:hAnsi="Cambria" w:cs="Cambria"/>
        </w:rPr>
        <w:t>(29)</w:t>
      </w:r>
    </w:p>
    <w:p w:rsidR="00EE13F6" w:rsidRDefault="002E5BC4">
      <w:pPr>
        <w:tabs>
          <w:tab w:val="center" w:pos="7470"/>
          <w:tab w:val="center" w:pos="9166"/>
        </w:tabs>
        <w:spacing w:after="427" w:line="265" w:lineRule="auto"/>
      </w:pPr>
      <w:r>
        <w:rPr>
          <w:noProof/>
        </w:rPr>
        <w:drawing>
          <wp:anchor distT="0" distB="0" distL="114300" distR="114300" simplePos="0" relativeHeight="251667456" behindDoc="0" locked="0" layoutInCell="1" allowOverlap="0">
            <wp:simplePos x="0" y="0"/>
            <wp:positionH relativeFrom="column">
              <wp:posOffset>660402</wp:posOffset>
            </wp:positionH>
            <wp:positionV relativeFrom="paragraph">
              <wp:posOffset>-709637</wp:posOffset>
            </wp:positionV>
            <wp:extent cx="4511040" cy="1246632"/>
            <wp:effectExtent l="0" t="0" r="0" b="0"/>
            <wp:wrapSquare wrapText="bothSides"/>
            <wp:docPr id="222006" name="Picture 222006"/>
            <wp:cNvGraphicFramePr/>
            <a:graphic xmlns:a="http://schemas.openxmlformats.org/drawingml/2006/main">
              <a:graphicData uri="http://schemas.openxmlformats.org/drawingml/2006/picture">
                <pic:pic xmlns:pic="http://schemas.openxmlformats.org/drawingml/2006/picture">
                  <pic:nvPicPr>
                    <pic:cNvPr id="222006" name="Picture 222006"/>
                    <pic:cNvPicPr/>
                  </pic:nvPicPr>
                  <pic:blipFill>
                    <a:blip r:embed="rId223"/>
                    <a:stretch>
                      <a:fillRect/>
                    </a:stretch>
                  </pic:blipFill>
                  <pic:spPr>
                    <a:xfrm>
                      <a:off x="0" y="0"/>
                      <a:ext cx="4511040" cy="1246632"/>
                    </a:xfrm>
                    <a:prstGeom prst="rect">
                      <a:avLst/>
                    </a:prstGeom>
                  </pic:spPr>
                </pic:pic>
              </a:graphicData>
            </a:graphic>
          </wp:anchor>
        </w:drawing>
      </w:r>
      <w:r>
        <w:tab/>
      </w:r>
      <w:r>
        <w:rPr>
          <w:rFonts w:ascii="Cambria" w:eastAsia="Cambria" w:hAnsi="Cambria" w:cs="Cambria"/>
        </w:rPr>
        <w:t>]</w:t>
      </w:r>
      <w:r>
        <w:rPr>
          <w:rFonts w:ascii="Cambria" w:eastAsia="Cambria" w:hAnsi="Cambria" w:cs="Cambria"/>
        </w:rPr>
        <w:tab/>
        <w:t>(30)</w:t>
      </w:r>
    </w:p>
    <w:p w:rsidR="00EE13F6" w:rsidRDefault="002E5BC4">
      <w:pPr>
        <w:tabs>
          <w:tab w:val="center" w:pos="7327"/>
          <w:tab w:val="center" w:pos="9166"/>
        </w:tabs>
        <w:spacing w:after="379" w:line="265" w:lineRule="auto"/>
      </w:pPr>
      <w:r>
        <w:tab/>
      </w:r>
      <w:r>
        <w:rPr>
          <w:rFonts w:ascii="Cambria" w:eastAsia="Cambria" w:hAnsi="Cambria" w:cs="Cambria"/>
        </w:rPr>
        <w:t>)]</w:t>
      </w:r>
      <w:r>
        <w:rPr>
          <w:rFonts w:ascii="Cambria" w:eastAsia="Cambria" w:hAnsi="Cambria" w:cs="Cambria"/>
        </w:rPr>
        <w:tab/>
        <w:t>(31)</w:t>
      </w:r>
    </w:p>
    <w:p w:rsidR="00EE13F6" w:rsidRDefault="002E5BC4">
      <w:pPr>
        <w:spacing w:after="0" w:line="264" w:lineRule="auto"/>
        <w:ind w:left="-5" w:right="468" w:hanging="10"/>
        <w:jc w:val="both"/>
      </w:pPr>
      <w:r>
        <w:rPr>
          <w:rFonts w:ascii="Cambria" w:eastAsia="Cambria" w:hAnsi="Cambria" w:cs="Cambria"/>
        </w:rPr>
        <w:t>-Let’s prove first that x is a monotonous decreasing function of sigma i.e</w:t>
      </w:r>
    </w:p>
    <w:p w:rsidR="00EE13F6" w:rsidRDefault="002E5BC4">
      <w:pPr>
        <w:spacing w:after="196"/>
        <w:ind w:left="4320"/>
      </w:pPr>
      <w:r>
        <w:rPr>
          <w:noProof/>
        </w:rPr>
        <w:drawing>
          <wp:inline distT="0" distB="0" distL="0" distR="0">
            <wp:extent cx="435864" cy="295656"/>
            <wp:effectExtent l="0" t="0" r="0" b="0"/>
            <wp:docPr id="222007" name="Picture 222007"/>
            <wp:cNvGraphicFramePr/>
            <a:graphic xmlns:a="http://schemas.openxmlformats.org/drawingml/2006/main">
              <a:graphicData uri="http://schemas.openxmlformats.org/drawingml/2006/picture">
                <pic:pic xmlns:pic="http://schemas.openxmlformats.org/drawingml/2006/picture">
                  <pic:nvPicPr>
                    <pic:cNvPr id="222007" name="Picture 222007"/>
                    <pic:cNvPicPr/>
                  </pic:nvPicPr>
                  <pic:blipFill>
                    <a:blip r:embed="rId224"/>
                    <a:stretch>
                      <a:fillRect/>
                    </a:stretch>
                  </pic:blipFill>
                  <pic:spPr>
                    <a:xfrm>
                      <a:off x="0" y="0"/>
                      <a:ext cx="435864" cy="295656"/>
                    </a:xfrm>
                    <a:prstGeom prst="rect">
                      <a:avLst/>
                    </a:prstGeom>
                  </pic:spPr>
                </pic:pic>
              </a:graphicData>
            </a:graphic>
          </wp:inline>
        </w:drawing>
      </w:r>
    </w:p>
    <w:p w:rsidR="00EE13F6" w:rsidRDefault="002E5BC4">
      <w:pPr>
        <w:spacing w:after="0" w:line="264" w:lineRule="auto"/>
        <w:ind w:left="-5" w:right="468" w:hanging="10"/>
        <w:jc w:val="both"/>
      </w:pPr>
      <w:r>
        <w:rPr>
          <w:rFonts w:ascii="Cambria" w:eastAsia="Cambria" w:hAnsi="Cambria" w:cs="Cambria"/>
        </w:rPr>
        <w:lastRenderedPageBreak/>
        <w:t xml:space="preserve">This is obvious if </w:t>
      </w:r>
      <w:r>
        <w:rPr>
          <w:rFonts w:ascii="Cambria" w:eastAsia="Cambria" w:hAnsi="Cambria" w:cs="Cambria"/>
          <w:i/>
        </w:rPr>
        <w:t xml:space="preserve">d </w:t>
      </w:r>
      <w:r>
        <w:rPr>
          <w:rFonts w:ascii="Cambria" w:eastAsia="Cambria" w:hAnsi="Cambria" w:cs="Cambria"/>
        </w:rPr>
        <w:t>= 0 as in this case</w:t>
      </w:r>
      <w:r>
        <w:rPr>
          <w:noProof/>
        </w:rPr>
        <w:drawing>
          <wp:inline distT="0" distB="0" distL="0" distR="0">
            <wp:extent cx="399288" cy="179832"/>
            <wp:effectExtent l="0" t="0" r="0" b="0"/>
            <wp:docPr id="222008" name="Picture 222008"/>
            <wp:cNvGraphicFramePr/>
            <a:graphic xmlns:a="http://schemas.openxmlformats.org/drawingml/2006/main">
              <a:graphicData uri="http://schemas.openxmlformats.org/drawingml/2006/picture">
                <pic:pic xmlns:pic="http://schemas.openxmlformats.org/drawingml/2006/picture">
                  <pic:nvPicPr>
                    <pic:cNvPr id="222008" name="Picture 222008"/>
                    <pic:cNvPicPr/>
                  </pic:nvPicPr>
                  <pic:blipFill>
                    <a:blip r:embed="rId225"/>
                    <a:stretch>
                      <a:fillRect/>
                    </a:stretch>
                  </pic:blipFill>
                  <pic:spPr>
                    <a:xfrm>
                      <a:off x="0" y="0"/>
                      <a:ext cx="399288" cy="179832"/>
                    </a:xfrm>
                    <a:prstGeom prst="rect">
                      <a:avLst/>
                    </a:prstGeom>
                  </pic:spPr>
                </pic:pic>
              </a:graphicData>
            </a:graphic>
          </wp:inline>
        </w:drawing>
      </w:r>
      <w:r>
        <w:rPr>
          <w:rFonts w:ascii="Cambria" w:eastAsia="Cambria" w:hAnsi="Cambria" w:cs="Cambria"/>
        </w:rPr>
        <w:t xml:space="preserve"> and consequently:</w:t>
      </w:r>
    </w:p>
    <w:p w:rsidR="00EE13F6" w:rsidRDefault="002E5BC4">
      <w:pPr>
        <w:spacing w:after="212"/>
        <w:ind w:left="4160"/>
      </w:pPr>
      <w:r>
        <w:rPr>
          <w:noProof/>
        </w:rPr>
        <w:drawing>
          <wp:inline distT="0" distB="0" distL="0" distR="0">
            <wp:extent cx="627888" cy="295656"/>
            <wp:effectExtent l="0" t="0" r="0" b="0"/>
            <wp:docPr id="222009" name="Picture 222009"/>
            <wp:cNvGraphicFramePr/>
            <a:graphic xmlns:a="http://schemas.openxmlformats.org/drawingml/2006/main">
              <a:graphicData uri="http://schemas.openxmlformats.org/drawingml/2006/picture">
                <pic:pic xmlns:pic="http://schemas.openxmlformats.org/drawingml/2006/picture">
                  <pic:nvPicPr>
                    <pic:cNvPr id="222009" name="Picture 222009"/>
                    <pic:cNvPicPr/>
                  </pic:nvPicPr>
                  <pic:blipFill>
                    <a:blip r:embed="rId226"/>
                    <a:stretch>
                      <a:fillRect/>
                    </a:stretch>
                  </pic:blipFill>
                  <pic:spPr>
                    <a:xfrm>
                      <a:off x="0" y="0"/>
                      <a:ext cx="627888" cy="295656"/>
                    </a:xfrm>
                    <a:prstGeom prst="rect">
                      <a:avLst/>
                    </a:prstGeom>
                  </pic:spPr>
                </pic:pic>
              </a:graphicData>
            </a:graphic>
          </wp:inline>
        </w:drawing>
      </w:r>
    </w:p>
    <w:p w:rsidR="00EE13F6" w:rsidRDefault="002E5BC4">
      <w:pPr>
        <w:spacing w:after="440" w:line="264" w:lineRule="auto"/>
        <w:ind w:left="-5" w:right="468" w:hanging="10"/>
        <w:jc w:val="both"/>
      </w:pPr>
      <w:r>
        <w:rPr>
          <w:rFonts w:ascii="Cambria" w:eastAsia="Cambria" w:hAnsi="Cambria" w:cs="Cambria"/>
        </w:rPr>
        <w:t xml:space="preserve">This is the case for any </w:t>
      </w:r>
      <w:r>
        <w:rPr>
          <w:rFonts w:ascii="Cambria" w:eastAsia="Cambria" w:hAnsi="Cambria" w:cs="Cambria"/>
          <w:i/>
        </w:rPr>
        <w:t>d</w:t>
      </w:r>
      <w:r>
        <w:rPr>
          <w:rFonts w:ascii="Cambria" w:eastAsia="Cambria" w:hAnsi="Cambria" w:cs="Cambria"/>
        </w:rPr>
        <w:t>. From equation (11) and (12) we know that:</w:t>
      </w:r>
    </w:p>
    <w:p w:rsidR="00EE13F6" w:rsidRDefault="002E5BC4">
      <w:pPr>
        <w:spacing w:after="151"/>
        <w:ind w:left="10" w:right="494" w:hanging="10"/>
        <w:jc w:val="center"/>
      </w:pPr>
      <w:r>
        <w:rPr>
          <w:rFonts w:ascii="Cambria" w:eastAsia="Cambria" w:hAnsi="Cambria" w:cs="Cambria"/>
          <w:i/>
        </w:rPr>
        <w:t xml:space="preserve">x </w:t>
      </w:r>
      <w:r>
        <w:rPr>
          <w:rFonts w:ascii="Cambria" w:eastAsia="Cambria" w:hAnsi="Cambria" w:cs="Cambria"/>
        </w:rPr>
        <w:t xml:space="preserve">= </w:t>
      </w:r>
      <w:r>
        <w:rPr>
          <w:rFonts w:ascii="Cambria" w:eastAsia="Cambria" w:hAnsi="Cambria" w:cs="Cambria"/>
          <w:i/>
        </w:rPr>
        <w:t xml:space="preserve">a </w:t>
      </w:r>
      <w:r>
        <w:rPr>
          <w:rFonts w:ascii="Cambria" w:eastAsia="Cambria" w:hAnsi="Cambria" w:cs="Cambria"/>
        </w:rPr>
        <w:t xml:space="preserve">+ </w:t>
      </w:r>
      <w:r>
        <w:rPr>
          <w:rFonts w:ascii="Cambria" w:eastAsia="Cambria" w:hAnsi="Cambria" w:cs="Cambria"/>
          <w:i/>
        </w:rPr>
        <w:t>B</w:t>
      </w:r>
    </w:p>
    <w:p w:rsidR="00EE13F6" w:rsidRDefault="002E5BC4">
      <w:pPr>
        <w:spacing w:after="103" w:line="264" w:lineRule="auto"/>
        <w:ind w:left="-5" w:right="468" w:hanging="10"/>
        <w:jc w:val="both"/>
      </w:pPr>
      <w:r>
        <w:rPr>
          <w:rFonts w:ascii="Cambria" w:eastAsia="Cambria" w:hAnsi="Cambria" w:cs="Cambria"/>
        </w:rPr>
        <w:t>with</w:t>
      </w:r>
      <w:r>
        <w:rPr>
          <w:noProof/>
        </w:rPr>
        <w:drawing>
          <wp:inline distT="0" distB="0" distL="0" distR="0">
            <wp:extent cx="685800" cy="179832"/>
            <wp:effectExtent l="0" t="0" r="0" b="0"/>
            <wp:docPr id="222010" name="Picture 222010"/>
            <wp:cNvGraphicFramePr/>
            <a:graphic xmlns:a="http://schemas.openxmlformats.org/drawingml/2006/main">
              <a:graphicData uri="http://schemas.openxmlformats.org/drawingml/2006/picture">
                <pic:pic xmlns:pic="http://schemas.openxmlformats.org/drawingml/2006/picture">
                  <pic:nvPicPr>
                    <pic:cNvPr id="222010" name="Picture 222010"/>
                    <pic:cNvPicPr/>
                  </pic:nvPicPr>
                  <pic:blipFill>
                    <a:blip r:embed="rId227"/>
                    <a:stretch>
                      <a:fillRect/>
                    </a:stretch>
                  </pic:blipFill>
                  <pic:spPr>
                    <a:xfrm>
                      <a:off x="0" y="0"/>
                      <a:ext cx="685800" cy="179832"/>
                    </a:xfrm>
                    <a:prstGeom prst="rect">
                      <a:avLst/>
                    </a:prstGeom>
                  </pic:spPr>
                </pic:pic>
              </a:graphicData>
            </a:graphic>
          </wp:inline>
        </w:drawing>
      </w:r>
      <w:r>
        <w:rPr>
          <w:rFonts w:ascii="Cambria" w:eastAsia="Cambria" w:hAnsi="Cambria" w:cs="Cambria"/>
        </w:rPr>
        <w:t xml:space="preserve"> with </w:t>
      </w:r>
      <w:r>
        <w:rPr>
          <w:rFonts w:ascii="Cambria" w:eastAsia="Cambria" w:hAnsi="Cambria" w:cs="Cambria"/>
          <w:i/>
        </w:rPr>
        <w:t xml:space="preserve">X </w:t>
      </w:r>
      <w:r>
        <w:rPr>
          <w:rFonts w:ascii="Cambria" w:eastAsia="Cambria" w:hAnsi="Cambria" w:cs="Cambria"/>
        </w:rPr>
        <w:t xml:space="preserve">= </w:t>
      </w:r>
      <w:r>
        <w:rPr>
          <w:rFonts w:ascii="Cambria" w:eastAsia="Cambria" w:hAnsi="Cambria" w:cs="Cambria"/>
          <w:i/>
        </w:rPr>
        <w:t>δ</w:t>
      </w:r>
      <w:r>
        <w:rPr>
          <w:rFonts w:ascii="Cambria" w:eastAsia="Cambria" w:hAnsi="Cambria" w:cs="Cambria"/>
          <w:vertAlign w:val="superscript"/>
        </w:rPr>
        <w:t xml:space="preserve">2 </w:t>
      </w:r>
      <w:r>
        <w:rPr>
          <w:rFonts w:ascii="Cambria" w:eastAsia="Cambria" w:hAnsi="Cambria" w:cs="Cambria"/>
        </w:rPr>
        <w:t>+ 0</w:t>
      </w:r>
      <w:r>
        <w:rPr>
          <w:rFonts w:ascii="Cambria" w:eastAsia="Cambria" w:hAnsi="Cambria" w:cs="Cambria"/>
          <w:i/>
        </w:rPr>
        <w:t>.</w:t>
      </w:r>
      <w:r>
        <w:rPr>
          <w:rFonts w:ascii="Cambria" w:eastAsia="Cambria" w:hAnsi="Cambria" w:cs="Cambria"/>
        </w:rPr>
        <w:t>25</w:t>
      </w:r>
      <w:r>
        <w:rPr>
          <w:rFonts w:ascii="Cambria" w:eastAsia="Cambria" w:hAnsi="Cambria" w:cs="Cambria"/>
          <w:i/>
        </w:rPr>
        <w:t>σ</w:t>
      </w:r>
      <w:r>
        <w:rPr>
          <w:rFonts w:ascii="Cambria" w:eastAsia="Cambria" w:hAnsi="Cambria" w:cs="Cambria"/>
          <w:vertAlign w:val="superscript"/>
        </w:rPr>
        <w:t xml:space="preserve">4 </w:t>
      </w:r>
      <w:r>
        <w:rPr>
          <w:rFonts w:ascii="Cambria" w:eastAsia="Cambria" w:hAnsi="Cambria" w:cs="Cambria"/>
        </w:rPr>
        <w:t xml:space="preserve">+ </w:t>
      </w:r>
      <w:r>
        <w:rPr>
          <w:rFonts w:ascii="Cambria" w:eastAsia="Cambria" w:hAnsi="Cambria" w:cs="Cambria"/>
          <w:i/>
        </w:rPr>
        <w:t>σ</w:t>
      </w:r>
      <w:r>
        <w:rPr>
          <w:rFonts w:ascii="Cambria" w:eastAsia="Cambria" w:hAnsi="Cambria" w:cs="Cambria"/>
          <w:vertAlign w:val="superscript"/>
        </w:rPr>
        <w:t>2</w:t>
      </w:r>
      <w:r>
        <w:rPr>
          <w:rFonts w:ascii="Cambria" w:eastAsia="Cambria" w:hAnsi="Cambria" w:cs="Cambria"/>
        </w:rPr>
        <w:t>(</w:t>
      </w:r>
      <w:r>
        <w:rPr>
          <w:rFonts w:ascii="Cambria" w:eastAsia="Cambria" w:hAnsi="Cambria" w:cs="Cambria"/>
          <w:i/>
        </w:rPr>
        <w:t xml:space="preserve">r </w:t>
      </w:r>
      <w:r>
        <w:rPr>
          <w:rFonts w:ascii="Cambria" w:eastAsia="Cambria" w:hAnsi="Cambria" w:cs="Cambria"/>
        </w:rPr>
        <w:t xml:space="preserve">+ </w:t>
      </w:r>
      <w:r>
        <w:rPr>
          <w:rFonts w:ascii="Cambria" w:eastAsia="Cambria" w:hAnsi="Cambria" w:cs="Cambria"/>
          <w:i/>
        </w:rPr>
        <w:t>d</w:t>
      </w:r>
      <w:r>
        <w:rPr>
          <w:rFonts w:ascii="Cambria" w:eastAsia="Cambria" w:hAnsi="Cambria" w:cs="Cambria"/>
        </w:rPr>
        <w:t xml:space="preserve">) where </w:t>
      </w:r>
      <w:r>
        <w:rPr>
          <w:rFonts w:ascii="Cambria" w:eastAsia="Cambria" w:hAnsi="Cambria" w:cs="Cambria"/>
          <w:i/>
        </w:rPr>
        <w:t xml:space="preserve">δ </w:t>
      </w:r>
      <w:r>
        <w:rPr>
          <w:rFonts w:ascii="Cambria" w:eastAsia="Cambria" w:hAnsi="Cambria" w:cs="Cambria"/>
        </w:rPr>
        <w:t xml:space="preserve">= </w:t>
      </w:r>
      <w:r>
        <w:rPr>
          <w:rFonts w:ascii="Cambria" w:eastAsia="Cambria" w:hAnsi="Cambria" w:cs="Cambria"/>
          <w:i/>
        </w:rPr>
        <w:t xml:space="preserve">r </w:t>
      </w:r>
      <w:r>
        <w:rPr>
          <w:rFonts w:ascii="Cambria" w:eastAsia="Cambria" w:hAnsi="Cambria" w:cs="Cambria"/>
        </w:rPr>
        <w:t>−</w:t>
      </w:r>
      <w:r>
        <w:rPr>
          <w:rFonts w:ascii="Cambria" w:eastAsia="Cambria" w:hAnsi="Cambria" w:cs="Cambria"/>
        </w:rPr>
        <w:t xml:space="preserve"> </w:t>
      </w:r>
      <w:r>
        <w:rPr>
          <w:rFonts w:ascii="Cambria" w:eastAsia="Cambria" w:hAnsi="Cambria" w:cs="Cambria"/>
          <w:i/>
        </w:rPr>
        <w:t>d</w:t>
      </w:r>
      <w:r>
        <w:rPr>
          <w:rFonts w:ascii="Cambria" w:eastAsia="Cambria" w:hAnsi="Cambria" w:cs="Cambria"/>
        </w:rPr>
        <w:t>.</w:t>
      </w:r>
    </w:p>
    <w:p w:rsidR="00EE13F6" w:rsidRDefault="002E5BC4">
      <w:pPr>
        <w:spacing w:after="0" w:line="768" w:lineRule="auto"/>
        <w:ind w:left="-5" w:right="3620" w:hanging="10"/>
        <w:jc w:val="both"/>
      </w:pPr>
      <w:r>
        <w:rPr>
          <w:noProof/>
        </w:rPr>
        <w:drawing>
          <wp:anchor distT="0" distB="0" distL="114300" distR="114300" simplePos="0" relativeHeight="251668480" behindDoc="0" locked="0" layoutInCell="1" allowOverlap="0">
            <wp:simplePos x="0" y="0"/>
            <wp:positionH relativeFrom="column">
              <wp:posOffset>2641602</wp:posOffset>
            </wp:positionH>
            <wp:positionV relativeFrom="paragraph">
              <wp:posOffset>119379</wp:posOffset>
            </wp:positionV>
            <wp:extent cx="630936" cy="295656"/>
            <wp:effectExtent l="0" t="0" r="0" b="0"/>
            <wp:wrapSquare wrapText="bothSides"/>
            <wp:docPr id="222011" name="Picture 222011"/>
            <wp:cNvGraphicFramePr/>
            <a:graphic xmlns:a="http://schemas.openxmlformats.org/drawingml/2006/main">
              <a:graphicData uri="http://schemas.openxmlformats.org/drawingml/2006/picture">
                <pic:pic xmlns:pic="http://schemas.openxmlformats.org/drawingml/2006/picture">
                  <pic:nvPicPr>
                    <pic:cNvPr id="222011" name="Picture 222011"/>
                    <pic:cNvPicPr/>
                  </pic:nvPicPr>
                  <pic:blipFill>
                    <a:blip r:embed="rId228"/>
                    <a:stretch>
                      <a:fillRect/>
                    </a:stretch>
                  </pic:blipFill>
                  <pic:spPr>
                    <a:xfrm>
                      <a:off x="0" y="0"/>
                      <a:ext cx="630936" cy="295656"/>
                    </a:xfrm>
                    <a:prstGeom prst="rect">
                      <a:avLst/>
                    </a:prstGeom>
                  </pic:spPr>
                </pic:pic>
              </a:graphicData>
            </a:graphic>
          </wp:anchor>
        </w:drawing>
      </w:r>
      <w:r>
        <w:rPr>
          <w:rFonts w:ascii="Cambria" w:eastAsia="Cambria" w:hAnsi="Cambria" w:cs="Cambria"/>
        </w:rPr>
        <w:t>Equation (11) yields Finally :</w:t>
      </w:r>
    </w:p>
    <w:p w:rsidR="00EE13F6" w:rsidRDefault="002E5BC4">
      <w:pPr>
        <w:spacing w:after="320"/>
        <w:ind w:left="3080"/>
      </w:pPr>
      <w:r>
        <w:rPr>
          <w:noProof/>
        </w:rPr>
        <w:drawing>
          <wp:inline distT="0" distB="0" distL="0" distR="0">
            <wp:extent cx="1965960" cy="350520"/>
            <wp:effectExtent l="0" t="0" r="0" b="0"/>
            <wp:docPr id="222012" name="Picture 222012"/>
            <wp:cNvGraphicFramePr/>
            <a:graphic xmlns:a="http://schemas.openxmlformats.org/drawingml/2006/main">
              <a:graphicData uri="http://schemas.openxmlformats.org/drawingml/2006/picture">
                <pic:pic xmlns:pic="http://schemas.openxmlformats.org/drawingml/2006/picture">
                  <pic:nvPicPr>
                    <pic:cNvPr id="222012" name="Picture 222012"/>
                    <pic:cNvPicPr/>
                  </pic:nvPicPr>
                  <pic:blipFill>
                    <a:blip r:embed="rId229"/>
                    <a:stretch>
                      <a:fillRect/>
                    </a:stretch>
                  </pic:blipFill>
                  <pic:spPr>
                    <a:xfrm>
                      <a:off x="0" y="0"/>
                      <a:ext cx="1965960" cy="350520"/>
                    </a:xfrm>
                    <a:prstGeom prst="rect">
                      <a:avLst/>
                    </a:prstGeom>
                  </pic:spPr>
                </pic:pic>
              </a:graphicData>
            </a:graphic>
          </wp:inline>
        </w:drawing>
      </w:r>
    </w:p>
    <w:p w:rsidR="00EE13F6" w:rsidRDefault="002E5BC4">
      <w:pPr>
        <w:spacing w:after="135"/>
        <w:ind w:left="4320"/>
      </w:pPr>
      <w:r>
        <w:rPr>
          <w:noProof/>
        </w:rPr>
        <w:drawing>
          <wp:inline distT="0" distB="0" distL="0" distR="0">
            <wp:extent cx="435864" cy="295656"/>
            <wp:effectExtent l="0" t="0" r="0" b="0"/>
            <wp:docPr id="222013" name="Picture 222013"/>
            <wp:cNvGraphicFramePr/>
            <a:graphic xmlns:a="http://schemas.openxmlformats.org/drawingml/2006/main">
              <a:graphicData uri="http://schemas.openxmlformats.org/drawingml/2006/picture">
                <pic:pic xmlns:pic="http://schemas.openxmlformats.org/drawingml/2006/picture">
                  <pic:nvPicPr>
                    <pic:cNvPr id="222013" name="Picture 222013"/>
                    <pic:cNvPicPr/>
                  </pic:nvPicPr>
                  <pic:blipFill>
                    <a:blip r:embed="rId230"/>
                    <a:stretch>
                      <a:fillRect/>
                    </a:stretch>
                  </pic:blipFill>
                  <pic:spPr>
                    <a:xfrm>
                      <a:off x="0" y="0"/>
                      <a:ext cx="435864" cy="295656"/>
                    </a:xfrm>
                    <a:prstGeom prst="rect">
                      <a:avLst/>
                    </a:prstGeom>
                  </pic:spPr>
                </pic:pic>
              </a:graphicData>
            </a:graphic>
          </wp:inline>
        </w:drawing>
      </w:r>
    </w:p>
    <w:p w:rsidR="00EE13F6" w:rsidRDefault="002E5BC4">
      <w:pPr>
        <w:spacing w:after="438" w:line="264" w:lineRule="auto"/>
        <w:ind w:left="-5" w:right="468" w:hanging="10"/>
        <w:jc w:val="both"/>
      </w:pPr>
      <w:r>
        <w:rPr>
          <w:rFonts w:ascii="Cambria" w:eastAsia="Cambria" w:hAnsi="Cambria" w:cs="Cambria"/>
        </w:rPr>
        <w:t>is equivalent to have (after simplification)</w:t>
      </w:r>
    </w:p>
    <w:p w:rsidR="00EE13F6" w:rsidRDefault="002E5BC4">
      <w:pPr>
        <w:spacing w:after="178"/>
        <w:ind w:left="10" w:right="483" w:hanging="10"/>
        <w:jc w:val="center"/>
      </w:pPr>
      <w:r>
        <w:rPr>
          <w:rFonts w:ascii="Cambria" w:eastAsia="Cambria" w:hAnsi="Cambria" w:cs="Cambria"/>
          <w:i/>
        </w:rPr>
        <w:t>σ</w:t>
      </w:r>
      <w:r>
        <w:rPr>
          <w:rFonts w:ascii="Cambria" w:eastAsia="Cambria" w:hAnsi="Cambria" w:cs="Cambria"/>
          <w:vertAlign w:val="superscript"/>
        </w:rPr>
        <w:t>4</w:t>
      </w:r>
      <w:r>
        <w:rPr>
          <w:rFonts w:ascii="Cambria" w:eastAsia="Cambria" w:hAnsi="Cambria" w:cs="Cambria"/>
        </w:rPr>
        <w:t>(4</w:t>
      </w:r>
      <w:r>
        <w:rPr>
          <w:rFonts w:ascii="Cambria" w:eastAsia="Cambria" w:hAnsi="Cambria" w:cs="Cambria"/>
          <w:i/>
        </w:rPr>
        <w:t>dr</w:t>
      </w:r>
      <w:r>
        <w:rPr>
          <w:rFonts w:ascii="Cambria" w:eastAsia="Cambria" w:hAnsi="Cambria" w:cs="Cambria"/>
        </w:rPr>
        <w:t xml:space="preserve">) </w:t>
      </w:r>
      <w:r>
        <w:rPr>
          <w:rFonts w:ascii="Cambria" w:eastAsia="Cambria" w:hAnsi="Cambria" w:cs="Cambria"/>
          <w:i/>
        </w:rPr>
        <w:t xml:space="preserve">&gt; </w:t>
      </w:r>
      <w:r>
        <w:rPr>
          <w:rFonts w:ascii="Cambria" w:eastAsia="Cambria" w:hAnsi="Cambria" w:cs="Cambria"/>
        </w:rPr>
        <w:t>0</w:t>
      </w:r>
    </w:p>
    <w:p w:rsidR="00EE13F6" w:rsidRDefault="002E5BC4">
      <w:pPr>
        <w:spacing w:after="113" w:line="264" w:lineRule="auto"/>
        <w:ind w:left="-5" w:right="468" w:hanging="10"/>
        <w:jc w:val="both"/>
      </w:pPr>
      <w:r>
        <w:rPr>
          <w:rFonts w:ascii="Cambria" w:eastAsia="Cambria" w:hAnsi="Cambria" w:cs="Cambria"/>
        </w:rPr>
        <w:t xml:space="preserve">which is always true because </w:t>
      </w:r>
      <w:r>
        <w:rPr>
          <w:rFonts w:ascii="Cambria" w:eastAsia="Cambria" w:hAnsi="Cambria" w:cs="Cambria"/>
          <w:i/>
        </w:rPr>
        <w:t xml:space="preserve">d </w:t>
      </w:r>
      <w:r>
        <w:rPr>
          <w:rFonts w:ascii="Cambria" w:eastAsia="Cambria" w:hAnsi="Cambria" w:cs="Cambria"/>
        </w:rPr>
        <w:t xml:space="preserve">and </w:t>
      </w:r>
      <w:r>
        <w:rPr>
          <w:rFonts w:ascii="Cambria" w:eastAsia="Cambria" w:hAnsi="Cambria" w:cs="Cambria"/>
          <w:i/>
        </w:rPr>
        <w:t xml:space="preserve">r </w:t>
      </w:r>
      <w:r>
        <w:rPr>
          <w:rFonts w:ascii="Cambria" w:eastAsia="Cambria" w:hAnsi="Cambria" w:cs="Cambria"/>
        </w:rPr>
        <w:t>are positive.</w:t>
      </w:r>
    </w:p>
    <w:p w:rsidR="00EE13F6" w:rsidRDefault="002E5BC4">
      <w:pPr>
        <w:spacing w:after="187" w:line="264" w:lineRule="auto"/>
        <w:ind w:left="-5" w:right="468" w:hanging="10"/>
        <w:jc w:val="both"/>
      </w:pPr>
      <w:r>
        <w:rPr>
          <w:rFonts w:ascii="Cambria" w:eastAsia="Cambria" w:hAnsi="Cambria" w:cs="Cambria"/>
        </w:rPr>
        <w:t xml:space="preserve">-Because </w:t>
      </w:r>
      <w:r>
        <w:rPr>
          <w:rFonts w:ascii="Cambria" w:eastAsia="Cambria" w:hAnsi="Cambria" w:cs="Cambria"/>
          <w:i/>
        </w:rPr>
        <w:t>σ</w:t>
      </w:r>
      <w:r>
        <w:rPr>
          <w:rFonts w:ascii="Cambria" w:eastAsia="Cambria" w:hAnsi="Cambria" w:cs="Cambria"/>
          <w:vertAlign w:val="superscript"/>
        </w:rPr>
        <w:t xml:space="preserve">0 </w:t>
      </w:r>
      <w:r>
        <w:rPr>
          <w:rFonts w:ascii="Cambria" w:eastAsia="Cambria" w:hAnsi="Cambria" w:cs="Cambria"/>
          <w:i/>
        </w:rPr>
        <w:t>&gt; σ</w:t>
      </w:r>
      <w:r>
        <w:rPr>
          <w:rFonts w:ascii="Cambria" w:eastAsia="Cambria" w:hAnsi="Cambria" w:cs="Cambria"/>
        </w:rPr>
        <w:t xml:space="preserve">, </w:t>
      </w:r>
      <w:r>
        <w:rPr>
          <w:rFonts w:ascii="Cambria" w:eastAsia="Cambria" w:hAnsi="Cambria" w:cs="Cambria"/>
          <w:i/>
          <w:u w:val="single" w:color="000000"/>
          <w:vertAlign w:val="superscript"/>
        </w:rPr>
        <w:t>A</w:t>
      </w:r>
      <w:r>
        <w:rPr>
          <w:rFonts w:ascii="Cambria" w:eastAsia="Cambria" w:hAnsi="Cambria" w:cs="Cambria"/>
          <w:i/>
          <w:vertAlign w:val="subscript"/>
        </w:rPr>
        <w:t>K</w:t>
      </w:r>
      <w:r>
        <w:rPr>
          <w:rFonts w:ascii="Cambria" w:eastAsia="Cambria" w:hAnsi="Cambria" w:cs="Cambria"/>
          <w:sz w:val="18"/>
          <w:u w:val="single" w:color="000000"/>
          <w:vertAlign w:val="superscript"/>
        </w:rPr>
        <w:t xml:space="preserve">0 </w:t>
      </w:r>
      <w:r>
        <w:rPr>
          <w:rFonts w:ascii="Cambria" w:eastAsia="Cambria" w:hAnsi="Cambria" w:cs="Cambria"/>
          <w:i/>
        </w:rPr>
        <w:t xml:space="preserve">&gt; </w:t>
      </w:r>
      <w:r>
        <w:rPr>
          <w:rFonts w:ascii="Cambria" w:eastAsia="Cambria" w:hAnsi="Cambria" w:cs="Cambria"/>
        </w:rPr>
        <w:t xml:space="preserve">1, </w:t>
      </w:r>
      <w:r>
        <w:rPr>
          <w:rFonts w:ascii="Cambria" w:eastAsia="Cambria" w:hAnsi="Cambria" w:cs="Cambria"/>
          <w:i/>
        </w:rPr>
        <w:t xml:space="preserve">α </w:t>
      </w:r>
      <w:r>
        <w:rPr>
          <w:rFonts w:ascii="Cambria" w:eastAsia="Cambria" w:hAnsi="Cambria" w:cs="Cambria"/>
        </w:rPr>
        <w:t xml:space="preserve">and </w:t>
      </w:r>
      <w:r>
        <w:rPr>
          <w:rFonts w:ascii="Cambria" w:eastAsia="Cambria" w:hAnsi="Cambria" w:cs="Cambria"/>
          <w:i/>
        </w:rPr>
        <w:t xml:space="preserve">ρ &lt; </w:t>
      </w:r>
      <w:r>
        <w:rPr>
          <w:rFonts w:ascii="Cambria" w:eastAsia="Cambria" w:hAnsi="Cambria" w:cs="Cambria"/>
        </w:rPr>
        <w:t>1, then we conclude that</w:t>
      </w:r>
      <w:r>
        <w:rPr>
          <w:noProof/>
        </w:rPr>
        <w:drawing>
          <wp:inline distT="0" distB="0" distL="0" distR="0">
            <wp:extent cx="496824" cy="152400"/>
            <wp:effectExtent l="0" t="0" r="0" b="0"/>
            <wp:docPr id="222014" name="Picture 222014"/>
            <wp:cNvGraphicFramePr/>
            <a:graphic xmlns:a="http://schemas.openxmlformats.org/drawingml/2006/main">
              <a:graphicData uri="http://schemas.openxmlformats.org/drawingml/2006/picture">
                <pic:pic xmlns:pic="http://schemas.openxmlformats.org/drawingml/2006/picture">
                  <pic:nvPicPr>
                    <pic:cNvPr id="222014" name="Picture 222014"/>
                    <pic:cNvPicPr/>
                  </pic:nvPicPr>
                  <pic:blipFill>
                    <a:blip r:embed="rId231"/>
                    <a:stretch>
                      <a:fillRect/>
                    </a:stretch>
                  </pic:blipFill>
                  <pic:spPr>
                    <a:xfrm>
                      <a:off x="0" y="0"/>
                      <a:ext cx="496824" cy="152400"/>
                    </a:xfrm>
                    <a:prstGeom prst="rect">
                      <a:avLst/>
                    </a:prstGeom>
                  </pic:spPr>
                </pic:pic>
              </a:graphicData>
            </a:graphic>
          </wp:inline>
        </w:drawing>
      </w:r>
      <w:r>
        <w:rPr>
          <w:rFonts w:ascii="Cambria" w:eastAsia="Cambria" w:hAnsi="Cambria" w:cs="Cambria"/>
        </w:rPr>
        <w:t>.</w:t>
      </w:r>
    </w:p>
    <w:p w:rsidR="00EE13F6" w:rsidRDefault="002E5BC4">
      <w:pPr>
        <w:spacing w:line="264" w:lineRule="auto"/>
        <w:ind w:left="-5" w:right="468" w:hanging="10"/>
        <w:jc w:val="both"/>
      </w:pPr>
      <w:r>
        <w:rPr>
          <w:rFonts w:ascii="Cambria" w:eastAsia="Cambria" w:hAnsi="Cambria" w:cs="Cambria"/>
          <w:b/>
        </w:rPr>
        <w:t>Interpretation</w:t>
      </w:r>
      <w:r>
        <w:rPr>
          <w:rFonts w:ascii="Cambria" w:eastAsia="Cambria" w:hAnsi="Cambria" w:cs="Cambria"/>
        </w:rPr>
        <w:t>: Because there is a given funding requirement to fulfil in a fixed cap</w:t>
      </w:r>
      <w:r>
        <w:rPr>
          <w:rFonts w:ascii="Cambria" w:eastAsia="Cambria" w:hAnsi="Cambria" w:cs="Cambria"/>
        </w:rPr>
        <w:t>ital structure, corporate firms will tend to raise the coupon to compensate for the drop in unit debt price due to the increase in asset volatility. This will in turn lower the equity price level according to the equation above. The drop in equity price wi</w:t>
      </w:r>
      <w:r>
        <w:rPr>
          <w:rFonts w:ascii="Cambria" w:eastAsia="Cambria" w:hAnsi="Cambria" w:cs="Cambria"/>
        </w:rPr>
        <w:t>ll be directly related to the issue size of the debt compared to the asset size as well as the aggregated side.</w:t>
      </w:r>
    </w:p>
    <w:p w:rsidR="00EE13F6" w:rsidRDefault="002E5BC4">
      <w:pPr>
        <w:spacing w:after="159" w:line="264" w:lineRule="auto"/>
        <w:ind w:left="-5" w:right="468" w:hanging="10"/>
        <w:jc w:val="both"/>
      </w:pPr>
      <w:r>
        <w:rPr>
          <w:rFonts w:ascii="Cambria" w:eastAsia="Cambria" w:hAnsi="Cambria" w:cs="Cambria"/>
          <w:b/>
        </w:rPr>
        <w:t xml:space="preserve">Corollary 2.1: </w:t>
      </w:r>
      <w:r>
        <w:rPr>
          <w:rFonts w:ascii="Cambria" w:eastAsia="Cambria" w:hAnsi="Cambria" w:cs="Cambria"/>
        </w:rPr>
        <w:t>The increase in the asset volatility following the introduction of the FTT leads to a decrease in the corporate firm’s valuation. This decrease in the corporation’s value occurs regardless of the maturity of the corporate debt.</w:t>
      </w:r>
    </w:p>
    <w:p w:rsidR="00EE13F6" w:rsidRDefault="002E5BC4">
      <w:pPr>
        <w:spacing w:after="135" w:line="264" w:lineRule="auto"/>
        <w:ind w:left="-5" w:right="468" w:hanging="10"/>
        <w:jc w:val="both"/>
      </w:pPr>
      <w:r>
        <w:rPr>
          <w:rFonts w:ascii="Cambria" w:eastAsia="Cambria" w:hAnsi="Cambria" w:cs="Cambria"/>
        </w:rPr>
        <w:t>Proof: This come from both e</w:t>
      </w:r>
      <w:r>
        <w:rPr>
          <w:rFonts w:ascii="Cambria" w:eastAsia="Cambria" w:hAnsi="Cambria" w:cs="Cambria"/>
        </w:rPr>
        <w:t xml:space="preserve">quation (21) and the fact that </w:t>
      </w:r>
      <w:r>
        <w:rPr>
          <w:rFonts w:ascii="Cambria" w:eastAsia="Cambria" w:hAnsi="Cambria" w:cs="Cambria"/>
          <w:i/>
        </w:rPr>
        <w:t xml:space="preserve">x </w:t>
      </w:r>
      <w:r>
        <w:rPr>
          <w:rFonts w:ascii="Cambria" w:eastAsia="Cambria" w:hAnsi="Cambria" w:cs="Cambria"/>
        </w:rPr>
        <w:t xml:space="preserve">is a monotonous decreasing function of </w:t>
      </w:r>
      <w:r>
        <w:rPr>
          <w:rFonts w:ascii="Cambria" w:eastAsia="Cambria" w:hAnsi="Cambria" w:cs="Cambria"/>
          <w:i/>
        </w:rPr>
        <w:t>σ</w:t>
      </w:r>
      <w:r>
        <w:rPr>
          <w:rFonts w:ascii="Cambria" w:eastAsia="Cambria" w:hAnsi="Cambria" w:cs="Cambria"/>
        </w:rPr>
        <w:t>.</w:t>
      </w:r>
    </w:p>
    <w:p w:rsidR="00EE13F6" w:rsidRDefault="002E5BC4">
      <w:pPr>
        <w:spacing w:after="138" w:line="257" w:lineRule="auto"/>
        <w:ind w:left="-5" w:right="468" w:hanging="10"/>
        <w:jc w:val="both"/>
      </w:pPr>
      <w:r>
        <w:rPr>
          <w:rFonts w:ascii="Cambria" w:eastAsia="Cambria" w:hAnsi="Cambria" w:cs="Cambria"/>
          <w:b/>
        </w:rPr>
        <w:t>Proposition 2</w:t>
      </w:r>
    </w:p>
    <w:p w:rsidR="00EE13F6" w:rsidRDefault="002E5BC4">
      <w:pPr>
        <w:spacing w:after="135" w:line="264" w:lineRule="auto"/>
        <w:ind w:left="-5" w:right="468" w:hanging="10"/>
        <w:jc w:val="both"/>
      </w:pPr>
      <w:r>
        <w:rPr>
          <w:rFonts w:ascii="Cambria" w:eastAsia="Cambria" w:hAnsi="Cambria" w:cs="Cambria"/>
        </w:rPr>
        <w:t>We compare the two respective economies stated above, and we considers a given corporation aiming to raise a fixed amount of capital by issuing corporate debt on the primary market.</w:t>
      </w:r>
    </w:p>
    <w:p w:rsidR="00EE13F6" w:rsidRDefault="002E5BC4">
      <w:pPr>
        <w:spacing w:after="135" w:line="264" w:lineRule="auto"/>
        <w:ind w:left="-5" w:right="468" w:hanging="10"/>
        <w:jc w:val="both"/>
      </w:pPr>
      <w:r>
        <w:rPr>
          <w:rFonts w:ascii="Cambria" w:eastAsia="Cambria" w:hAnsi="Cambria" w:cs="Cambria"/>
        </w:rPr>
        <w:t>The magnitude of the drop in equity price due to the FTT and described abo</w:t>
      </w:r>
      <w:r>
        <w:rPr>
          <w:rFonts w:ascii="Cambria" w:eastAsia="Cambria" w:hAnsi="Cambria" w:cs="Cambria"/>
        </w:rPr>
        <w:t>ve is:</w:t>
      </w:r>
    </w:p>
    <w:p w:rsidR="00EE13F6" w:rsidRDefault="002E5BC4">
      <w:pPr>
        <w:spacing w:after="135" w:line="264" w:lineRule="auto"/>
        <w:ind w:left="-5" w:right="468" w:hanging="10"/>
        <w:jc w:val="both"/>
      </w:pPr>
      <w:r>
        <w:rPr>
          <w:rFonts w:ascii="Cambria" w:eastAsia="Cambria" w:hAnsi="Cambria" w:cs="Cambria"/>
        </w:rPr>
        <w:t>(ii) Inversely related to the corporate tax rate</w:t>
      </w:r>
    </w:p>
    <w:p w:rsidR="00EE13F6" w:rsidRDefault="002E5BC4" w:rsidP="002E5BC4">
      <w:pPr>
        <w:numPr>
          <w:ilvl w:val="0"/>
          <w:numId w:val="43"/>
        </w:numPr>
        <w:spacing w:after="135" w:line="264" w:lineRule="auto"/>
        <w:ind w:right="468" w:hanging="424"/>
        <w:jc w:val="both"/>
      </w:pPr>
      <w:r>
        <w:rPr>
          <w:rFonts w:ascii="Cambria" w:eastAsia="Cambria" w:hAnsi="Cambria" w:cs="Cambria"/>
        </w:rPr>
        <w:t>Directly related to the credit spread of the corporate debt</w:t>
      </w:r>
    </w:p>
    <w:p w:rsidR="00EE13F6" w:rsidRDefault="002E5BC4" w:rsidP="002E5BC4">
      <w:pPr>
        <w:numPr>
          <w:ilvl w:val="0"/>
          <w:numId w:val="43"/>
        </w:numPr>
        <w:spacing w:after="135" w:line="264" w:lineRule="auto"/>
        <w:ind w:right="468" w:hanging="424"/>
        <w:jc w:val="both"/>
      </w:pPr>
      <w:r>
        <w:rPr>
          <w:rFonts w:ascii="Cambria" w:eastAsia="Cambria" w:hAnsi="Cambria" w:cs="Cambria"/>
        </w:rPr>
        <w:t>Directly related to the corporate debt leverage</w:t>
      </w:r>
    </w:p>
    <w:p w:rsidR="00EE13F6" w:rsidRDefault="002E5BC4" w:rsidP="002E5BC4">
      <w:pPr>
        <w:numPr>
          <w:ilvl w:val="0"/>
          <w:numId w:val="43"/>
        </w:numPr>
        <w:spacing w:after="0" w:line="387" w:lineRule="auto"/>
        <w:ind w:right="468" w:hanging="424"/>
        <w:jc w:val="both"/>
      </w:pPr>
      <w:r>
        <w:rPr>
          <w:rFonts w:ascii="Cambria" w:eastAsia="Cambria" w:hAnsi="Cambria" w:cs="Cambria"/>
        </w:rPr>
        <w:lastRenderedPageBreak/>
        <w:t>Directly related to the bankruptcy costs</w:t>
      </w:r>
      <w:r>
        <w:rPr>
          <w:rFonts w:ascii="Cambria" w:eastAsia="Cambria" w:hAnsi="Cambria" w:cs="Cambria"/>
          <w:b/>
        </w:rPr>
        <w:t>Proof:</w:t>
      </w:r>
    </w:p>
    <w:p w:rsidR="00EE13F6" w:rsidRDefault="002E5BC4">
      <w:pPr>
        <w:spacing w:after="159" w:line="264" w:lineRule="auto"/>
        <w:ind w:left="-5" w:right="468" w:hanging="10"/>
        <w:jc w:val="both"/>
      </w:pPr>
      <w:r>
        <w:rPr>
          <w:rFonts w:ascii="Cambria" w:eastAsia="Cambria" w:hAnsi="Cambria" w:cs="Cambria"/>
        </w:rPr>
        <w:t>This is a direct consequence of equation (29)</w:t>
      </w:r>
      <w:r>
        <w:rPr>
          <w:rFonts w:ascii="Cambria" w:eastAsia="Cambria" w:hAnsi="Cambria" w:cs="Cambria"/>
        </w:rPr>
        <w:t>.</w:t>
      </w:r>
    </w:p>
    <w:p w:rsidR="00EE13F6" w:rsidRDefault="002E5BC4">
      <w:pPr>
        <w:spacing w:after="135" w:line="264" w:lineRule="auto"/>
        <w:ind w:left="-5" w:right="468" w:hanging="10"/>
        <w:jc w:val="both"/>
      </w:pPr>
      <w:r>
        <w:rPr>
          <w:rFonts w:ascii="Cambria" w:eastAsia="Cambria" w:hAnsi="Cambria" w:cs="Cambria"/>
        </w:rPr>
        <w:t xml:space="preserve">The dependency towards </w:t>
      </w:r>
      <w:r>
        <w:rPr>
          <w:rFonts w:ascii="Cambria" w:eastAsia="Cambria" w:hAnsi="Cambria" w:cs="Cambria"/>
          <w:i/>
        </w:rPr>
        <w:t xml:space="preserve">α </w:t>
      </w:r>
      <w:r>
        <w:rPr>
          <w:rFonts w:ascii="Cambria" w:eastAsia="Cambria" w:hAnsi="Cambria" w:cs="Cambria"/>
        </w:rPr>
        <w:t xml:space="preserve">and </w:t>
      </w:r>
      <w:r>
        <w:rPr>
          <w:rFonts w:ascii="Cambria" w:eastAsia="Cambria" w:hAnsi="Cambria" w:cs="Cambria"/>
          <w:i/>
        </w:rPr>
        <w:t xml:space="preserve">ρ </w:t>
      </w:r>
      <w:r>
        <w:rPr>
          <w:rFonts w:ascii="Cambria" w:eastAsia="Cambria" w:hAnsi="Cambria" w:cs="Cambria"/>
        </w:rPr>
        <w:t xml:space="preserve">comes directly from the last term on the right in equation (29). The dependancy toward leverage comes from the fact that </w:t>
      </w:r>
      <w:r>
        <w:rPr>
          <w:rFonts w:ascii="Cambria" w:eastAsia="Cambria" w:hAnsi="Cambria" w:cs="Cambria"/>
          <w:i/>
        </w:rPr>
        <w:t xml:space="preserve">K </w:t>
      </w:r>
      <w:r>
        <w:rPr>
          <w:rFonts w:ascii="Cambria" w:eastAsia="Cambria" w:hAnsi="Cambria" w:cs="Cambria"/>
        </w:rPr>
        <w:t xml:space="preserve">= </w:t>
      </w:r>
      <w:r>
        <w:rPr>
          <w:rFonts w:ascii="Cambria" w:eastAsia="Cambria" w:hAnsi="Cambria" w:cs="Cambria"/>
          <w:i/>
        </w:rPr>
        <w:t xml:space="preserve">LP </w:t>
      </w:r>
      <w:r>
        <w:rPr>
          <w:rFonts w:ascii="Cambria" w:eastAsia="Cambria" w:hAnsi="Cambria" w:cs="Cambria"/>
        </w:rPr>
        <w:t xml:space="preserve">where </w:t>
      </w:r>
      <w:r>
        <w:rPr>
          <w:rFonts w:ascii="Cambria" w:eastAsia="Cambria" w:hAnsi="Cambria" w:cs="Cambria"/>
          <w:i/>
        </w:rPr>
        <w:t xml:space="preserve">P </w:t>
      </w:r>
      <w:r>
        <w:rPr>
          <w:rFonts w:ascii="Cambria" w:eastAsia="Cambria" w:hAnsi="Cambria" w:cs="Cambria"/>
        </w:rPr>
        <w:t xml:space="preserve">is the principal amount of the debt and </w:t>
      </w:r>
      <w:r>
        <w:rPr>
          <w:noProof/>
        </w:rPr>
        <w:drawing>
          <wp:inline distT="0" distB="0" distL="0" distR="0">
            <wp:extent cx="137160" cy="182880"/>
            <wp:effectExtent l="0" t="0" r="0" b="0"/>
            <wp:docPr id="222015" name="Picture 222015"/>
            <wp:cNvGraphicFramePr/>
            <a:graphic xmlns:a="http://schemas.openxmlformats.org/drawingml/2006/main">
              <a:graphicData uri="http://schemas.openxmlformats.org/drawingml/2006/picture">
                <pic:pic xmlns:pic="http://schemas.openxmlformats.org/drawingml/2006/picture">
                  <pic:nvPicPr>
                    <pic:cNvPr id="222015" name="Picture 222015"/>
                    <pic:cNvPicPr/>
                  </pic:nvPicPr>
                  <pic:blipFill>
                    <a:blip r:embed="rId232"/>
                    <a:stretch>
                      <a:fillRect/>
                    </a:stretch>
                  </pic:blipFill>
                  <pic:spPr>
                    <a:xfrm>
                      <a:off x="0" y="0"/>
                      <a:ext cx="137160" cy="182880"/>
                    </a:xfrm>
                    <a:prstGeom prst="rect">
                      <a:avLst/>
                    </a:prstGeom>
                  </pic:spPr>
                </pic:pic>
              </a:graphicData>
            </a:graphic>
          </wp:inline>
        </w:drawing>
      </w:r>
      <w:r>
        <w:rPr>
          <w:rFonts w:ascii="Cambria" w:eastAsia="Cambria" w:hAnsi="Cambria" w:cs="Cambria"/>
        </w:rPr>
        <w:t xml:space="preserve"> is inversely related to leverage.</w:t>
      </w:r>
    </w:p>
    <w:p w:rsidR="00EE13F6" w:rsidRDefault="002E5BC4">
      <w:pPr>
        <w:spacing w:after="135" w:line="264" w:lineRule="auto"/>
        <w:ind w:left="-5" w:right="468" w:hanging="10"/>
        <w:jc w:val="both"/>
      </w:pPr>
      <w:r>
        <w:rPr>
          <w:rFonts w:ascii="Cambria" w:eastAsia="Cambria" w:hAnsi="Cambria" w:cs="Cambria"/>
        </w:rPr>
        <w:t>The dependa</w:t>
      </w:r>
      <w:r>
        <w:rPr>
          <w:rFonts w:ascii="Cambria" w:eastAsia="Cambria" w:hAnsi="Cambria" w:cs="Cambria"/>
        </w:rPr>
        <w:t xml:space="preserve">ncy toward the credit spread comes from the fact that the credit spread is a monotonous increasing function of the volatility, and </w:t>
      </w:r>
      <w:r>
        <w:rPr>
          <w:rFonts w:ascii="Cambria" w:eastAsia="Cambria" w:hAnsi="Cambria" w:cs="Cambria"/>
          <w:i/>
        </w:rPr>
        <w:t xml:space="preserve">x </w:t>
      </w:r>
      <w:r>
        <w:rPr>
          <w:rFonts w:ascii="Cambria" w:eastAsia="Cambria" w:hAnsi="Cambria" w:cs="Cambria"/>
        </w:rPr>
        <w:t xml:space="preserve">is a decreasing function of </w:t>
      </w:r>
      <w:r>
        <w:rPr>
          <w:rFonts w:ascii="Cambria" w:eastAsia="Cambria" w:hAnsi="Cambria" w:cs="Cambria"/>
          <w:i/>
        </w:rPr>
        <w:t>σ</w:t>
      </w:r>
      <w:r>
        <w:rPr>
          <w:rFonts w:ascii="Cambria" w:eastAsia="Cambria" w:hAnsi="Cambria" w:cs="Cambria"/>
        </w:rPr>
        <w:t>.</w:t>
      </w:r>
    </w:p>
    <w:p w:rsidR="00EE13F6" w:rsidRDefault="002E5BC4">
      <w:pPr>
        <w:spacing w:after="138" w:line="257" w:lineRule="auto"/>
        <w:ind w:left="-5" w:right="468" w:hanging="10"/>
        <w:jc w:val="both"/>
      </w:pPr>
      <w:r>
        <w:rPr>
          <w:rFonts w:ascii="Cambria" w:eastAsia="Cambria" w:hAnsi="Cambria" w:cs="Cambria"/>
          <w:b/>
        </w:rPr>
        <w:t>Corollary 2.2:</w:t>
      </w:r>
    </w:p>
    <w:p w:rsidR="00EE13F6" w:rsidRDefault="002E5BC4">
      <w:pPr>
        <w:spacing w:after="465" w:line="264" w:lineRule="auto"/>
        <w:ind w:left="-5" w:right="468" w:hanging="10"/>
        <w:jc w:val="both"/>
      </w:pPr>
      <w:r>
        <w:rPr>
          <w:rFonts w:ascii="Cambria" w:eastAsia="Cambria" w:hAnsi="Cambria" w:cs="Cambria"/>
        </w:rPr>
        <w:t>Corporations located in different countries with different corporate tax rate</w:t>
      </w:r>
      <w:r>
        <w:rPr>
          <w:rFonts w:ascii="Cambria" w:eastAsia="Cambria" w:hAnsi="Cambria" w:cs="Cambria"/>
        </w:rPr>
        <w:t>s will experience different price drops in the risk neutral expectation of their equity. Highly leveraged firms paying significant dividends and located in countries with a low corporate tax rate will incur the most significant drop in their equity prices.</w:t>
      </w:r>
    </w:p>
    <w:p w:rsidR="00EE13F6" w:rsidRDefault="002E5BC4">
      <w:pPr>
        <w:spacing w:after="279" w:line="257" w:lineRule="auto"/>
        <w:ind w:left="752" w:right="468" w:hanging="767"/>
        <w:jc w:val="both"/>
      </w:pPr>
      <w:r>
        <w:rPr>
          <w:rFonts w:ascii="Cambria" w:eastAsia="Cambria" w:hAnsi="Cambria" w:cs="Cambria"/>
          <w:b/>
        </w:rPr>
        <w:t>2.1.2 Short Term effects for Corporations Carrying an Inventory of Perpetual Debt at the Time of FTT Introduction: Numerical Simulations</w:t>
      </w:r>
    </w:p>
    <w:p w:rsidR="00EE13F6" w:rsidRDefault="002E5BC4">
      <w:pPr>
        <w:spacing w:after="135" w:line="264" w:lineRule="auto"/>
        <w:ind w:left="-5" w:right="468" w:hanging="10"/>
        <w:jc w:val="both"/>
      </w:pPr>
      <w:r>
        <w:rPr>
          <w:rFonts w:ascii="Cambria" w:eastAsia="Cambria" w:hAnsi="Cambria" w:cs="Cambria"/>
        </w:rPr>
        <w:t>We consider the base case of a given corporate firm which carries an inventory of perpetual debt at the time the FTT is introduced, such that the model described in equation (13), section I, applies to this perpetual debt ”inventory”. The size of the outst</w:t>
      </w:r>
      <w:r>
        <w:rPr>
          <w:rFonts w:ascii="Cambria" w:eastAsia="Cambria" w:hAnsi="Cambria" w:cs="Cambria"/>
        </w:rPr>
        <w:t>anding principal amount (</w:t>
      </w:r>
      <w:r>
        <w:rPr>
          <w:rFonts w:ascii="Cambria" w:eastAsia="Cambria" w:hAnsi="Cambria" w:cs="Cambria"/>
          <w:i/>
        </w:rPr>
        <w:t>P</w:t>
      </w:r>
      <w:r>
        <w:rPr>
          <w:rFonts w:ascii="Cambria" w:eastAsia="Cambria" w:hAnsi="Cambria" w:cs="Cambria"/>
        </w:rPr>
        <w:t>) of perpetual debt commands directly the level of corporate leverage.</w:t>
      </w:r>
    </w:p>
    <w:p w:rsidR="00EE13F6" w:rsidRDefault="002E5BC4">
      <w:pPr>
        <w:spacing w:after="135" w:line="264" w:lineRule="auto"/>
        <w:ind w:left="-5" w:right="468" w:hanging="10"/>
        <w:jc w:val="both"/>
      </w:pPr>
      <w:r>
        <w:rPr>
          <w:rFonts w:ascii="Cambria" w:eastAsia="Cambria" w:hAnsi="Cambria" w:cs="Cambria"/>
        </w:rPr>
        <w:t>We assess the impact of the FTT on corporate equity, under risk neutral expectation, by first, computing the impact on the asset volatility, second deducing fr</w:t>
      </w:r>
      <w:r>
        <w:rPr>
          <w:rFonts w:ascii="Cambria" w:eastAsia="Cambria" w:hAnsi="Cambria" w:cs="Cambria"/>
        </w:rPr>
        <w:t>om the equations above the impact on the debt value. We consider a 2 percent ∆</w:t>
      </w:r>
      <w:r>
        <w:rPr>
          <w:rFonts w:ascii="Cambria" w:eastAsia="Cambria" w:hAnsi="Cambria" w:cs="Cambria"/>
          <w:i/>
          <w:vertAlign w:val="subscript"/>
        </w:rPr>
        <w:t xml:space="preserve">s </w:t>
      </w:r>
      <w:r>
        <w:rPr>
          <w:rFonts w:ascii="Cambria" w:eastAsia="Cambria" w:hAnsi="Cambria" w:cs="Cambria"/>
        </w:rPr>
        <w:t>rule and a FTT round trip rate of 0.2 percent of the stock market value.</w:t>
      </w:r>
    </w:p>
    <w:p w:rsidR="00EE13F6" w:rsidRDefault="002E5BC4">
      <w:pPr>
        <w:spacing w:after="135" w:line="264" w:lineRule="auto"/>
        <w:ind w:left="-5" w:right="468" w:hanging="10"/>
        <w:jc w:val="both"/>
      </w:pPr>
      <w:r>
        <w:rPr>
          <w:rFonts w:ascii="Cambria" w:eastAsia="Cambria" w:hAnsi="Cambria" w:cs="Cambria"/>
        </w:rPr>
        <w:t>Corporations are confronted with an immediate drop in the value of the outstanding debt, which is due t</w:t>
      </w:r>
      <w:r>
        <w:rPr>
          <w:rFonts w:ascii="Cambria" w:eastAsia="Cambria" w:hAnsi="Cambria" w:cs="Cambria"/>
        </w:rPr>
        <w:t>o the increase in the probability of default implied by the increased asset volatility. This drop in the debt value is more important than the drop in firm’s value and consequently this leads to a short term increase in the corporation equity.</w:t>
      </w:r>
    </w:p>
    <w:p w:rsidR="00EE13F6" w:rsidRDefault="002E5BC4">
      <w:pPr>
        <w:spacing w:after="174" w:line="264" w:lineRule="auto"/>
        <w:ind w:left="-5" w:right="468" w:hanging="10"/>
        <w:jc w:val="both"/>
      </w:pPr>
      <w:r>
        <w:rPr>
          <w:rFonts w:ascii="Cambria" w:eastAsia="Cambria" w:hAnsi="Cambria" w:cs="Cambria"/>
        </w:rPr>
        <w:t>Table 1 belo</w:t>
      </w:r>
      <w:r>
        <w:rPr>
          <w:rFonts w:ascii="Cambria" w:eastAsia="Cambria" w:hAnsi="Cambria" w:cs="Cambria"/>
        </w:rPr>
        <w:t>w describes the short term positive impact on the theoretical equity price. We assume that the corporation is funded solely through equity and perpetual debt and is carrying an existing inventory of perpetual debt at the time when the FTT is introduced. We</w:t>
      </w:r>
      <w:r>
        <w:rPr>
          <w:rFonts w:ascii="Cambria" w:eastAsia="Cambria" w:hAnsi="Cambria" w:cs="Cambria"/>
        </w:rPr>
        <w:t xml:space="preserve"> compute this effect for several levels of corporate leverage, and credit spreads. Practically, perpetual debt amounts issued by corporations represents in general a small portion of their assets. Thus, we should expect that in the ”real life”, corporation</w:t>
      </w:r>
      <w:r>
        <w:rPr>
          <w:rFonts w:ascii="Cambria" w:eastAsia="Cambria" w:hAnsi="Cambria" w:cs="Cambria"/>
        </w:rPr>
        <w:t>s will maintain low levels of leverage and this effect should be limited. The magnitude of this short term impact increases with the level of corporate assets volatility as evidenced in Table 2, below. Furthermore, this impact decreases with the level of c</w:t>
      </w:r>
      <w:r>
        <w:rPr>
          <w:rFonts w:ascii="Cambria" w:eastAsia="Cambria" w:hAnsi="Cambria" w:cs="Cambria"/>
        </w:rPr>
        <w:t>orporate tax as evidenced in Table 3.</w:t>
      </w:r>
    </w:p>
    <w:p w:rsidR="00EE13F6" w:rsidRDefault="002E5BC4">
      <w:pPr>
        <w:spacing w:after="207" w:line="257" w:lineRule="auto"/>
        <w:ind w:left="-5" w:right="468" w:hanging="10"/>
        <w:jc w:val="both"/>
      </w:pPr>
      <w:r>
        <w:rPr>
          <w:rFonts w:ascii="Cambria" w:eastAsia="Cambria" w:hAnsi="Cambria" w:cs="Cambria"/>
        </w:rPr>
        <w:t xml:space="preserve">Table 1: </w:t>
      </w:r>
      <w:r>
        <w:rPr>
          <w:rFonts w:ascii="Cambria" w:eastAsia="Cambria" w:hAnsi="Cambria" w:cs="Cambria"/>
          <w:b/>
        </w:rPr>
        <w:t xml:space="preserve">Short Term Effect Variations of Equity Value Following the Introduction of the FTT when The Firm carries an Inventory of Perpetual Debt; as a function of Credit Spreads </w:t>
      </w:r>
      <w:r>
        <w:rPr>
          <w:rFonts w:ascii="Cambria" w:eastAsia="Cambria" w:hAnsi="Cambria" w:cs="Cambria"/>
          <w:i/>
        </w:rPr>
        <w:t xml:space="preserve">S </w:t>
      </w:r>
      <w:r>
        <w:rPr>
          <w:rFonts w:ascii="Cambria" w:eastAsia="Cambria" w:hAnsi="Cambria" w:cs="Cambria"/>
          <w:b/>
        </w:rPr>
        <w:t xml:space="preserve">and Corporate Leverage </w:t>
      </w:r>
      <w:r>
        <w:rPr>
          <w:rFonts w:ascii="Cambria" w:eastAsia="Cambria" w:hAnsi="Cambria" w:cs="Cambria"/>
          <w:i/>
        </w:rPr>
        <w:t>L</w:t>
      </w:r>
      <w:r>
        <w:rPr>
          <w:rFonts w:ascii="Cambria" w:eastAsia="Cambria" w:hAnsi="Cambria" w:cs="Cambria"/>
          <w:b/>
        </w:rPr>
        <w:t xml:space="preserve">(Variation in </w:t>
      </w:r>
      <w:r>
        <w:rPr>
          <w:rFonts w:ascii="Cambria" w:eastAsia="Cambria" w:hAnsi="Cambria" w:cs="Cambria"/>
          <w:b/>
        </w:rPr>
        <w:t xml:space="preserve">percentages; </w:t>
      </w: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35</w:t>
      </w:r>
      <w:r>
        <w:rPr>
          <w:rFonts w:ascii="Cambria" w:eastAsia="Cambria" w:hAnsi="Cambria" w:cs="Cambria"/>
          <w:b/>
        </w:rPr>
        <w:t xml:space="preserve">;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50</w:t>
      </w:r>
      <w:r>
        <w:rPr>
          <w:rFonts w:ascii="Cambria" w:eastAsia="Cambria" w:hAnsi="Cambria" w:cs="Cambria"/>
          <w:b/>
        </w:rPr>
        <w:t xml:space="preserve">; </w:t>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 0</w:t>
      </w:r>
      <w:r>
        <w:rPr>
          <w:rFonts w:ascii="Cambria" w:eastAsia="Cambria" w:hAnsi="Cambria" w:cs="Cambria"/>
          <w:i/>
        </w:rPr>
        <w:t>.</w:t>
      </w:r>
      <w:r>
        <w:rPr>
          <w:rFonts w:ascii="Cambria" w:eastAsia="Cambria" w:hAnsi="Cambria" w:cs="Cambria"/>
        </w:rPr>
        <w:t>1</w:t>
      </w:r>
      <w:r>
        <w:rPr>
          <w:rFonts w:ascii="Cambria" w:eastAsia="Cambria" w:hAnsi="Cambria" w:cs="Cambria"/>
          <w:b/>
        </w:rPr>
        <w:t xml:space="preserve">; </w:t>
      </w:r>
      <w:r>
        <w:rPr>
          <w:rFonts w:ascii="Cambria" w:eastAsia="Cambria" w:hAnsi="Cambria" w:cs="Cambria"/>
          <w:i/>
        </w:rPr>
        <w:t xml:space="preserve">δ </w:t>
      </w:r>
      <w:r>
        <w:rPr>
          <w:rFonts w:ascii="Cambria" w:eastAsia="Cambria" w:hAnsi="Cambria" w:cs="Cambria"/>
        </w:rPr>
        <w:t>= 0</w:t>
      </w:r>
      <w:r>
        <w:rPr>
          <w:rFonts w:ascii="Cambria" w:eastAsia="Cambria" w:hAnsi="Cambria" w:cs="Cambria"/>
          <w:i/>
        </w:rPr>
        <w:t>.</w:t>
      </w:r>
      <w:r>
        <w:rPr>
          <w:rFonts w:ascii="Cambria" w:eastAsia="Cambria" w:hAnsi="Cambria" w:cs="Cambria"/>
        </w:rPr>
        <w:t>03</w:t>
      </w:r>
      <w:r>
        <w:rPr>
          <w:rFonts w:ascii="Cambria" w:eastAsia="Cambria" w:hAnsi="Cambria" w:cs="Cambria"/>
          <w:b/>
        </w:rPr>
        <w:t xml:space="preserve">; </w:t>
      </w:r>
      <w:r>
        <w:rPr>
          <w:rFonts w:ascii="Cambria" w:eastAsia="Cambria" w:hAnsi="Cambria" w:cs="Cambria"/>
          <w:i/>
        </w:rPr>
        <w:t xml:space="preserve">r </w:t>
      </w:r>
      <w:r>
        <w:rPr>
          <w:rFonts w:ascii="Cambria" w:eastAsia="Cambria" w:hAnsi="Cambria" w:cs="Cambria"/>
        </w:rPr>
        <w:t>= 0</w:t>
      </w:r>
      <w:r>
        <w:rPr>
          <w:rFonts w:ascii="Cambria" w:eastAsia="Cambria" w:hAnsi="Cambria" w:cs="Cambria"/>
          <w:i/>
        </w:rPr>
        <w:t>.</w:t>
      </w:r>
      <w:r>
        <w:rPr>
          <w:rFonts w:ascii="Cambria" w:eastAsia="Cambria" w:hAnsi="Cambria" w:cs="Cambria"/>
        </w:rPr>
        <w:t>01</w:t>
      </w:r>
      <w:r>
        <w:rPr>
          <w:rFonts w:ascii="Cambria" w:eastAsia="Cambria" w:hAnsi="Cambria" w:cs="Cambria"/>
          <w:b/>
        </w:rPr>
        <w:t>)</w:t>
      </w:r>
    </w:p>
    <w:tbl>
      <w:tblPr>
        <w:tblStyle w:val="TableGrid"/>
        <w:tblW w:w="6447" w:type="dxa"/>
        <w:tblInd w:w="1420" w:type="dxa"/>
        <w:tblCellMar>
          <w:top w:w="42" w:type="dxa"/>
          <w:left w:w="124" w:type="dxa"/>
          <w:bottom w:w="0" w:type="dxa"/>
          <w:right w:w="124" w:type="dxa"/>
        </w:tblCellMar>
        <w:tblLook w:val="04A0" w:firstRow="1" w:lastRow="0" w:firstColumn="1" w:lastColumn="0" w:noHBand="0" w:noVBand="1"/>
      </w:tblPr>
      <w:tblGrid>
        <w:gridCol w:w="821"/>
        <w:gridCol w:w="1017"/>
        <w:gridCol w:w="1017"/>
        <w:gridCol w:w="781"/>
        <w:gridCol w:w="891"/>
        <w:gridCol w:w="1017"/>
        <w:gridCol w:w="903"/>
      </w:tblGrid>
      <w:tr w:rsidR="00EE13F6">
        <w:trPr>
          <w:trHeight w:val="279"/>
        </w:trPr>
        <w:tc>
          <w:tcPr>
            <w:tcW w:w="8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lastRenderedPageBreak/>
              <w:t>S</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L=1.25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L=1.67</w:t>
            </w:r>
          </w:p>
        </w:tc>
        <w:tc>
          <w:tcPr>
            <w:tcW w:w="7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13"/>
              <w:jc w:val="both"/>
            </w:pPr>
            <w:r>
              <w:rPr>
                <w:rFonts w:ascii="Cambria" w:eastAsia="Cambria" w:hAnsi="Cambria" w:cs="Cambria"/>
                <w:b/>
              </w:rPr>
              <w:t>L=2</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L=2.5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L=3.33</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67"/>
            </w:pPr>
            <w:r>
              <w:rPr>
                <w:rFonts w:ascii="Cambria" w:eastAsia="Cambria" w:hAnsi="Cambria" w:cs="Cambria"/>
                <w:b/>
              </w:rPr>
              <w:t>L=5</w:t>
            </w:r>
          </w:p>
        </w:tc>
      </w:tr>
      <w:tr w:rsidR="00EE13F6">
        <w:trPr>
          <w:trHeight w:val="279"/>
        </w:trPr>
        <w:tc>
          <w:tcPr>
            <w:tcW w:w="81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0.007</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0.47</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1.01</w:t>
            </w:r>
          </w:p>
        </w:tc>
        <w:tc>
          <w:tcPr>
            <w:tcW w:w="7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1.3</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1.6</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1.9</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2.2</w:t>
            </w:r>
          </w:p>
        </w:tc>
      </w:tr>
      <w:tr w:rsidR="00EE13F6">
        <w:trPr>
          <w:trHeight w:val="279"/>
        </w:trPr>
        <w:tc>
          <w:tcPr>
            <w:tcW w:w="81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0.015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0.95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2.18</w:t>
            </w:r>
          </w:p>
        </w:tc>
        <w:tc>
          <w:tcPr>
            <w:tcW w:w="7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2.9</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3.7</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4.6</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5.62</w:t>
            </w:r>
          </w:p>
        </w:tc>
      </w:tr>
      <w:tr w:rsidR="00EE13F6">
        <w:trPr>
          <w:trHeight w:val="279"/>
        </w:trPr>
        <w:tc>
          <w:tcPr>
            <w:tcW w:w="81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0.025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1.65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4,3</w:t>
            </w:r>
          </w:p>
        </w:tc>
        <w:tc>
          <w:tcPr>
            <w:tcW w:w="7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6.1</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8.45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11.54</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15.8</w:t>
            </w:r>
          </w:p>
        </w:tc>
      </w:tr>
      <w:tr w:rsidR="00EE13F6">
        <w:trPr>
          <w:trHeight w:val="279"/>
        </w:trPr>
        <w:tc>
          <w:tcPr>
            <w:tcW w:w="81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0.035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2.53</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7.74</w:t>
            </w:r>
          </w:p>
        </w:tc>
        <w:tc>
          <w:tcPr>
            <w:tcW w:w="744"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12.53</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20.9</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38.8</w:t>
            </w:r>
          </w:p>
        </w:tc>
        <w:tc>
          <w:tcPr>
            <w:tcW w:w="85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104.73</w:t>
            </w:r>
          </w:p>
        </w:tc>
      </w:tr>
    </w:tbl>
    <w:p w:rsidR="00EE13F6" w:rsidRDefault="002E5BC4">
      <w:pPr>
        <w:spacing w:after="207" w:line="257" w:lineRule="auto"/>
        <w:ind w:left="-5" w:right="468" w:hanging="10"/>
        <w:jc w:val="both"/>
      </w:pPr>
      <w:r>
        <w:rPr>
          <w:rFonts w:ascii="Cambria" w:eastAsia="Cambria" w:hAnsi="Cambria" w:cs="Cambria"/>
        </w:rPr>
        <w:t xml:space="preserve">Table 2: </w:t>
      </w:r>
      <w:r>
        <w:rPr>
          <w:rFonts w:ascii="Cambria" w:eastAsia="Cambria" w:hAnsi="Cambria" w:cs="Cambria"/>
          <w:b/>
        </w:rPr>
        <w:t xml:space="preserve">Short Term Effect Variations of Equity Value Following the Introduction of the FTT when The Firm carries an Inventory of Perpetual Debt; as a function of Corporate Leverage </w:t>
      </w:r>
      <w:r>
        <w:rPr>
          <w:rFonts w:ascii="Cambria" w:eastAsia="Cambria" w:hAnsi="Cambria" w:cs="Cambria"/>
          <w:i/>
        </w:rPr>
        <w:t xml:space="preserve">L </w:t>
      </w:r>
      <w:r>
        <w:rPr>
          <w:rFonts w:ascii="Cambria" w:eastAsia="Cambria" w:hAnsi="Cambria" w:cs="Cambria"/>
          <w:b/>
        </w:rPr>
        <w:t xml:space="preserve">for Various Volatility Levels(Variation in percentages; Spreads in percents. </w:t>
      </w:r>
      <w:r>
        <w:rPr>
          <w:rFonts w:ascii="Cambria" w:eastAsia="Cambria" w:hAnsi="Cambria" w:cs="Cambria"/>
          <w:i/>
        </w:rPr>
        <w:t xml:space="preserve">ρ </w:t>
      </w:r>
      <w:r>
        <w:rPr>
          <w:rFonts w:ascii="Cambria" w:eastAsia="Cambria" w:hAnsi="Cambria" w:cs="Cambria"/>
        </w:rPr>
        <w:t xml:space="preserve">= </w:t>
      </w:r>
      <w:r>
        <w:rPr>
          <w:rFonts w:ascii="Cambria" w:eastAsia="Cambria" w:hAnsi="Cambria" w:cs="Cambria"/>
        </w:rPr>
        <w:t>0</w:t>
      </w:r>
      <w:r>
        <w:rPr>
          <w:rFonts w:ascii="Cambria" w:eastAsia="Cambria" w:hAnsi="Cambria" w:cs="Cambria"/>
          <w:i/>
        </w:rPr>
        <w:t>.</w:t>
      </w:r>
      <w:r>
        <w:rPr>
          <w:rFonts w:ascii="Cambria" w:eastAsia="Cambria" w:hAnsi="Cambria" w:cs="Cambria"/>
        </w:rPr>
        <w:t>35</w:t>
      </w:r>
      <w:r>
        <w:rPr>
          <w:rFonts w:ascii="Cambria" w:eastAsia="Cambria" w:hAnsi="Cambria" w:cs="Cambria"/>
          <w:b/>
        </w:rPr>
        <w:t xml:space="preserve">;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50</w:t>
      </w:r>
      <w:r>
        <w:rPr>
          <w:rFonts w:ascii="Cambria" w:eastAsia="Cambria" w:hAnsi="Cambria" w:cs="Cambria"/>
          <w:b/>
        </w:rPr>
        <w:t xml:space="preserve">; </w:t>
      </w:r>
      <w:r>
        <w:rPr>
          <w:rFonts w:ascii="Cambria" w:eastAsia="Cambria" w:hAnsi="Cambria" w:cs="Cambria"/>
          <w:i/>
        </w:rPr>
        <w:t xml:space="preserve">S </w:t>
      </w:r>
      <w:r>
        <w:rPr>
          <w:rFonts w:ascii="Cambria" w:eastAsia="Cambria" w:hAnsi="Cambria" w:cs="Cambria"/>
        </w:rPr>
        <w:t>= 0</w:t>
      </w:r>
      <w:r>
        <w:rPr>
          <w:rFonts w:ascii="Cambria" w:eastAsia="Cambria" w:hAnsi="Cambria" w:cs="Cambria"/>
          <w:i/>
        </w:rPr>
        <w:t>.</w:t>
      </w:r>
      <w:r>
        <w:rPr>
          <w:rFonts w:ascii="Cambria" w:eastAsia="Cambria" w:hAnsi="Cambria" w:cs="Cambria"/>
        </w:rPr>
        <w:t>007</w:t>
      </w:r>
      <w:r>
        <w:rPr>
          <w:rFonts w:ascii="Cambria" w:eastAsia="Cambria" w:hAnsi="Cambria" w:cs="Cambria"/>
          <w:b/>
        </w:rPr>
        <w:t xml:space="preserve">; </w:t>
      </w:r>
      <w:r>
        <w:rPr>
          <w:rFonts w:ascii="Cambria" w:eastAsia="Cambria" w:hAnsi="Cambria" w:cs="Cambria"/>
          <w:i/>
        </w:rPr>
        <w:t xml:space="preserve">δ </w:t>
      </w:r>
      <w:r>
        <w:rPr>
          <w:rFonts w:ascii="Cambria" w:eastAsia="Cambria" w:hAnsi="Cambria" w:cs="Cambria"/>
        </w:rPr>
        <w:t>= 0</w:t>
      </w:r>
      <w:r>
        <w:rPr>
          <w:rFonts w:ascii="Cambria" w:eastAsia="Cambria" w:hAnsi="Cambria" w:cs="Cambria"/>
          <w:i/>
        </w:rPr>
        <w:t>.</w:t>
      </w:r>
      <w:r>
        <w:rPr>
          <w:rFonts w:ascii="Cambria" w:eastAsia="Cambria" w:hAnsi="Cambria" w:cs="Cambria"/>
        </w:rPr>
        <w:t>03</w:t>
      </w:r>
      <w:r>
        <w:rPr>
          <w:rFonts w:ascii="Cambria" w:eastAsia="Cambria" w:hAnsi="Cambria" w:cs="Cambria"/>
          <w:b/>
        </w:rPr>
        <w:t xml:space="preserve">; </w:t>
      </w:r>
      <w:r>
        <w:rPr>
          <w:rFonts w:ascii="Cambria" w:eastAsia="Cambria" w:hAnsi="Cambria" w:cs="Cambria"/>
          <w:i/>
        </w:rPr>
        <w:t xml:space="preserve">r </w:t>
      </w:r>
      <w:r>
        <w:rPr>
          <w:rFonts w:ascii="Cambria" w:eastAsia="Cambria" w:hAnsi="Cambria" w:cs="Cambria"/>
        </w:rPr>
        <w:t>= 0</w:t>
      </w:r>
      <w:r>
        <w:rPr>
          <w:rFonts w:ascii="Cambria" w:eastAsia="Cambria" w:hAnsi="Cambria" w:cs="Cambria"/>
          <w:i/>
        </w:rPr>
        <w:t>.</w:t>
      </w:r>
      <w:r>
        <w:rPr>
          <w:rFonts w:ascii="Cambria" w:eastAsia="Cambria" w:hAnsi="Cambria" w:cs="Cambria"/>
        </w:rPr>
        <w:t>01</w:t>
      </w:r>
      <w:r>
        <w:rPr>
          <w:rFonts w:ascii="Cambria" w:eastAsia="Cambria" w:hAnsi="Cambria" w:cs="Cambria"/>
          <w:b/>
        </w:rPr>
        <w:t>)</w:t>
      </w:r>
    </w:p>
    <w:tbl>
      <w:tblPr>
        <w:tblStyle w:val="TableGrid"/>
        <w:tblW w:w="6036" w:type="dxa"/>
        <w:tblInd w:w="1626" w:type="dxa"/>
        <w:tblCellMar>
          <w:top w:w="42" w:type="dxa"/>
          <w:left w:w="124" w:type="dxa"/>
          <w:bottom w:w="0" w:type="dxa"/>
          <w:right w:w="124" w:type="dxa"/>
        </w:tblCellMar>
        <w:tblLook w:val="04A0" w:firstRow="1" w:lastRow="0" w:firstColumn="1" w:lastColumn="0" w:noHBand="0" w:noVBand="1"/>
      </w:tblPr>
      <w:tblGrid>
        <w:gridCol w:w="567"/>
        <w:gridCol w:w="1039"/>
        <w:gridCol w:w="1039"/>
        <w:gridCol w:w="719"/>
        <w:gridCol w:w="914"/>
        <w:gridCol w:w="1039"/>
        <w:gridCol w:w="719"/>
      </w:tblGrid>
      <w:tr w:rsidR="00EE13F6">
        <w:trPr>
          <w:trHeight w:val="279"/>
        </w:trPr>
        <w:tc>
          <w:tcPr>
            <w:tcW w:w="56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0"/>
            </w:pPr>
            <w:r>
              <w:rPr>
                <w:rFonts w:ascii="Cambria" w:eastAsia="Cambria" w:hAnsi="Cambria" w:cs="Cambria"/>
                <w:i/>
              </w:rPr>
              <w:t>σ</w:t>
            </w:r>
            <w:r>
              <w:rPr>
                <w:rFonts w:ascii="Cambria" w:eastAsia="Cambria" w:hAnsi="Cambria" w:cs="Cambria"/>
                <w:i/>
                <w:sz w:val="16"/>
              </w:rPr>
              <w:t>A</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L=1.25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L=1.67</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L=2</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L=2.5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L=3.33</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L=5</w:t>
            </w:r>
          </w:p>
        </w:tc>
      </w:tr>
      <w:tr w:rsidR="00EE13F6">
        <w:trPr>
          <w:trHeight w:val="279"/>
        </w:trPr>
        <w:tc>
          <w:tcPr>
            <w:tcW w:w="568"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0.1</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0.47</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1.01</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1.3</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1.6</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1.9</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2.2</w:t>
            </w:r>
          </w:p>
        </w:tc>
      </w:tr>
      <w:tr w:rsidR="00EE13F6">
        <w:trPr>
          <w:trHeight w:val="279"/>
        </w:trPr>
        <w:tc>
          <w:tcPr>
            <w:tcW w:w="568"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0.2</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0.75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1.41</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42"/>
            </w:pPr>
            <w:r>
              <w:rPr>
                <w:rFonts w:ascii="Cambria" w:eastAsia="Cambria" w:hAnsi="Cambria" w:cs="Cambria"/>
              </w:rPr>
              <w:t>1.74</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2.36</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42"/>
            </w:pPr>
            <w:r>
              <w:rPr>
                <w:rFonts w:ascii="Cambria" w:eastAsia="Cambria" w:hAnsi="Cambria" w:cs="Cambria"/>
              </w:rPr>
              <w:t>2.66</w:t>
            </w:r>
          </w:p>
        </w:tc>
      </w:tr>
    </w:tbl>
    <w:p w:rsidR="00EE13F6" w:rsidRDefault="002E5BC4">
      <w:pPr>
        <w:spacing w:after="207" w:line="257" w:lineRule="auto"/>
        <w:ind w:left="-5" w:right="468" w:hanging="10"/>
        <w:jc w:val="both"/>
      </w:pPr>
      <w:r>
        <w:rPr>
          <w:rFonts w:ascii="Cambria" w:eastAsia="Cambria" w:hAnsi="Cambria" w:cs="Cambria"/>
        </w:rPr>
        <w:t xml:space="preserve">Table 3: </w:t>
      </w:r>
      <w:r>
        <w:rPr>
          <w:rFonts w:ascii="Cambria" w:eastAsia="Cambria" w:hAnsi="Cambria" w:cs="Cambria"/>
          <w:b/>
        </w:rPr>
        <w:t xml:space="preserve">Short Term Effect Variations of Equity Value Following the Introduction of the FTT when The Firm carries an Inventory of Perpetual Debt as a function of Corporate Leverage </w:t>
      </w:r>
      <w:r>
        <w:rPr>
          <w:rFonts w:ascii="Cambria" w:eastAsia="Cambria" w:hAnsi="Cambria" w:cs="Cambria"/>
          <w:i/>
        </w:rPr>
        <w:t xml:space="preserve">L </w:t>
      </w:r>
      <w:r>
        <w:rPr>
          <w:rFonts w:ascii="Cambria" w:eastAsia="Cambria" w:hAnsi="Cambria" w:cs="Cambria"/>
          <w:b/>
        </w:rPr>
        <w:t>for Various Volatility Levels(Variation in percentages; Spreads in percents.</w:t>
      </w: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35</w:t>
      </w:r>
      <w:r>
        <w:rPr>
          <w:rFonts w:ascii="Cambria" w:eastAsia="Cambria" w:hAnsi="Cambria" w:cs="Cambria"/>
          <w:b/>
        </w:rPr>
        <w:t xml:space="preserve">; </w:t>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 0</w:t>
      </w:r>
      <w:r>
        <w:rPr>
          <w:rFonts w:ascii="Cambria" w:eastAsia="Cambria" w:hAnsi="Cambria" w:cs="Cambria"/>
          <w:i/>
        </w:rPr>
        <w:t>.</w:t>
      </w:r>
      <w:r>
        <w:rPr>
          <w:rFonts w:ascii="Cambria" w:eastAsia="Cambria" w:hAnsi="Cambria" w:cs="Cambria"/>
        </w:rPr>
        <w:t>1</w:t>
      </w:r>
      <w:r>
        <w:rPr>
          <w:rFonts w:ascii="Cambria" w:eastAsia="Cambria" w:hAnsi="Cambria" w:cs="Cambria"/>
          <w:b/>
        </w:rPr>
        <w:t xml:space="preserve">;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50</w:t>
      </w:r>
      <w:r>
        <w:rPr>
          <w:rFonts w:ascii="Cambria" w:eastAsia="Cambria" w:hAnsi="Cambria" w:cs="Cambria"/>
          <w:b/>
        </w:rPr>
        <w:t xml:space="preserve">; </w:t>
      </w:r>
      <w:r>
        <w:rPr>
          <w:rFonts w:ascii="Cambria" w:eastAsia="Cambria" w:hAnsi="Cambria" w:cs="Cambria"/>
          <w:i/>
        </w:rPr>
        <w:t xml:space="preserve">S </w:t>
      </w:r>
      <w:r>
        <w:rPr>
          <w:rFonts w:ascii="Cambria" w:eastAsia="Cambria" w:hAnsi="Cambria" w:cs="Cambria"/>
        </w:rPr>
        <w:t>= 0</w:t>
      </w:r>
      <w:r>
        <w:rPr>
          <w:rFonts w:ascii="Cambria" w:eastAsia="Cambria" w:hAnsi="Cambria" w:cs="Cambria"/>
          <w:i/>
        </w:rPr>
        <w:t>.</w:t>
      </w:r>
      <w:r>
        <w:rPr>
          <w:rFonts w:ascii="Cambria" w:eastAsia="Cambria" w:hAnsi="Cambria" w:cs="Cambria"/>
        </w:rPr>
        <w:t>007</w:t>
      </w:r>
      <w:r>
        <w:rPr>
          <w:rFonts w:ascii="Cambria" w:eastAsia="Cambria" w:hAnsi="Cambria" w:cs="Cambria"/>
          <w:b/>
        </w:rPr>
        <w:t xml:space="preserve">; </w:t>
      </w:r>
      <w:r>
        <w:rPr>
          <w:rFonts w:ascii="Cambria" w:eastAsia="Cambria" w:hAnsi="Cambria" w:cs="Cambria"/>
          <w:i/>
        </w:rPr>
        <w:t xml:space="preserve">δ </w:t>
      </w:r>
      <w:r>
        <w:rPr>
          <w:rFonts w:ascii="Cambria" w:eastAsia="Cambria" w:hAnsi="Cambria" w:cs="Cambria"/>
        </w:rPr>
        <w:t>= 0</w:t>
      </w:r>
      <w:r>
        <w:rPr>
          <w:rFonts w:ascii="Cambria" w:eastAsia="Cambria" w:hAnsi="Cambria" w:cs="Cambria"/>
          <w:i/>
        </w:rPr>
        <w:t>.</w:t>
      </w:r>
      <w:r>
        <w:rPr>
          <w:rFonts w:ascii="Cambria" w:eastAsia="Cambria" w:hAnsi="Cambria" w:cs="Cambria"/>
        </w:rPr>
        <w:t>03</w:t>
      </w:r>
      <w:r>
        <w:rPr>
          <w:rFonts w:ascii="Cambria" w:eastAsia="Cambria" w:hAnsi="Cambria" w:cs="Cambria"/>
          <w:b/>
        </w:rPr>
        <w:t xml:space="preserve">; </w:t>
      </w:r>
      <w:r>
        <w:rPr>
          <w:rFonts w:ascii="Cambria" w:eastAsia="Cambria" w:hAnsi="Cambria" w:cs="Cambria"/>
          <w:i/>
        </w:rPr>
        <w:t xml:space="preserve">r </w:t>
      </w:r>
      <w:r>
        <w:rPr>
          <w:rFonts w:ascii="Cambria" w:eastAsia="Cambria" w:hAnsi="Cambria" w:cs="Cambria"/>
        </w:rPr>
        <w:t>= 0</w:t>
      </w:r>
      <w:r>
        <w:rPr>
          <w:rFonts w:ascii="Cambria" w:eastAsia="Cambria" w:hAnsi="Cambria" w:cs="Cambria"/>
          <w:i/>
        </w:rPr>
        <w:t>.</w:t>
      </w:r>
      <w:r>
        <w:rPr>
          <w:rFonts w:ascii="Cambria" w:eastAsia="Cambria" w:hAnsi="Cambria" w:cs="Cambria"/>
        </w:rPr>
        <w:t>01</w:t>
      </w:r>
      <w:r>
        <w:rPr>
          <w:rFonts w:ascii="Cambria" w:eastAsia="Cambria" w:hAnsi="Cambria" w:cs="Cambria"/>
          <w:b/>
        </w:rPr>
        <w:t>)</w:t>
      </w:r>
    </w:p>
    <w:tbl>
      <w:tblPr>
        <w:tblStyle w:val="TableGrid"/>
        <w:tblW w:w="6162" w:type="dxa"/>
        <w:tblInd w:w="1563" w:type="dxa"/>
        <w:tblCellMar>
          <w:top w:w="42" w:type="dxa"/>
          <w:left w:w="124" w:type="dxa"/>
          <w:bottom w:w="0" w:type="dxa"/>
          <w:right w:w="124" w:type="dxa"/>
        </w:tblCellMar>
        <w:tblLook w:val="04A0" w:firstRow="1" w:lastRow="0" w:firstColumn="1" w:lastColumn="0" w:noHBand="0" w:noVBand="1"/>
      </w:tblPr>
      <w:tblGrid>
        <w:gridCol w:w="693"/>
        <w:gridCol w:w="1039"/>
        <w:gridCol w:w="1039"/>
        <w:gridCol w:w="719"/>
        <w:gridCol w:w="914"/>
        <w:gridCol w:w="1039"/>
        <w:gridCol w:w="719"/>
      </w:tblGrid>
      <w:tr w:rsidR="00EE13F6">
        <w:trPr>
          <w:trHeight w:val="279"/>
        </w:trPr>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i/>
              </w:rPr>
              <w:t>ρ</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L=1.25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L=1.67</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L=2</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L=2.5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L=3,33</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L=5</w:t>
            </w:r>
          </w:p>
        </w:tc>
      </w:tr>
      <w:tr w:rsidR="00EE13F6">
        <w:trPr>
          <w:trHeight w:val="279"/>
        </w:trPr>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0.35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0.47</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1.01</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1.3</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1.6</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1.9</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2.2</w:t>
            </w:r>
          </w:p>
        </w:tc>
      </w:tr>
      <w:tr w:rsidR="00EE13F6">
        <w:trPr>
          <w:trHeight w:val="279"/>
        </w:trPr>
        <w:tc>
          <w:tcPr>
            <w:tcW w:w="69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0.15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0.77</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1.74</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42"/>
            </w:pPr>
            <w:r>
              <w:rPr>
                <w:rFonts w:ascii="Cambria" w:eastAsia="Cambria" w:hAnsi="Cambria" w:cs="Cambria"/>
              </w:rPr>
              <w:t>2.28</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2.86</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3.50</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42"/>
            </w:pPr>
            <w:r>
              <w:rPr>
                <w:rFonts w:ascii="Cambria" w:eastAsia="Cambria" w:hAnsi="Cambria" w:cs="Cambria"/>
              </w:rPr>
              <w:t>4.18</w:t>
            </w:r>
          </w:p>
        </w:tc>
      </w:tr>
    </w:tbl>
    <w:p w:rsidR="00EE13F6" w:rsidRDefault="002E5BC4">
      <w:pPr>
        <w:spacing w:after="279" w:line="257" w:lineRule="auto"/>
        <w:ind w:left="752" w:right="468" w:hanging="767"/>
        <w:jc w:val="both"/>
      </w:pPr>
      <w:r>
        <w:rPr>
          <w:rFonts w:ascii="Cambria" w:eastAsia="Cambria" w:hAnsi="Cambria" w:cs="Cambria"/>
          <w:b/>
        </w:rPr>
        <w:t>2.1.3</w:t>
      </w:r>
      <w:r>
        <w:rPr>
          <w:rFonts w:ascii="Cambria" w:eastAsia="Cambria" w:hAnsi="Cambria" w:cs="Cambria"/>
          <w:b/>
        </w:rPr>
        <w:tab/>
        <w:t>Short Term Effects for a Debt Free Corporation Issuing New Perpetual Debt: Numerical Simulations</w:t>
      </w:r>
    </w:p>
    <w:p w:rsidR="00EE13F6" w:rsidRDefault="002E5BC4">
      <w:pPr>
        <w:spacing w:after="135" w:line="264" w:lineRule="auto"/>
        <w:ind w:left="-5" w:right="468" w:hanging="10"/>
        <w:jc w:val="both"/>
      </w:pPr>
      <w:r>
        <w:rPr>
          <w:rFonts w:ascii="Cambria" w:eastAsia="Cambria" w:hAnsi="Cambria" w:cs="Cambria"/>
        </w:rPr>
        <w:t>We review now the case of a corporation which is ”debt free” at the time the FTT is introduced and considers the issuance of new corporate perpetual debt. Equation (29) allows us to compute the comparative statics of the negative equity impact due to the i</w:t>
      </w:r>
      <w:r>
        <w:rPr>
          <w:rFonts w:ascii="Cambria" w:eastAsia="Cambria" w:hAnsi="Cambria" w:cs="Cambria"/>
        </w:rPr>
        <w:t>ntroduction of the FTT. We conduct numerical simulations of this impact depending upon corporate leverage, corporate tax rate, bankruptcy costs and asset volatility. We compare two economies: one without FTT and the second featuring the FTT as it is descri</w:t>
      </w:r>
      <w:r>
        <w:rPr>
          <w:rFonts w:ascii="Cambria" w:eastAsia="Cambria" w:hAnsi="Cambria" w:cs="Cambria"/>
        </w:rPr>
        <w:t>bed in the EU project.</w:t>
      </w:r>
    </w:p>
    <w:p w:rsidR="00EE13F6" w:rsidRDefault="002E5BC4">
      <w:pPr>
        <w:spacing w:after="135" w:line="264" w:lineRule="auto"/>
        <w:ind w:left="-5" w:right="468" w:hanging="10"/>
        <w:jc w:val="both"/>
      </w:pPr>
      <w:r>
        <w:rPr>
          <w:rFonts w:ascii="Cambria" w:eastAsia="Cambria" w:hAnsi="Cambria" w:cs="Cambria"/>
        </w:rPr>
        <w:t>We can then compute the impact of the FTT on Corporate equity, under risk neutral expectation, by first, computing the impact on the asset volatility, second deducing from the equations above the impact on the debt value. We assume a 2 percent ∆</w:t>
      </w:r>
      <w:r>
        <w:rPr>
          <w:rFonts w:ascii="Cambria" w:eastAsia="Cambria" w:hAnsi="Cambria" w:cs="Cambria"/>
          <w:i/>
          <w:vertAlign w:val="subscript"/>
        </w:rPr>
        <w:t xml:space="preserve">s </w:t>
      </w:r>
      <w:r>
        <w:rPr>
          <w:rFonts w:ascii="Cambria" w:eastAsia="Cambria" w:hAnsi="Cambria" w:cs="Cambria"/>
        </w:rPr>
        <w:t xml:space="preserve">rule and </w:t>
      </w:r>
      <w:r>
        <w:rPr>
          <w:rFonts w:ascii="Cambria" w:eastAsia="Cambria" w:hAnsi="Cambria" w:cs="Cambria"/>
        </w:rPr>
        <w:t>a round trip FTT rate of 0.2 percent of the notional value of the stock.</w:t>
      </w:r>
    </w:p>
    <w:p w:rsidR="00EE13F6" w:rsidRDefault="002E5BC4">
      <w:pPr>
        <w:spacing w:after="135" w:line="264" w:lineRule="auto"/>
        <w:ind w:left="-5" w:right="468" w:hanging="10"/>
        <w:jc w:val="both"/>
      </w:pPr>
      <w:r>
        <w:rPr>
          <w:rFonts w:ascii="Cambria" w:eastAsia="Cambria" w:hAnsi="Cambria" w:cs="Cambria"/>
        </w:rPr>
        <w:t>Table 4 evidences the negative impact on equity value of the FTT depending upon the desired leverage and the corporate tax rate, spread, for an asset volatility of 10 percent per year</w:t>
      </w:r>
      <w:r>
        <w:rPr>
          <w:rFonts w:ascii="Cambria" w:eastAsia="Cambria" w:hAnsi="Cambria" w:cs="Cambria"/>
        </w:rPr>
        <w:t>, and bankruptcy cost of 50 percent. One can see that the impact is directly related to the leverage and inversely related to the corporate tax rate. Corporate firms which are tax domiciled in countries with low tax rates, will experience a higher decrease</w:t>
      </w:r>
      <w:r>
        <w:rPr>
          <w:rFonts w:ascii="Cambria" w:eastAsia="Cambria" w:hAnsi="Cambria" w:cs="Cambria"/>
        </w:rPr>
        <w:t xml:space="preserve"> of the equity price than those located in countries with a higher tax rate.</w:t>
      </w:r>
    </w:p>
    <w:p w:rsidR="00EE13F6" w:rsidRDefault="002E5BC4">
      <w:pPr>
        <w:spacing w:after="135" w:line="264" w:lineRule="auto"/>
        <w:ind w:left="-5" w:right="468" w:hanging="10"/>
        <w:jc w:val="both"/>
      </w:pPr>
      <w:r>
        <w:rPr>
          <w:rFonts w:ascii="Cambria" w:eastAsia="Cambria" w:hAnsi="Cambria" w:cs="Cambria"/>
        </w:rPr>
        <w:t>Based on equation (15), the negative impact on the theoretical equity price increases with both bankruptcy costs and the risk free rate.</w:t>
      </w:r>
    </w:p>
    <w:p w:rsidR="00EE13F6" w:rsidRDefault="002E5BC4">
      <w:pPr>
        <w:spacing w:after="135" w:line="264" w:lineRule="auto"/>
        <w:ind w:left="-5" w:right="468" w:hanging="10"/>
        <w:jc w:val="both"/>
      </w:pPr>
      <w:r>
        <w:rPr>
          <w:rFonts w:ascii="Cambria" w:eastAsia="Cambria" w:hAnsi="Cambria" w:cs="Cambria"/>
        </w:rPr>
        <w:lastRenderedPageBreak/>
        <w:t>One can see that low corporate tax rates c</w:t>
      </w:r>
      <w:r>
        <w:rPr>
          <w:rFonts w:ascii="Cambria" w:eastAsia="Cambria" w:hAnsi="Cambria" w:cs="Cambria"/>
        </w:rPr>
        <w:t>ommand a significant higher negative impact on the corporate debt value, especially for highly leveraged corporations. Corporations with the same characteristics, located in countries having different corporate tax rates will have different impact of the F</w:t>
      </w:r>
      <w:r>
        <w:rPr>
          <w:rFonts w:ascii="Cambria" w:eastAsia="Cambria" w:hAnsi="Cambria" w:cs="Cambria"/>
        </w:rPr>
        <w:t>TT on their corporate cost of fundings, creating potentially, competitive distortions.</w:t>
      </w:r>
    </w:p>
    <w:p w:rsidR="00EE13F6" w:rsidRDefault="002E5BC4">
      <w:pPr>
        <w:spacing w:after="174" w:line="264" w:lineRule="auto"/>
        <w:ind w:left="-5" w:right="468" w:hanging="10"/>
        <w:jc w:val="both"/>
      </w:pPr>
      <w:r>
        <w:rPr>
          <w:rFonts w:ascii="Cambria" w:eastAsia="Cambria" w:hAnsi="Cambria" w:cs="Cambria"/>
        </w:rPr>
        <w:t xml:space="preserve">This strongly suggests, that in case the FTT would be implemented at the same time, in all EU countries, it would harm the competitiveness of corporate firms located in </w:t>
      </w:r>
      <w:r>
        <w:rPr>
          <w:rFonts w:ascii="Cambria" w:eastAsia="Cambria" w:hAnsi="Cambria" w:cs="Cambria"/>
        </w:rPr>
        <w:t>countries having the lowest corporate tax rate. Consequently, in order to avoid such distortions, the EU should, prior to the introduction of the FTT, proceed to an harmonisation of the various corporate tax rates across the EU.</w:t>
      </w:r>
    </w:p>
    <w:p w:rsidR="00EE13F6" w:rsidRDefault="002E5BC4">
      <w:pPr>
        <w:spacing w:after="207" w:line="257" w:lineRule="auto"/>
        <w:ind w:left="-5" w:right="468" w:hanging="10"/>
        <w:jc w:val="both"/>
      </w:pPr>
      <w:r>
        <w:rPr>
          <w:rFonts w:ascii="Cambria" w:eastAsia="Cambria" w:hAnsi="Cambria" w:cs="Cambria"/>
        </w:rPr>
        <w:t xml:space="preserve">Table 4: </w:t>
      </w:r>
      <w:r>
        <w:rPr>
          <w:rFonts w:ascii="Cambria" w:eastAsia="Cambria" w:hAnsi="Cambria" w:cs="Cambria"/>
          <w:b/>
        </w:rPr>
        <w:t xml:space="preserve">Impact of the FTT </w:t>
      </w:r>
      <w:r>
        <w:rPr>
          <w:rFonts w:ascii="Cambria" w:eastAsia="Cambria" w:hAnsi="Cambria" w:cs="Cambria"/>
          <w:b/>
        </w:rPr>
        <w:t>In terms of Equity Value Variation in Percentages as a function of Leverage L and Corporate Tax Rate for a ”Debt free” Corporation Issuing New Perpetual Debt;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50</w:t>
      </w:r>
      <w:r>
        <w:rPr>
          <w:rFonts w:ascii="Cambria" w:eastAsia="Cambria" w:hAnsi="Cambria" w:cs="Cambria"/>
          <w:b/>
        </w:rPr>
        <w:t xml:space="preserve">; </w:t>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 0</w:t>
      </w:r>
      <w:r>
        <w:rPr>
          <w:rFonts w:ascii="Cambria" w:eastAsia="Cambria" w:hAnsi="Cambria" w:cs="Cambria"/>
          <w:i/>
        </w:rPr>
        <w:t>.</w:t>
      </w:r>
      <w:r>
        <w:rPr>
          <w:rFonts w:ascii="Cambria" w:eastAsia="Cambria" w:hAnsi="Cambria" w:cs="Cambria"/>
        </w:rPr>
        <w:t>20</w:t>
      </w:r>
      <w:r>
        <w:rPr>
          <w:rFonts w:ascii="Cambria" w:eastAsia="Cambria" w:hAnsi="Cambria" w:cs="Cambria"/>
          <w:b/>
        </w:rPr>
        <w:t xml:space="preserve">; </w:t>
      </w:r>
      <w:r>
        <w:rPr>
          <w:rFonts w:ascii="Cambria" w:eastAsia="Cambria" w:hAnsi="Cambria" w:cs="Cambria"/>
          <w:i/>
        </w:rPr>
        <w:t xml:space="preserve">δ </w:t>
      </w:r>
      <w:r>
        <w:rPr>
          <w:rFonts w:ascii="Cambria" w:eastAsia="Cambria" w:hAnsi="Cambria" w:cs="Cambria"/>
        </w:rPr>
        <w:t>= 0</w:t>
      </w:r>
      <w:r>
        <w:rPr>
          <w:rFonts w:ascii="Cambria" w:eastAsia="Cambria" w:hAnsi="Cambria" w:cs="Cambria"/>
          <w:i/>
        </w:rPr>
        <w:t>.</w:t>
      </w:r>
      <w:r>
        <w:rPr>
          <w:rFonts w:ascii="Cambria" w:eastAsia="Cambria" w:hAnsi="Cambria" w:cs="Cambria"/>
        </w:rPr>
        <w:t>05</w:t>
      </w:r>
      <w:r>
        <w:rPr>
          <w:rFonts w:ascii="Cambria" w:eastAsia="Cambria" w:hAnsi="Cambria" w:cs="Cambria"/>
          <w:b/>
        </w:rPr>
        <w:t xml:space="preserve">; </w:t>
      </w:r>
      <w:r>
        <w:rPr>
          <w:rFonts w:ascii="Cambria" w:eastAsia="Cambria" w:hAnsi="Cambria" w:cs="Cambria"/>
          <w:i/>
        </w:rPr>
        <w:t xml:space="preserve">r </w:t>
      </w:r>
      <w:r>
        <w:rPr>
          <w:rFonts w:ascii="Cambria" w:eastAsia="Cambria" w:hAnsi="Cambria" w:cs="Cambria"/>
        </w:rPr>
        <w:t>= 0</w:t>
      </w:r>
      <w:r>
        <w:rPr>
          <w:rFonts w:ascii="Cambria" w:eastAsia="Cambria" w:hAnsi="Cambria" w:cs="Cambria"/>
          <w:i/>
        </w:rPr>
        <w:t>.</w:t>
      </w:r>
      <w:r>
        <w:rPr>
          <w:rFonts w:ascii="Cambria" w:eastAsia="Cambria" w:hAnsi="Cambria" w:cs="Cambria"/>
        </w:rPr>
        <w:t xml:space="preserve">01 </w:t>
      </w:r>
      <w:r>
        <w:rPr>
          <w:rFonts w:ascii="Cambria" w:eastAsia="Cambria" w:hAnsi="Cambria" w:cs="Cambria"/>
          <w:b/>
        </w:rPr>
        <w:t>)</w:t>
      </w:r>
    </w:p>
    <w:tbl>
      <w:tblPr>
        <w:tblStyle w:val="TableGrid"/>
        <w:tblW w:w="6379" w:type="dxa"/>
        <w:tblInd w:w="1454" w:type="dxa"/>
        <w:tblCellMar>
          <w:top w:w="42" w:type="dxa"/>
          <w:left w:w="123" w:type="dxa"/>
          <w:bottom w:w="0" w:type="dxa"/>
          <w:right w:w="115" w:type="dxa"/>
        </w:tblCellMar>
        <w:tblLook w:val="04A0" w:firstRow="1" w:lastRow="0" w:firstColumn="1" w:lastColumn="0" w:noHBand="0" w:noVBand="1"/>
      </w:tblPr>
      <w:tblGrid>
        <w:gridCol w:w="1185"/>
        <w:gridCol w:w="1038"/>
        <w:gridCol w:w="1039"/>
        <w:gridCol w:w="1039"/>
        <w:gridCol w:w="1039"/>
        <w:gridCol w:w="1039"/>
      </w:tblGrid>
      <w:tr w:rsidR="00EE13F6">
        <w:trPr>
          <w:trHeight w:val="279"/>
        </w:trPr>
        <w:tc>
          <w:tcPr>
            <w:tcW w:w="1186" w:type="dxa"/>
            <w:tcBorders>
              <w:top w:val="single" w:sz="3" w:space="0" w:color="000000"/>
              <w:left w:val="single" w:sz="3" w:space="0" w:color="000000"/>
              <w:bottom w:val="single" w:sz="3" w:space="0" w:color="000000"/>
              <w:right w:val="single" w:sz="3" w:space="0" w:color="000000"/>
            </w:tcBorders>
            <w:vAlign w:val="center"/>
          </w:tcPr>
          <w:p w:rsidR="00EE13F6" w:rsidRDefault="00EE13F6"/>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15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20</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25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30</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35</w:t>
            </w:r>
          </w:p>
        </w:tc>
      </w:tr>
      <w:tr w:rsidR="00EE13F6">
        <w:trPr>
          <w:trHeight w:val="279"/>
        </w:trPr>
        <w:tc>
          <w:tcPr>
            <w:tcW w:w="118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b/>
              </w:rPr>
              <w:t xml:space="preserve">L </w:t>
            </w:r>
            <w:r>
              <w:rPr>
                <w:rFonts w:ascii="Cambria" w:eastAsia="Cambria" w:hAnsi="Cambria" w:cs="Cambria"/>
              </w:rPr>
              <w:t>= 1</w:t>
            </w:r>
            <w:r>
              <w:rPr>
                <w:rFonts w:ascii="Cambria" w:eastAsia="Cambria" w:hAnsi="Cambria" w:cs="Cambria"/>
                <w:i/>
              </w:rPr>
              <w:t>.</w:t>
            </w:r>
            <w:r>
              <w:rPr>
                <w:rFonts w:ascii="Cambria" w:eastAsia="Cambria" w:hAnsi="Cambria" w:cs="Cambria"/>
              </w:rPr>
              <w:t>25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-0.42</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-0.43</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-0.45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-0.46</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-0.47</w:t>
            </w:r>
          </w:p>
        </w:tc>
      </w:tr>
      <w:tr w:rsidR="00EE13F6">
        <w:trPr>
          <w:trHeight w:val="279"/>
        </w:trPr>
        <w:tc>
          <w:tcPr>
            <w:tcW w:w="118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b/>
              </w:rPr>
              <w:t xml:space="preserve">L </w:t>
            </w:r>
            <w:r>
              <w:rPr>
                <w:rFonts w:ascii="Cambria" w:eastAsia="Cambria" w:hAnsi="Cambria" w:cs="Cambria"/>
              </w:rPr>
              <w:t>= 1</w:t>
            </w:r>
            <w:r>
              <w:rPr>
                <w:rFonts w:ascii="Cambria" w:eastAsia="Cambria" w:hAnsi="Cambria" w:cs="Cambria"/>
                <w:i/>
              </w:rPr>
              <w:t>.</w:t>
            </w:r>
            <w:r>
              <w:rPr>
                <w:rFonts w:ascii="Cambria" w:eastAsia="Cambria" w:hAnsi="Cambria" w:cs="Cambria"/>
              </w:rPr>
              <w:t>67</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-0.90</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-0.91</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-0.92</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-0.93</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-0.95</w:t>
            </w:r>
          </w:p>
        </w:tc>
      </w:tr>
      <w:tr w:rsidR="00EE13F6">
        <w:trPr>
          <w:trHeight w:val="279"/>
        </w:trPr>
        <w:tc>
          <w:tcPr>
            <w:tcW w:w="118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b/>
              </w:rPr>
              <w:t xml:space="preserve">L </w:t>
            </w:r>
            <w:r>
              <w:rPr>
                <w:rFonts w:ascii="Cambria" w:eastAsia="Cambria" w:hAnsi="Cambria" w:cs="Cambria"/>
              </w:rPr>
              <w:t>= 2</w:t>
            </w:r>
            <w:r>
              <w:rPr>
                <w:rFonts w:ascii="Cambria" w:eastAsia="Cambria" w:hAnsi="Cambria" w:cs="Cambria"/>
                <w:i/>
              </w:rPr>
              <w:t>.</w:t>
            </w:r>
            <w:r>
              <w:rPr>
                <w:rFonts w:ascii="Cambria" w:eastAsia="Cambria" w:hAnsi="Cambria" w:cs="Cambria"/>
              </w:rPr>
              <w:t>00</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-1.24</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-1.24</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-1.24</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-1.24</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-1.24</w:t>
            </w:r>
          </w:p>
        </w:tc>
      </w:tr>
      <w:tr w:rsidR="00EE13F6">
        <w:trPr>
          <w:trHeight w:val="279"/>
        </w:trPr>
        <w:tc>
          <w:tcPr>
            <w:tcW w:w="118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 xml:space="preserve">L </w:t>
            </w:r>
            <w:r>
              <w:rPr>
                <w:rFonts w:ascii="Cambria" w:eastAsia="Cambria" w:hAnsi="Cambria" w:cs="Cambria"/>
              </w:rPr>
              <w:t>= 2</w:t>
            </w:r>
            <w:r>
              <w:rPr>
                <w:rFonts w:ascii="Cambria" w:eastAsia="Cambria" w:hAnsi="Cambria" w:cs="Cambria"/>
                <w:i/>
              </w:rPr>
              <w:t>.</w:t>
            </w:r>
            <w:r>
              <w:rPr>
                <w:rFonts w:ascii="Cambria" w:eastAsia="Cambria" w:hAnsi="Cambria" w:cs="Cambria"/>
              </w:rPr>
              <w:t>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-1.75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-1.71</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-1.67</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-1.64</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-1.61</w:t>
            </w:r>
          </w:p>
        </w:tc>
      </w:tr>
      <w:tr w:rsidR="00EE13F6">
        <w:trPr>
          <w:trHeight w:val="279"/>
        </w:trPr>
        <w:tc>
          <w:tcPr>
            <w:tcW w:w="1186"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 xml:space="preserve">L </w:t>
            </w:r>
            <w:r>
              <w:rPr>
                <w:rFonts w:ascii="Cambria" w:eastAsia="Cambria" w:hAnsi="Cambria" w:cs="Cambria"/>
              </w:rPr>
              <w:t>= 3</w:t>
            </w:r>
            <w:r>
              <w:rPr>
                <w:rFonts w:ascii="Cambria" w:eastAsia="Cambria" w:hAnsi="Cambria" w:cs="Cambria"/>
                <w:i/>
              </w:rPr>
              <w:t>.</w:t>
            </w:r>
            <w:r>
              <w:rPr>
                <w:rFonts w:ascii="Cambria" w:eastAsia="Cambria" w:hAnsi="Cambria" w:cs="Cambria"/>
              </w:rPr>
              <w:t>333</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-2.69</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-2.52</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-2.37</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-2.25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-2.15</w:t>
            </w:r>
          </w:p>
        </w:tc>
      </w:tr>
      <w:tr w:rsidR="00EE13F6">
        <w:trPr>
          <w:trHeight w:val="279"/>
        </w:trPr>
        <w:tc>
          <w:tcPr>
            <w:tcW w:w="118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 xml:space="preserve">L </w:t>
            </w:r>
            <w:r>
              <w:rPr>
                <w:rFonts w:ascii="Cambria" w:eastAsia="Cambria" w:hAnsi="Cambria" w:cs="Cambria"/>
              </w:rPr>
              <w:t>= 4</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-3.59</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-3.21</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-2.93</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-2.71</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-2.54</w:t>
            </w:r>
          </w:p>
        </w:tc>
      </w:tr>
      <w:tr w:rsidR="00EE13F6">
        <w:trPr>
          <w:trHeight w:val="279"/>
        </w:trPr>
        <w:tc>
          <w:tcPr>
            <w:tcW w:w="118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b/>
              </w:rPr>
              <w:t xml:space="preserve">L </w:t>
            </w:r>
            <w:r>
              <w:rPr>
                <w:rFonts w:ascii="Cambria" w:eastAsia="Cambria" w:hAnsi="Cambria" w:cs="Cambria"/>
              </w:rPr>
              <w:t>= 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-5.31</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-4.40</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-3.80</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-3.38</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-3.06</w:t>
            </w:r>
          </w:p>
        </w:tc>
      </w:tr>
      <w:tr w:rsidR="00EE13F6">
        <w:trPr>
          <w:trHeight w:val="279"/>
        </w:trPr>
        <w:tc>
          <w:tcPr>
            <w:tcW w:w="1186"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 xml:space="preserve">L </w:t>
            </w:r>
            <w:r>
              <w:rPr>
                <w:rFonts w:ascii="Cambria" w:eastAsia="Cambria" w:hAnsi="Cambria" w:cs="Cambria"/>
              </w:rPr>
              <w:t>= 10</w:t>
            </w:r>
            <w:r>
              <w:rPr>
                <w:rFonts w:ascii="Cambria" w:eastAsia="Cambria" w:hAnsi="Cambria" w:cs="Cambria"/>
                <w:i/>
              </w:rPr>
              <w:t>.</w:t>
            </w:r>
            <w:r>
              <w:rPr>
                <w:rFonts w:ascii="Cambria" w:eastAsia="Cambria" w:hAnsi="Cambria" w:cs="Cambria"/>
              </w:rPr>
              <w:t>00</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-91.79</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-15.89</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-9.02</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-6.45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8"/>
              <w:jc w:val="center"/>
            </w:pPr>
            <w:r>
              <w:rPr>
                <w:rFonts w:ascii="Cambria" w:eastAsia="Cambria" w:hAnsi="Cambria" w:cs="Cambria"/>
              </w:rPr>
              <w:t>-5.10</w:t>
            </w:r>
          </w:p>
        </w:tc>
      </w:tr>
    </w:tbl>
    <w:p w:rsidR="00EE13F6" w:rsidRDefault="002E5BC4">
      <w:pPr>
        <w:spacing w:after="216" w:line="264" w:lineRule="auto"/>
        <w:ind w:left="-5" w:right="468" w:hanging="10"/>
        <w:jc w:val="both"/>
      </w:pPr>
      <w:r>
        <w:rPr>
          <w:rFonts w:ascii="Cambria" w:eastAsia="Cambria" w:hAnsi="Cambria" w:cs="Cambria"/>
        </w:rPr>
        <w:t>The negative impact on equity share price is an increasing function of both corporate credit spreads and firm’s leverage as evidenced in Table 5.</w:t>
      </w:r>
    </w:p>
    <w:p w:rsidR="00EE13F6" w:rsidRDefault="002E5BC4">
      <w:pPr>
        <w:spacing w:after="207" w:line="257" w:lineRule="auto"/>
        <w:ind w:left="-5" w:right="468" w:hanging="10"/>
        <w:jc w:val="both"/>
      </w:pPr>
      <w:r>
        <w:rPr>
          <w:rFonts w:ascii="Cambria" w:eastAsia="Cambria" w:hAnsi="Cambria" w:cs="Cambria"/>
        </w:rPr>
        <w:t xml:space="preserve">Table 5: </w:t>
      </w:r>
      <w:r>
        <w:rPr>
          <w:rFonts w:ascii="Cambria" w:eastAsia="Cambria" w:hAnsi="Cambria" w:cs="Cambria"/>
          <w:b/>
        </w:rPr>
        <w:t xml:space="preserve">Short Term Effect Variations of Equity Value Following the Introduction of the FTT for a ”Debt free” Corporation Issuing New Perpetual Debt; as a function of Credit Spreads </w:t>
      </w:r>
      <w:r>
        <w:rPr>
          <w:rFonts w:ascii="Cambria" w:eastAsia="Cambria" w:hAnsi="Cambria" w:cs="Cambria"/>
          <w:i/>
        </w:rPr>
        <w:t xml:space="preserve">S </w:t>
      </w:r>
      <w:r>
        <w:rPr>
          <w:rFonts w:ascii="Cambria" w:eastAsia="Cambria" w:hAnsi="Cambria" w:cs="Cambria"/>
          <w:b/>
        </w:rPr>
        <w:t xml:space="preserve">and Corporate Leverage </w:t>
      </w:r>
      <w:r>
        <w:rPr>
          <w:rFonts w:ascii="Cambria" w:eastAsia="Cambria" w:hAnsi="Cambria" w:cs="Cambria"/>
          <w:i/>
        </w:rPr>
        <w:t>L</w:t>
      </w:r>
      <w:r>
        <w:rPr>
          <w:rFonts w:ascii="Cambria" w:eastAsia="Cambria" w:hAnsi="Cambria" w:cs="Cambria"/>
          <w:b/>
        </w:rPr>
        <w:t xml:space="preserve">(Variation in percentages; Spreads in percents </w:t>
      </w: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35</w:t>
      </w:r>
      <w:r>
        <w:rPr>
          <w:rFonts w:ascii="Cambria" w:eastAsia="Cambria" w:hAnsi="Cambria" w:cs="Cambria"/>
          <w:b/>
        </w:rPr>
        <w:t xml:space="preserve">;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50</w:t>
      </w:r>
      <w:r>
        <w:rPr>
          <w:rFonts w:ascii="Cambria" w:eastAsia="Cambria" w:hAnsi="Cambria" w:cs="Cambria"/>
          <w:b/>
        </w:rPr>
        <w:t xml:space="preserve">; </w:t>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 0</w:t>
      </w:r>
      <w:r>
        <w:rPr>
          <w:rFonts w:ascii="Cambria" w:eastAsia="Cambria" w:hAnsi="Cambria" w:cs="Cambria"/>
          <w:i/>
        </w:rPr>
        <w:t>.</w:t>
      </w:r>
      <w:r>
        <w:rPr>
          <w:rFonts w:ascii="Cambria" w:eastAsia="Cambria" w:hAnsi="Cambria" w:cs="Cambria"/>
        </w:rPr>
        <w:t>1</w:t>
      </w:r>
      <w:r>
        <w:rPr>
          <w:rFonts w:ascii="Cambria" w:eastAsia="Cambria" w:hAnsi="Cambria" w:cs="Cambria"/>
          <w:b/>
        </w:rPr>
        <w:t xml:space="preserve">; </w:t>
      </w:r>
      <w:r>
        <w:rPr>
          <w:rFonts w:ascii="Cambria" w:eastAsia="Cambria" w:hAnsi="Cambria" w:cs="Cambria"/>
          <w:i/>
        </w:rPr>
        <w:t xml:space="preserve">δ </w:t>
      </w:r>
      <w:r>
        <w:rPr>
          <w:rFonts w:ascii="Cambria" w:eastAsia="Cambria" w:hAnsi="Cambria" w:cs="Cambria"/>
        </w:rPr>
        <w:t>= 0</w:t>
      </w:r>
      <w:r>
        <w:rPr>
          <w:rFonts w:ascii="Cambria" w:eastAsia="Cambria" w:hAnsi="Cambria" w:cs="Cambria"/>
          <w:i/>
        </w:rPr>
        <w:t>.</w:t>
      </w:r>
      <w:r>
        <w:rPr>
          <w:rFonts w:ascii="Cambria" w:eastAsia="Cambria" w:hAnsi="Cambria" w:cs="Cambria"/>
        </w:rPr>
        <w:t>03</w:t>
      </w:r>
      <w:r>
        <w:rPr>
          <w:rFonts w:ascii="Cambria" w:eastAsia="Cambria" w:hAnsi="Cambria" w:cs="Cambria"/>
          <w:b/>
        </w:rPr>
        <w:t xml:space="preserve">; </w:t>
      </w:r>
      <w:r>
        <w:rPr>
          <w:rFonts w:ascii="Cambria" w:eastAsia="Cambria" w:hAnsi="Cambria" w:cs="Cambria"/>
          <w:i/>
        </w:rPr>
        <w:t xml:space="preserve">r </w:t>
      </w:r>
      <w:r>
        <w:rPr>
          <w:rFonts w:ascii="Cambria" w:eastAsia="Cambria" w:hAnsi="Cambria" w:cs="Cambria"/>
        </w:rPr>
        <w:t>= 0</w:t>
      </w:r>
      <w:r>
        <w:rPr>
          <w:rFonts w:ascii="Cambria" w:eastAsia="Cambria" w:hAnsi="Cambria" w:cs="Cambria"/>
          <w:i/>
        </w:rPr>
        <w:t>.</w:t>
      </w:r>
      <w:r>
        <w:rPr>
          <w:rFonts w:ascii="Cambria" w:eastAsia="Cambria" w:hAnsi="Cambria" w:cs="Cambria"/>
        </w:rPr>
        <w:t>01</w:t>
      </w:r>
      <w:r>
        <w:rPr>
          <w:rFonts w:ascii="Cambria" w:eastAsia="Cambria" w:hAnsi="Cambria" w:cs="Cambria"/>
          <w:b/>
        </w:rPr>
        <w:t>)</w:t>
      </w:r>
    </w:p>
    <w:tbl>
      <w:tblPr>
        <w:tblStyle w:val="TableGrid"/>
        <w:tblW w:w="8352" w:type="dxa"/>
        <w:tblInd w:w="468" w:type="dxa"/>
        <w:tblCellMar>
          <w:top w:w="42" w:type="dxa"/>
          <w:left w:w="124" w:type="dxa"/>
          <w:bottom w:w="0" w:type="dxa"/>
          <w:right w:w="124" w:type="dxa"/>
        </w:tblCellMar>
        <w:tblLook w:val="04A0" w:firstRow="1" w:lastRow="0" w:firstColumn="1" w:lastColumn="0" w:noHBand="0" w:noVBand="1"/>
      </w:tblPr>
      <w:tblGrid>
        <w:gridCol w:w="902"/>
        <w:gridCol w:w="1039"/>
        <w:gridCol w:w="1039"/>
        <w:gridCol w:w="719"/>
        <w:gridCol w:w="914"/>
        <w:gridCol w:w="1039"/>
        <w:gridCol w:w="817"/>
        <w:gridCol w:w="1039"/>
        <w:gridCol w:w="844"/>
      </w:tblGrid>
      <w:tr w:rsidR="00EE13F6">
        <w:trPr>
          <w:trHeight w:val="279"/>
        </w:trPr>
        <w:tc>
          <w:tcPr>
            <w:tcW w:w="902" w:type="dxa"/>
            <w:tcBorders>
              <w:top w:val="single" w:sz="3" w:space="0" w:color="000000"/>
              <w:left w:val="single" w:sz="3" w:space="0" w:color="000000"/>
              <w:bottom w:val="single" w:sz="3" w:space="0" w:color="000000"/>
              <w:right w:val="single" w:sz="3" w:space="0" w:color="000000"/>
            </w:tcBorders>
          </w:tcPr>
          <w:p w:rsidR="00EE13F6" w:rsidRDefault="00EE13F6"/>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L=1.25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L=1.67</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L=2</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L=2.5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L=3,33</w:t>
            </w:r>
          </w:p>
        </w:tc>
        <w:tc>
          <w:tcPr>
            <w:tcW w:w="817"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49"/>
            </w:pPr>
            <w:r>
              <w:rPr>
                <w:rFonts w:ascii="Cambria" w:eastAsia="Cambria" w:hAnsi="Cambria" w:cs="Cambria"/>
                <w:b/>
              </w:rPr>
              <w:t>L=5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L=6.67</w:t>
            </w:r>
          </w:p>
        </w:tc>
        <w:tc>
          <w:tcPr>
            <w:tcW w:w="8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L=10</w:t>
            </w:r>
          </w:p>
        </w:tc>
      </w:tr>
      <w:tr w:rsidR="00EE13F6">
        <w:trPr>
          <w:trHeight w:val="279"/>
        </w:trPr>
        <w:tc>
          <w:tcPr>
            <w:tcW w:w="90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S=0.7</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-0.27</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-0.57</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
            </w:pPr>
            <w:r>
              <w:rPr>
                <w:rFonts w:ascii="Cambria" w:eastAsia="Cambria" w:hAnsi="Cambria" w:cs="Cambria"/>
              </w:rPr>
              <w:t>-0.72</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-0.89</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-1.06</w:t>
            </w:r>
          </w:p>
        </w:tc>
        <w:tc>
          <w:tcPr>
            <w:tcW w:w="817"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-1.24</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-1.33</w:t>
            </w:r>
          </w:p>
        </w:tc>
        <w:tc>
          <w:tcPr>
            <w:tcW w:w="8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-1.42</w:t>
            </w:r>
          </w:p>
        </w:tc>
      </w:tr>
      <w:tr w:rsidR="00EE13F6">
        <w:trPr>
          <w:trHeight w:val="279"/>
        </w:trPr>
        <w:tc>
          <w:tcPr>
            <w:tcW w:w="90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S=1.5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-0.28</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-0.65</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
            </w:pPr>
            <w:r>
              <w:rPr>
                <w:rFonts w:ascii="Cambria" w:eastAsia="Cambria" w:hAnsi="Cambria" w:cs="Cambria"/>
              </w:rPr>
              <w:t>-0.87</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-1.11</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-1.38</w:t>
            </w:r>
          </w:p>
        </w:tc>
        <w:tc>
          <w:tcPr>
            <w:tcW w:w="817"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-1.68</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-1.84</w:t>
            </w:r>
          </w:p>
        </w:tc>
        <w:tc>
          <w:tcPr>
            <w:tcW w:w="8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w:t>
            </w:r>
          </w:p>
        </w:tc>
      </w:tr>
      <w:tr w:rsidR="00EE13F6">
        <w:trPr>
          <w:trHeight w:val="279"/>
        </w:trPr>
        <w:tc>
          <w:tcPr>
            <w:tcW w:w="90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S=2.5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-0.31</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-0.81</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
            </w:pPr>
            <w:r>
              <w:rPr>
                <w:rFonts w:ascii="Cambria" w:eastAsia="Cambria" w:hAnsi="Cambria" w:cs="Cambria"/>
              </w:rPr>
              <w:t>-1.16</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-1.61</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-2.20</w:t>
            </w:r>
          </w:p>
        </w:tc>
        <w:tc>
          <w:tcPr>
            <w:tcW w:w="817"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5"/>
            </w:pPr>
            <w:r>
              <w:rPr>
                <w:rFonts w:ascii="Cambria" w:eastAsia="Cambria" w:hAnsi="Cambria" w:cs="Cambria"/>
              </w:rPr>
              <w:t>-3.00</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-3.53</w:t>
            </w:r>
          </w:p>
        </w:tc>
        <w:tc>
          <w:tcPr>
            <w:tcW w:w="8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-4.10</w:t>
            </w:r>
          </w:p>
        </w:tc>
      </w:tr>
      <w:tr w:rsidR="00EE13F6">
        <w:trPr>
          <w:trHeight w:val="279"/>
        </w:trPr>
        <w:tc>
          <w:tcPr>
            <w:tcW w:w="902"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S=3.5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-0.35</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-1.08</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
            </w:pPr>
            <w:r>
              <w:rPr>
                <w:rFonts w:ascii="Cambria" w:eastAsia="Cambria" w:hAnsi="Cambria" w:cs="Cambria"/>
              </w:rPr>
              <w:t>-1.74</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-2.9</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-5.40</w:t>
            </w:r>
          </w:p>
        </w:tc>
        <w:tc>
          <w:tcPr>
            <w:tcW w:w="817"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rPr>
              <w:t>-14.49</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-45.47</w:t>
            </w:r>
          </w:p>
        </w:tc>
        <w:tc>
          <w:tcPr>
            <w:tcW w:w="8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135"/>
            </w:pPr>
            <w:r>
              <w:rPr>
                <w:rFonts w:ascii="Cambria" w:eastAsia="Cambria" w:hAnsi="Cambria" w:cs="Cambria"/>
              </w:rPr>
              <w:t>NA</w:t>
            </w:r>
          </w:p>
        </w:tc>
      </w:tr>
    </w:tbl>
    <w:p w:rsidR="00EE13F6" w:rsidRDefault="002E5BC4">
      <w:pPr>
        <w:spacing w:after="135" w:line="264" w:lineRule="auto"/>
        <w:ind w:left="-5" w:right="468" w:hanging="10"/>
        <w:jc w:val="both"/>
      </w:pPr>
      <w:r>
        <w:rPr>
          <w:rFonts w:ascii="Cambria" w:eastAsia="Cambria" w:hAnsi="Cambria" w:cs="Cambria"/>
        </w:rPr>
        <w:t>The magnitude of this negative impact on the equity share price increases slightly with the volatility level as it is shown in Table 6.</w:t>
      </w:r>
    </w:p>
    <w:p w:rsidR="00EE13F6" w:rsidRDefault="002E5BC4">
      <w:pPr>
        <w:spacing w:after="207" w:line="257" w:lineRule="auto"/>
        <w:ind w:left="-5" w:right="468" w:hanging="10"/>
        <w:jc w:val="both"/>
      </w:pPr>
      <w:r>
        <w:rPr>
          <w:rFonts w:ascii="Cambria" w:eastAsia="Cambria" w:hAnsi="Cambria" w:cs="Cambria"/>
        </w:rPr>
        <w:lastRenderedPageBreak/>
        <w:t xml:space="preserve">Table 6: </w:t>
      </w:r>
      <w:r>
        <w:rPr>
          <w:rFonts w:ascii="Cambria" w:eastAsia="Cambria" w:hAnsi="Cambria" w:cs="Cambria"/>
          <w:b/>
        </w:rPr>
        <w:t xml:space="preserve">Short Term Effect Variations of Equity Value Following the Introduction of the FTT for a ”Debt free” Corporation issuing New Perpetual Debt as a function of Volatility </w:t>
      </w:r>
      <w:r>
        <w:rPr>
          <w:rFonts w:ascii="Cambria" w:eastAsia="Cambria" w:hAnsi="Cambria" w:cs="Cambria"/>
          <w:i/>
        </w:rPr>
        <w:t xml:space="preserve">σ </w:t>
      </w:r>
      <w:r>
        <w:rPr>
          <w:rFonts w:ascii="Cambria" w:eastAsia="Cambria" w:hAnsi="Cambria" w:cs="Cambria"/>
          <w:b/>
        </w:rPr>
        <w:t xml:space="preserve">and Corporate Leverage </w:t>
      </w:r>
      <w:r>
        <w:rPr>
          <w:rFonts w:ascii="Cambria" w:eastAsia="Cambria" w:hAnsi="Cambria" w:cs="Cambria"/>
          <w:i/>
        </w:rPr>
        <w:t>L</w:t>
      </w:r>
      <w:r>
        <w:rPr>
          <w:rFonts w:ascii="Cambria" w:eastAsia="Cambria" w:hAnsi="Cambria" w:cs="Cambria"/>
          <w:b/>
        </w:rPr>
        <w:t xml:space="preserve">(Variation in percentages; </w:t>
      </w: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35</w:t>
      </w:r>
      <w:r>
        <w:rPr>
          <w:rFonts w:ascii="Cambria" w:eastAsia="Cambria" w:hAnsi="Cambria" w:cs="Cambria"/>
          <w:b/>
        </w:rPr>
        <w:t xml:space="preserve">; </w:t>
      </w:r>
      <w:r>
        <w:rPr>
          <w:rFonts w:ascii="Cambria" w:eastAsia="Cambria" w:hAnsi="Cambria" w:cs="Cambria"/>
          <w:i/>
        </w:rPr>
        <w:t xml:space="preserve">S </w:t>
      </w:r>
      <w:r>
        <w:rPr>
          <w:rFonts w:ascii="Cambria" w:eastAsia="Cambria" w:hAnsi="Cambria" w:cs="Cambria"/>
        </w:rPr>
        <w:t>= 0</w:t>
      </w:r>
      <w:r>
        <w:rPr>
          <w:rFonts w:ascii="Cambria" w:eastAsia="Cambria" w:hAnsi="Cambria" w:cs="Cambria"/>
          <w:i/>
        </w:rPr>
        <w:t>.</w:t>
      </w:r>
      <w:r>
        <w:rPr>
          <w:rFonts w:ascii="Cambria" w:eastAsia="Cambria" w:hAnsi="Cambria" w:cs="Cambria"/>
        </w:rPr>
        <w:t>007</w:t>
      </w:r>
      <w:r>
        <w:rPr>
          <w:rFonts w:ascii="Cambria" w:eastAsia="Cambria" w:hAnsi="Cambria" w:cs="Cambria"/>
          <w:b/>
        </w:rPr>
        <w:t xml:space="preserve">;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50</w:t>
      </w:r>
      <w:r>
        <w:rPr>
          <w:rFonts w:ascii="Cambria" w:eastAsia="Cambria" w:hAnsi="Cambria" w:cs="Cambria"/>
          <w:b/>
        </w:rPr>
        <w:t xml:space="preserve">; </w:t>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 0</w:t>
      </w:r>
      <w:r>
        <w:rPr>
          <w:rFonts w:ascii="Cambria" w:eastAsia="Cambria" w:hAnsi="Cambria" w:cs="Cambria"/>
          <w:i/>
        </w:rPr>
        <w:t>.</w:t>
      </w:r>
      <w:r>
        <w:rPr>
          <w:rFonts w:ascii="Cambria" w:eastAsia="Cambria" w:hAnsi="Cambria" w:cs="Cambria"/>
        </w:rPr>
        <w:t>1</w:t>
      </w:r>
      <w:r>
        <w:rPr>
          <w:rFonts w:ascii="Cambria" w:eastAsia="Cambria" w:hAnsi="Cambria" w:cs="Cambria"/>
          <w:b/>
        </w:rPr>
        <w:t xml:space="preserve">; </w:t>
      </w:r>
      <w:r>
        <w:rPr>
          <w:rFonts w:ascii="Cambria" w:eastAsia="Cambria" w:hAnsi="Cambria" w:cs="Cambria"/>
          <w:i/>
        </w:rPr>
        <w:t xml:space="preserve">δ </w:t>
      </w:r>
      <w:r>
        <w:rPr>
          <w:rFonts w:ascii="Cambria" w:eastAsia="Cambria" w:hAnsi="Cambria" w:cs="Cambria"/>
        </w:rPr>
        <w:t>= 0</w:t>
      </w:r>
      <w:r>
        <w:rPr>
          <w:rFonts w:ascii="Cambria" w:eastAsia="Cambria" w:hAnsi="Cambria" w:cs="Cambria"/>
          <w:i/>
        </w:rPr>
        <w:t>.</w:t>
      </w:r>
      <w:r>
        <w:rPr>
          <w:rFonts w:ascii="Cambria" w:eastAsia="Cambria" w:hAnsi="Cambria" w:cs="Cambria"/>
        </w:rPr>
        <w:t>03</w:t>
      </w:r>
      <w:r>
        <w:rPr>
          <w:rFonts w:ascii="Cambria" w:eastAsia="Cambria" w:hAnsi="Cambria" w:cs="Cambria"/>
          <w:b/>
        </w:rPr>
        <w:t xml:space="preserve">; </w:t>
      </w:r>
      <w:r>
        <w:rPr>
          <w:rFonts w:ascii="Cambria" w:eastAsia="Cambria" w:hAnsi="Cambria" w:cs="Cambria"/>
          <w:i/>
        </w:rPr>
        <w:t xml:space="preserve">r </w:t>
      </w:r>
      <w:r>
        <w:rPr>
          <w:rFonts w:ascii="Cambria" w:eastAsia="Cambria" w:hAnsi="Cambria" w:cs="Cambria"/>
        </w:rPr>
        <w:t>= 0</w:t>
      </w:r>
      <w:r>
        <w:rPr>
          <w:rFonts w:ascii="Cambria" w:eastAsia="Cambria" w:hAnsi="Cambria" w:cs="Cambria"/>
          <w:i/>
        </w:rPr>
        <w:t>.</w:t>
      </w:r>
      <w:r>
        <w:rPr>
          <w:rFonts w:ascii="Cambria" w:eastAsia="Cambria" w:hAnsi="Cambria" w:cs="Cambria"/>
        </w:rPr>
        <w:t>01</w:t>
      </w:r>
      <w:r>
        <w:rPr>
          <w:rFonts w:ascii="Cambria" w:eastAsia="Cambria" w:hAnsi="Cambria" w:cs="Cambria"/>
          <w:b/>
        </w:rPr>
        <w:t>)</w:t>
      </w:r>
    </w:p>
    <w:tbl>
      <w:tblPr>
        <w:tblStyle w:val="TableGrid"/>
        <w:tblW w:w="8301" w:type="dxa"/>
        <w:tblInd w:w="493" w:type="dxa"/>
        <w:tblCellMar>
          <w:top w:w="42" w:type="dxa"/>
          <w:left w:w="124" w:type="dxa"/>
          <w:bottom w:w="0" w:type="dxa"/>
          <w:right w:w="124" w:type="dxa"/>
        </w:tblCellMar>
        <w:tblLook w:val="04A0" w:firstRow="1" w:lastRow="0" w:firstColumn="1" w:lastColumn="0" w:noHBand="0" w:noVBand="1"/>
      </w:tblPr>
      <w:tblGrid>
        <w:gridCol w:w="949"/>
        <w:gridCol w:w="1039"/>
        <w:gridCol w:w="1039"/>
        <w:gridCol w:w="719"/>
        <w:gridCol w:w="914"/>
        <w:gridCol w:w="1039"/>
        <w:gridCol w:w="719"/>
        <w:gridCol w:w="1039"/>
        <w:gridCol w:w="844"/>
      </w:tblGrid>
      <w:tr w:rsidR="00EE13F6">
        <w:trPr>
          <w:trHeight w:val="303"/>
        </w:trPr>
        <w:tc>
          <w:tcPr>
            <w:tcW w:w="949" w:type="dxa"/>
            <w:tcBorders>
              <w:top w:val="single" w:sz="3" w:space="0" w:color="000000"/>
              <w:left w:val="single" w:sz="3" w:space="0" w:color="000000"/>
              <w:bottom w:val="double" w:sz="3" w:space="0" w:color="000000"/>
              <w:right w:val="single" w:sz="3" w:space="0" w:color="000000"/>
            </w:tcBorders>
            <w:vAlign w:val="bottom"/>
          </w:tcPr>
          <w:p w:rsidR="00EE13F6" w:rsidRDefault="00EE13F6"/>
        </w:tc>
        <w:tc>
          <w:tcPr>
            <w:tcW w:w="1039" w:type="dxa"/>
            <w:tcBorders>
              <w:top w:val="single" w:sz="3" w:space="0" w:color="000000"/>
              <w:left w:val="single" w:sz="3" w:space="0" w:color="000000"/>
              <w:bottom w:val="double" w:sz="3" w:space="0" w:color="000000"/>
              <w:right w:val="single" w:sz="3" w:space="0" w:color="000000"/>
            </w:tcBorders>
          </w:tcPr>
          <w:p w:rsidR="00EE13F6" w:rsidRDefault="002E5BC4">
            <w:pPr>
              <w:spacing w:after="0"/>
              <w:jc w:val="both"/>
            </w:pPr>
            <w:r>
              <w:rPr>
                <w:rFonts w:ascii="Cambria" w:eastAsia="Cambria" w:hAnsi="Cambria" w:cs="Cambria"/>
                <w:b/>
              </w:rPr>
              <w:t>L=1.25</w:t>
            </w:r>
          </w:p>
        </w:tc>
        <w:tc>
          <w:tcPr>
            <w:tcW w:w="1039" w:type="dxa"/>
            <w:tcBorders>
              <w:top w:val="single" w:sz="3" w:space="0" w:color="000000"/>
              <w:left w:val="single" w:sz="3" w:space="0" w:color="000000"/>
              <w:bottom w:val="double" w:sz="3" w:space="0" w:color="000000"/>
              <w:right w:val="single" w:sz="3" w:space="0" w:color="000000"/>
            </w:tcBorders>
          </w:tcPr>
          <w:p w:rsidR="00EE13F6" w:rsidRDefault="002E5BC4">
            <w:pPr>
              <w:spacing w:after="0"/>
              <w:jc w:val="both"/>
            </w:pPr>
            <w:r>
              <w:rPr>
                <w:rFonts w:ascii="Cambria" w:eastAsia="Cambria" w:hAnsi="Cambria" w:cs="Cambria"/>
                <w:b/>
              </w:rPr>
              <w:t>L=1.67</w:t>
            </w:r>
          </w:p>
        </w:tc>
        <w:tc>
          <w:tcPr>
            <w:tcW w:w="719" w:type="dxa"/>
            <w:tcBorders>
              <w:top w:val="single" w:sz="3" w:space="0" w:color="000000"/>
              <w:left w:val="single" w:sz="3" w:space="0" w:color="000000"/>
              <w:bottom w:val="double" w:sz="3" w:space="0" w:color="000000"/>
              <w:right w:val="single" w:sz="3" w:space="0" w:color="000000"/>
            </w:tcBorders>
          </w:tcPr>
          <w:p w:rsidR="00EE13F6" w:rsidRDefault="002E5BC4">
            <w:pPr>
              <w:spacing w:after="0"/>
              <w:jc w:val="both"/>
            </w:pPr>
            <w:r>
              <w:rPr>
                <w:rFonts w:ascii="Cambria" w:eastAsia="Cambria" w:hAnsi="Cambria" w:cs="Cambria"/>
                <w:b/>
              </w:rPr>
              <w:t>L=2</w:t>
            </w:r>
          </w:p>
        </w:tc>
        <w:tc>
          <w:tcPr>
            <w:tcW w:w="914" w:type="dxa"/>
            <w:tcBorders>
              <w:top w:val="single" w:sz="3" w:space="0" w:color="000000"/>
              <w:left w:val="single" w:sz="3" w:space="0" w:color="000000"/>
              <w:bottom w:val="double" w:sz="3" w:space="0" w:color="000000"/>
              <w:right w:val="single" w:sz="3" w:space="0" w:color="000000"/>
            </w:tcBorders>
          </w:tcPr>
          <w:p w:rsidR="00EE13F6" w:rsidRDefault="002E5BC4">
            <w:pPr>
              <w:spacing w:after="0"/>
              <w:jc w:val="both"/>
            </w:pPr>
            <w:r>
              <w:rPr>
                <w:rFonts w:ascii="Cambria" w:eastAsia="Cambria" w:hAnsi="Cambria" w:cs="Cambria"/>
                <w:b/>
              </w:rPr>
              <w:t>L=2.5</w:t>
            </w:r>
          </w:p>
        </w:tc>
        <w:tc>
          <w:tcPr>
            <w:tcW w:w="1039" w:type="dxa"/>
            <w:tcBorders>
              <w:top w:val="single" w:sz="3" w:space="0" w:color="000000"/>
              <w:left w:val="single" w:sz="3" w:space="0" w:color="000000"/>
              <w:bottom w:val="double" w:sz="3" w:space="0" w:color="000000"/>
              <w:right w:val="single" w:sz="3" w:space="0" w:color="000000"/>
            </w:tcBorders>
          </w:tcPr>
          <w:p w:rsidR="00EE13F6" w:rsidRDefault="002E5BC4">
            <w:pPr>
              <w:spacing w:after="0"/>
              <w:jc w:val="both"/>
            </w:pPr>
            <w:r>
              <w:rPr>
                <w:rFonts w:ascii="Cambria" w:eastAsia="Cambria" w:hAnsi="Cambria" w:cs="Cambria"/>
                <w:b/>
              </w:rPr>
              <w:t>L=3,33</w:t>
            </w:r>
          </w:p>
        </w:tc>
        <w:tc>
          <w:tcPr>
            <w:tcW w:w="719" w:type="dxa"/>
            <w:tcBorders>
              <w:top w:val="single" w:sz="3" w:space="0" w:color="000000"/>
              <w:left w:val="single" w:sz="3" w:space="0" w:color="000000"/>
              <w:bottom w:val="double" w:sz="3" w:space="0" w:color="000000"/>
              <w:right w:val="single" w:sz="3" w:space="0" w:color="000000"/>
            </w:tcBorders>
          </w:tcPr>
          <w:p w:rsidR="00EE13F6" w:rsidRDefault="002E5BC4">
            <w:pPr>
              <w:spacing w:after="0"/>
              <w:jc w:val="both"/>
            </w:pPr>
            <w:r>
              <w:rPr>
                <w:rFonts w:ascii="Cambria" w:eastAsia="Cambria" w:hAnsi="Cambria" w:cs="Cambria"/>
                <w:b/>
              </w:rPr>
              <w:t>L=5</w:t>
            </w:r>
          </w:p>
        </w:tc>
        <w:tc>
          <w:tcPr>
            <w:tcW w:w="1039" w:type="dxa"/>
            <w:tcBorders>
              <w:top w:val="single" w:sz="3" w:space="0" w:color="000000"/>
              <w:left w:val="single" w:sz="3" w:space="0" w:color="000000"/>
              <w:bottom w:val="double" w:sz="3" w:space="0" w:color="000000"/>
              <w:right w:val="single" w:sz="3" w:space="0" w:color="000000"/>
            </w:tcBorders>
          </w:tcPr>
          <w:p w:rsidR="00EE13F6" w:rsidRDefault="002E5BC4">
            <w:pPr>
              <w:spacing w:after="0"/>
              <w:jc w:val="both"/>
            </w:pPr>
            <w:r>
              <w:rPr>
                <w:rFonts w:ascii="Cambria" w:eastAsia="Cambria" w:hAnsi="Cambria" w:cs="Cambria"/>
                <w:b/>
              </w:rPr>
              <w:t>L=6.67</w:t>
            </w:r>
          </w:p>
        </w:tc>
        <w:tc>
          <w:tcPr>
            <w:tcW w:w="844" w:type="dxa"/>
            <w:tcBorders>
              <w:top w:val="single" w:sz="3" w:space="0" w:color="000000"/>
              <w:left w:val="single" w:sz="3" w:space="0" w:color="000000"/>
              <w:bottom w:val="double" w:sz="3" w:space="0" w:color="000000"/>
              <w:right w:val="single" w:sz="3" w:space="0" w:color="000000"/>
            </w:tcBorders>
          </w:tcPr>
          <w:p w:rsidR="00EE13F6" w:rsidRDefault="002E5BC4">
            <w:pPr>
              <w:spacing w:after="0"/>
              <w:jc w:val="both"/>
            </w:pPr>
            <w:r>
              <w:rPr>
                <w:rFonts w:ascii="Cambria" w:eastAsia="Cambria" w:hAnsi="Cambria" w:cs="Cambria"/>
                <w:b/>
              </w:rPr>
              <w:t>L=10</w:t>
            </w:r>
          </w:p>
        </w:tc>
      </w:tr>
      <w:tr w:rsidR="00EE13F6">
        <w:trPr>
          <w:trHeight w:val="303"/>
        </w:trPr>
        <w:tc>
          <w:tcPr>
            <w:tcW w:w="949" w:type="dxa"/>
            <w:tcBorders>
              <w:top w:val="doub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i/>
              </w:rPr>
              <w:t xml:space="preserve">σ </w:t>
            </w:r>
            <w:r>
              <w:rPr>
                <w:rFonts w:ascii="Cambria" w:eastAsia="Cambria" w:hAnsi="Cambria" w:cs="Cambria"/>
              </w:rPr>
              <w:t>= 0</w:t>
            </w:r>
            <w:r>
              <w:rPr>
                <w:rFonts w:ascii="Cambria" w:eastAsia="Cambria" w:hAnsi="Cambria" w:cs="Cambria"/>
                <w:i/>
              </w:rPr>
              <w:t>.</w:t>
            </w:r>
            <w:r>
              <w:rPr>
                <w:rFonts w:ascii="Cambria" w:eastAsia="Cambria" w:hAnsi="Cambria" w:cs="Cambria"/>
              </w:rPr>
              <w:t>1</w:t>
            </w:r>
          </w:p>
        </w:tc>
        <w:tc>
          <w:tcPr>
            <w:tcW w:w="1039" w:type="dxa"/>
            <w:tcBorders>
              <w:top w:val="doub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-0.27</w:t>
            </w:r>
          </w:p>
        </w:tc>
        <w:tc>
          <w:tcPr>
            <w:tcW w:w="1039" w:type="dxa"/>
            <w:tcBorders>
              <w:top w:val="doub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-0.57</w:t>
            </w:r>
          </w:p>
        </w:tc>
        <w:tc>
          <w:tcPr>
            <w:tcW w:w="719" w:type="dxa"/>
            <w:tcBorders>
              <w:top w:val="double" w:sz="3" w:space="0" w:color="000000"/>
              <w:left w:val="single" w:sz="3" w:space="0" w:color="000000"/>
              <w:bottom w:val="single" w:sz="3" w:space="0" w:color="000000"/>
              <w:right w:val="single" w:sz="3" w:space="0" w:color="000000"/>
            </w:tcBorders>
          </w:tcPr>
          <w:p w:rsidR="00EE13F6" w:rsidRDefault="002E5BC4">
            <w:pPr>
              <w:spacing w:after="0"/>
              <w:ind w:left="5"/>
            </w:pPr>
            <w:r>
              <w:rPr>
                <w:rFonts w:ascii="Cambria" w:eastAsia="Cambria" w:hAnsi="Cambria" w:cs="Cambria"/>
              </w:rPr>
              <w:t>-0.72</w:t>
            </w:r>
          </w:p>
        </w:tc>
        <w:tc>
          <w:tcPr>
            <w:tcW w:w="914" w:type="dxa"/>
            <w:tcBorders>
              <w:top w:val="doub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-0.89</w:t>
            </w:r>
          </w:p>
        </w:tc>
        <w:tc>
          <w:tcPr>
            <w:tcW w:w="1039" w:type="dxa"/>
            <w:tcBorders>
              <w:top w:val="doub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-1.06</w:t>
            </w:r>
          </w:p>
        </w:tc>
        <w:tc>
          <w:tcPr>
            <w:tcW w:w="719" w:type="dxa"/>
            <w:tcBorders>
              <w:top w:val="double" w:sz="3" w:space="0" w:color="000000"/>
              <w:left w:val="single" w:sz="3" w:space="0" w:color="000000"/>
              <w:bottom w:val="single" w:sz="3" w:space="0" w:color="000000"/>
              <w:right w:val="single" w:sz="3" w:space="0" w:color="000000"/>
            </w:tcBorders>
          </w:tcPr>
          <w:p w:rsidR="00EE13F6" w:rsidRDefault="002E5BC4">
            <w:pPr>
              <w:spacing w:after="0"/>
              <w:ind w:left="5"/>
            </w:pPr>
            <w:r>
              <w:rPr>
                <w:rFonts w:ascii="Cambria" w:eastAsia="Cambria" w:hAnsi="Cambria" w:cs="Cambria"/>
              </w:rPr>
              <w:t>-1.24</w:t>
            </w:r>
          </w:p>
        </w:tc>
        <w:tc>
          <w:tcPr>
            <w:tcW w:w="1039" w:type="dxa"/>
            <w:tcBorders>
              <w:top w:val="doub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-1.33</w:t>
            </w:r>
          </w:p>
        </w:tc>
        <w:tc>
          <w:tcPr>
            <w:tcW w:w="844" w:type="dxa"/>
            <w:tcBorders>
              <w:top w:val="doub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-1.42</w:t>
            </w:r>
          </w:p>
        </w:tc>
      </w:tr>
      <w:tr w:rsidR="00EE13F6">
        <w:trPr>
          <w:trHeight w:val="279"/>
        </w:trPr>
        <w:tc>
          <w:tcPr>
            <w:tcW w:w="94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i/>
              </w:rPr>
              <w:t xml:space="preserve">σ </w:t>
            </w:r>
            <w:r>
              <w:rPr>
                <w:rFonts w:ascii="Cambria" w:eastAsia="Cambria" w:hAnsi="Cambria" w:cs="Cambria"/>
              </w:rPr>
              <w:t>= 0</w:t>
            </w:r>
            <w:r>
              <w:rPr>
                <w:rFonts w:ascii="Cambria" w:eastAsia="Cambria" w:hAnsi="Cambria" w:cs="Cambria"/>
                <w:i/>
              </w:rPr>
              <w:t>.</w:t>
            </w:r>
            <w:r>
              <w:rPr>
                <w:rFonts w:ascii="Cambria" w:eastAsia="Cambria" w:hAnsi="Cambria" w:cs="Cambria"/>
              </w:rPr>
              <w:t>2</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-0.42</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-0.79</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
            </w:pPr>
            <w:r>
              <w:rPr>
                <w:rFonts w:ascii="Cambria" w:eastAsia="Cambria" w:hAnsi="Cambria" w:cs="Cambria"/>
              </w:rPr>
              <w:t>-0.97</w:t>
            </w:r>
          </w:p>
        </w:tc>
        <w:tc>
          <w:tcPr>
            <w:tcW w:w="91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-1.14</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-1.32</w:t>
            </w:r>
          </w:p>
        </w:tc>
        <w:tc>
          <w:tcPr>
            <w:tcW w:w="7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5"/>
            </w:pPr>
            <w:r>
              <w:rPr>
                <w:rFonts w:ascii="Cambria" w:eastAsia="Cambria" w:hAnsi="Cambria" w:cs="Cambria"/>
              </w:rPr>
              <w:t>-1.48</w:t>
            </w:r>
          </w:p>
        </w:tc>
        <w:tc>
          <w:tcPr>
            <w:tcW w:w="103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-1.57</w:t>
            </w:r>
          </w:p>
        </w:tc>
        <w:tc>
          <w:tcPr>
            <w:tcW w:w="8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-1.65</w:t>
            </w:r>
          </w:p>
        </w:tc>
      </w:tr>
    </w:tbl>
    <w:p w:rsidR="00EE13F6" w:rsidRDefault="002E5BC4">
      <w:pPr>
        <w:pStyle w:val="Heading2"/>
        <w:spacing w:after="266" w:line="251" w:lineRule="auto"/>
        <w:ind w:left="608" w:right="468" w:hanging="623"/>
        <w:jc w:val="both"/>
      </w:pPr>
      <w:r>
        <w:t>2.2 Impact of the FTT for Corporate Firms Funded through Equity, and Fixed Term Debt Maturity in a Fixed Capital Structure: Comparative Statics for Leverage,Spread, Asset Volatility, Corporate Tax and Risk Free Rate</w:t>
      </w:r>
    </w:p>
    <w:p w:rsidR="00EE13F6" w:rsidRDefault="002E5BC4">
      <w:pPr>
        <w:spacing w:after="135" w:line="264" w:lineRule="auto"/>
        <w:ind w:left="-5" w:right="468" w:hanging="10"/>
        <w:jc w:val="both"/>
      </w:pPr>
      <w:r>
        <w:rPr>
          <w:rFonts w:ascii="Cambria" w:eastAsia="Cambria" w:hAnsi="Cambria" w:cs="Cambria"/>
        </w:rPr>
        <w:t xml:space="preserve">We consider now, corporate firms funded </w:t>
      </w:r>
      <w:r>
        <w:rPr>
          <w:rFonts w:ascii="Cambria" w:eastAsia="Cambria" w:hAnsi="Cambria" w:cs="Cambria"/>
        </w:rPr>
        <w:t>through fixed term maturity debt. We are still comparing the same corporate firm with the same capital structure in the two respective economies described above by doing a static comparison of its value, debt and equity theoretical prices.</w:t>
      </w:r>
    </w:p>
    <w:p w:rsidR="00EE13F6" w:rsidRDefault="002E5BC4">
      <w:pPr>
        <w:spacing w:after="465" w:line="264" w:lineRule="auto"/>
        <w:ind w:left="-5" w:right="468" w:hanging="10"/>
        <w:jc w:val="both"/>
      </w:pPr>
      <w:r>
        <w:rPr>
          <w:rFonts w:ascii="Cambria" w:eastAsia="Cambria" w:hAnsi="Cambria" w:cs="Cambria"/>
        </w:rPr>
        <w:t>We consider the instantaneous reaction of an economy to the Introduction of the FTT as well as its long term behavior under the assumption of a fixed capital structure..</w:t>
      </w:r>
    </w:p>
    <w:p w:rsidR="00EE13F6" w:rsidRDefault="002E5BC4">
      <w:pPr>
        <w:tabs>
          <w:tab w:val="center" w:pos="1886"/>
        </w:tabs>
        <w:spacing w:after="290" w:line="257" w:lineRule="auto"/>
        <w:ind w:left="-15"/>
      </w:pPr>
      <w:r>
        <w:rPr>
          <w:rFonts w:ascii="Cambria" w:eastAsia="Cambria" w:hAnsi="Cambria" w:cs="Cambria"/>
          <w:b/>
        </w:rPr>
        <w:t>2.2.1</w:t>
      </w:r>
      <w:r>
        <w:rPr>
          <w:rFonts w:ascii="Cambria" w:eastAsia="Cambria" w:hAnsi="Cambria" w:cs="Cambria"/>
          <w:b/>
        </w:rPr>
        <w:tab/>
        <w:t>Short term Impact</w:t>
      </w:r>
    </w:p>
    <w:p w:rsidR="00EE13F6" w:rsidRDefault="002E5BC4">
      <w:pPr>
        <w:spacing w:after="139" w:line="257" w:lineRule="auto"/>
        <w:ind w:left="-5" w:right="468" w:hanging="10"/>
        <w:jc w:val="both"/>
      </w:pPr>
      <w:r>
        <w:rPr>
          <w:rFonts w:ascii="Cambria" w:eastAsia="Cambria" w:hAnsi="Cambria" w:cs="Cambria"/>
          <w:b/>
        </w:rPr>
        <w:t>(i) Sensitivity of Theoretical Equity Price towards Leverage, Credit Spread, Volatility and Debt Maturity</w:t>
      </w:r>
    </w:p>
    <w:p w:rsidR="00EE13F6" w:rsidRDefault="002E5BC4">
      <w:pPr>
        <w:spacing w:after="135" w:line="264" w:lineRule="auto"/>
        <w:ind w:left="-5" w:right="468" w:hanging="10"/>
        <w:jc w:val="both"/>
      </w:pPr>
      <w:r>
        <w:rPr>
          <w:rFonts w:ascii="Cambria" w:eastAsia="Cambria" w:hAnsi="Cambria" w:cs="Cambria"/>
        </w:rPr>
        <w:t>Figures 1,2,3 show the instantaneous (short term) reaction of the expected theoretical share price, under the risk neutral measure associated to the a</w:t>
      </w:r>
      <w:r>
        <w:rPr>
          <w:rFonts w:ascii="Cambria" w:eastAsia="Cambria" w:hAnsi="Cambria" w:cs="Cambria"/>
        </w:rPr>
        <w:t>sset value stochastic diffusion process, for various leverage and credit spreads. We consider two different assumptions on the yearly rate of return on assets, respectively 3 and 5 percent. Results are computed for two respective different level of asset v</w:t>
      </w:r>
      <w:r>
        <w:rPr>
          <w:rFonts w:ascii="Cambria" w:eastAsia="Cambria" w:hAnsi="Cambria" w:cs="Cambria"/>
        </w:rPr>
        <w:t>olatility (10 and 20 percent) as well as two different maturities (5 and 10 years). The FTT roundtrip rate is assumed to be 0.2 percent. Option market-makers on the 5 year option are following a 2 percent based ∆</w:t>
      </w:r>
      <w:r>
        <w:rPr>
          <w:rFonts w:ascii="Cambria" w:eastAsia="Cambria" w:hAnsi="Cambria" w:cs="Cambria"/>
          <w:i/>
        </w:rPr>
        <w:t xml:space="preserve">s </w:t>
      </w:r>
      <w:r>
        <w:rPr>
          <w:rFonts w:ascii="Cambria" w:eastAsia="Cambria" w:hAnsi="Cambria" w:cs="Cambria"/>
        </w:rPr>
        <w:t>rule. Figure 3 evidences the impact of deb</w:t>
      </w:r>
      <w:r>
        <w:rPr>
          <w:rFonts w:ascii="Cambria" w:eastAsia="Cambria" w:hAnsi="Cambria" w:cs="Cambria"/>
        </w:rPr>
        <w:t>t maturity on the short term equity price impact.</w:t>
      </w:r>
    </w:p>
    <w:p w:rsidR="00EE13F6" w:rsidRDefault="002E5BC4">
      <w:pPr>
        <w:spacing w:after="135" w:line="264" w:lineRule="auto"/>
        <w:ind w:left="-5" w:right="468" w:hanging="10"/>
        <w:jc w:val="both"/>
      </w:pPr>
      <w:r>
        <w:rPr>
          <w:rFonts w:ascii="Cambria" w:eastAsia="Cambria" w:hAnsi="Cambria" w:cs="Cambria"/>
        </w:rPr>
        <w:t>One can see that, the FTT introduction has a negative impact on the theoretical equity share price (computed according to equation (20), for an asset volatility of 10 percent a year). The negative impact ma</w:t>
      </w:r>
      <w:r>
        <w:rPr>
          <w:rFonts w:ascii="Cambria" w:eastAsia="Cambria" w:hAnsi="Cambria" w:cs="Cambria"/>
        </w:rPr>
        <w:t>gnitude is an increasing function of both corporate leverage and spreads. This negative dependancy is valid for respective debt maturities of 5, 10 and 15 years. The negative impact is slightly more significant for short term maturities and it decreases sl</w:t>
      </w:r>
      <w:r>
        <w:rPr>
          <w:rFonts w:ascii="Cambria" w:eastAsia="Cambria" w:hAnsi="Cambria" w:cs="Cambria"/>
        </w:rPr>
        <w:t>ightly when the debt maturity increases.</w:t>
      </w:r>
    </w:p>
    <w:p w:rsidR="00EE13F6" w:rsidRDefault="002E5BC4">
      <w:pPr>
        <w:spacing w:after="1159" w:line="264" w:lineRule="auto"/>
        <w:ind w:left="-5" w:right="468" w:hanging="10"/>
        <w:jc w:val="both"/>
      </w:pPr>
      <w:r>
        <w:rPr>
          <w:rFonts w:ascii="Cambria" w:eastAsia="Cambria" w:hAnsi="Cambria" w:cs="Cambria"/>
        </w:rPr>
        <w:t>Conversely, for the asset level of volatility of 20 percent(pretty high), and a yearly return on assets of 5 percent, one can see that the equity share price can be up, for highly leveraged corporations with substan</w:t>
      </w:r>
      <w:r>
        <w:rPr>
          <w:rFonts w:ascii="Cambria" w:eastAsia="Cambria" w:hAnsi="Cambria" w:cs="Cambria"/>
        </w:rPr>
        <w:t xml:space="preserve">tial credit spreads. This phenomenon is known as ”agency effect” and is well known in the corporate structure model literature., see for instance, Leland and Toft (1996) which discuss this </w:t>
      </w:r>
      <w:r>
        <w:rPr>
          <w:rFonts w:ascii="Cambria" w:eastAsia="Cambria" w:hAnsi="Cambria" w:cs="Cambria"/>
        </w:rPr>
        <w:lastRenderedPageBreak/>
        <w:t>effect in the case of endogenous bankruptcy determination. It corre</w:t>
      </w:r>
      <w:r>
        <w:rPr>
          <w:rFonts w:ascii="Cambria" w:eastAsia="Cambria" w:hAnsi="Cambria" w:cs="Cambria"/>
        </w:rPr>
        <w:t>sponds to a situation where Figure 1: Short Term Reaction of the Expected Theoretical Share Price</w:t>
      </w:r>
    </w:p>
    <w:p w:rsidR="00EE13F6" w:rsidRDefault="002E5BC4">
      <w:pPr>
        <w:spacing w:after="41"/>
        <w:ind w:left="658"/>
      </w:pPr>
      <w:r>
        <w:rPr>
          <w:noProof/>
        </w:rPr>
        <mc:AlternateContent>
          <mc:Choice Requires="wpg">
            <w:drawing>
              <wp:inline distT="0" distB="0" distL="0" distR="0">
                <wp:extent cx="5056039" cy="3127698"/>
                <wp:effectExtent l="0" t="0" r="0" b="0"/>
                <wp:docPr id="195556" name="Group 195556"/>
                <wp:cNvGraphicFramePr/>
                <a:graphic xmlns:a="http://schemas.openxmlformats.org/drawingml/2006/main">
                  <a:graphicData uri="http://schemas.microsoft.com/office/word/2010/wordprocessingGroup">
                    <wpg:wgp>
                      <wpg:cNvGrpSpPr/>
                      <wpg:grpSpPr>
                        <a:xfrm>
                          <a:off x="0" y="0"/>
                          <a:ext cx="5056039" cy="3127698"/>
                          <a:chOff x="0" y="0"/>
                          <a:chExt cx="5056039" cy="3127698"/>
                        </a:xfrm>
                      </wpg:grpSpPr>
                      <wps:wsp>
                        <wps:cNvPr id="18994" name="Shape 18994"/>
                        <wps:cNvSpPr/>
                        <wps:spPr>
                          <a:xfrm>
                            <a:off x="333774" y="2865734"/>
                            <a:ext cx="3943091" cy="0"/>
                          </a:xfrm>
                          <a:custGeom>
                            <a:avLst/>
                            <a:gdLst/>
                            <a:ahLst/>
                            <a:cxnLst/>
                            <a:rect l="0" t="0" r="0" b="0"/>
                            <a:pathLst>
                              <a:path w="3943091">
                                <a:moveTo>
                                  <a:pt x="0" y="0"/>
                                </a:moveTo>
                                <a:lnTo>
                                  <a:pt x="3943091" y="0"/>
                                </a:lnTo>
                              </a:path>
                            </a:pathLst>
                          </a:custGeom>
                          <a:ln w="7870" cap="flat">
                            <a:round/>
                          </a:ln>
                        </wps:spPr>
                        <wps:style>
                          <a:lnRef idx="1">
                            <a:srgbClr val="D9D9D9"/>
                          </a:lnRef>
                          <a:fillRef idx="0">
                            <a:srgbClr val="000000">
                              <a:alpha val="0"/>
                            </a:srgbClr>
                          </a:fillRef>
                          <a:effectRef idx="0">
                            <a:scrgbClr r="0" g="0" b="0"/>
                          </a:effectRef>
                          <a:fontRef idx="none"/>
                        </wps:style>
                        <wps:bodyPr/>
                      </wps:wsp>
                      <wps:wsp>
                        <wps:cNvPr id="18995" name="Shape 18995"/>
                        <wps:cNvSpPr/>
                        <wps:spPr>
                          <a:xfrm>
                            <a:off x="333774" y="2492633"/>
                            <a:ext cx="3943091" cy="0"/>
                          </a:xfrm>
                          <a:custGeom>
                            <a:avLst/>
                            <a:gdLst/>
                            <a:ahLst/>
                            <a:cxnLst/>
                            <a:rect l="0" t="0" r="0" b="0"/>
                            <a:pathLst>
                              <a:path w="3943091">
                                <a:moveTo>
                                  <a:pt x="0" y="0"/>
                                </a:moveTo>
                                <a:lnTo>
                                  <a:pt x="3943091" y="0"/>
                                </a:lnTo>
                              </a:path>
                            </a:pathLst>
                          </a:custGeom>
                          <a:ln w="7870" cap="flat">
                            <a:round/>
                          </a:ln>
                        </wps:spPr>
                        <wps:style>
                          <a:lnRef idx="1">
                            <a:srgbClr val="D9D9D9"/>
                          </a:lnRef>
                          <a:fillRef idx="0">
                            <a:srgbClr val="000000">
                              <a:alpha val="0"/>
                            </a:srgbClr>
                          </a:fillRef>
                          <a:effectRef idx="0">
                            <a:scrgbClr r="0" g="0" b="0"/>
                          </a:effectRef>
                          <a:fontRef idx="none"/>
                        </wps:style>
                        <wps:bodyPr/>
                      </wps:wsp>
                      <wps:wsp>
                        <wps:cNvPr id="18996" name="Shape 18996"/>
                        <wps:cNvSpPr/>
                        <wps:spPr>
                          <a:xfrm>
                            <a:off x="333774" y="2111594"/>
                            <a:ext cx="3943091" cy="0"/>
                          </a:xfrm>
                          <a:custGeom>
                            <a:avLst/>
                            <a:gdLst/>
                            <a:ahLst/>
                            <a:cxnLst/>
                            <a:rect l="0" t="0" r="0" b="0"/>
                            <a:pathLst>
                              <a:path w="3943091">
                                <a:moveTo>
                                  <a:pt x="0" y="0"/>
                                </a:moveTo>
                                <a:lnTo>
                                  <a:pt x="3943091" y="0"/>
                                </a:lnTo>
                              </a:path>
                            </a:pathLst>
                          </a:custGeom>
                          <a:ln w="7870" cap="flat">
                            <a:round/>
                          </a:ln>
                        </wps:spPr>
                        <wps:style>
                          <a:lnRef idx="1">
                            <a:srgbClr val="D9D9D9"/>
                          </a:lnRef>
                          <a:fillRef idx="0">
                            <a:srgbClr val="000000">
                              <a:alpha val="0"/>
                            </a:srgbClr>
                          </a:fillRef>
                          <a:effectRef idx="0">
                            <a:scrgbClr r="0" g="0" b="0"/>
                          </a:effectRef>
                          <a:fontRef idx="none"/>
                        </wps:style>
                        <wps:bodyPr/>
                      </wps:wsp>
                      <wps:wsp>
                        <wps:cNvPr id="18997" name="Shape 18997"/>
                        <wps:cNvSpPr/>
                        <wps:spPr>
                          <a:xfrm>
                            <a:off x="333774" y="1730554"/>
                            <a:ext cx="3943091" cy="0"/>
                          </a:xfrm>
                          <a:custGeom>
                            <a:avLst/>
                            <a:gdLst/>
                            <a:ahLst/>
                            <a:cxnLst/>
                            <a:rect l="0" t="0" r="0" b="0"/>
                            <a:pathLst>
                              <a:path w="3943091">
                                <a:moveTo>
                                  <a:pt x="0" y="0"/>
                                </a:moveTo>
                                <a:lnTo>
                                  <a:pt x="3943091" y="0"/>
                                </a:lnTo>
                              </a:path>
                            </a:pathLst>
                          </a:custGeom>
                          <a:ln w="7870" cap="flat">
                            <a:round/>
                          </a:ln>
                        </wps:spPr>
                        <wps:style>
                          <a:lnRef idx="1">
                            <a:srgbClr val="D9D9D9"/>
                          </a:lnRef>
                          <a:fillRef idx="0">
                            <a:srgbClr val="000000">
                              <a:alpha val="0"/>
                            </a:srgbClr>
                          </a:fillRef>
                          <a:effectRef idx="0">
                            <a:scrgbClr r="0" g="0" b="0"/>
                          </a:effectRef>
                          <a:fontRef idx="none"/>
                        </wps:style>
                        <wps:bodyPr/>
                      </wps:wsp>
                      <wps:wsp>
                        <wps:cNvPr id="18998" name="Shape 18998"/>
                        <wps:cNvSpPr/>
                        <wps:spPr>
                          <a:xfrm>
                            <a:off x="333774" y="1357453"/>
                            <a:ext cx="3943091" cy="0"/>
                          </a:xfrm>
                          <a:custGeom>
                            <a:avLst/>
                            <a:gdLst/>
                            <a:ahLst/>
                            <a:cxnLst/>
                            <a:rect l="0" t="0" r="0" b="0"/>
                            <a:pathLst>
                              <a:path w="3943091">
                                <a:moveTo>
                                  <a:pt x="0" y="0"/>
                                </a:moveTo>
                                <a:lnTo>
                                  <a:pt x="3943091" y="0"/>
                                </a:lnTo>
                              </a:path>
                            </a:pathLst>
                          </a:custGeom>
                          <a:ln w="7870" cap="flat">
                            <a:round/>
                          </a:ln>
                        </wps:spPr>
                        <wps:style>
                          <a:lnRef idx="1">
                            <a:srgbClr val="D9D9D9"/>
                          </a:lnRef>
                          <a:fillRef idx="0">
                            <a:srgbClr val="000000">
                              <a:alpha val="0"/>
                            </a:srgbClr>
                          </a:fillRef>
                          <a:effectRef idx="0">
                            <a:scrgbClr r="0" g="0" b="0"/>
                          </a:effectRef>
                          <a:fontRef idx="none"/>
                        </wps:style>
                        <wps:bodyPr/>
                      </wps:wsp>
                      <wps:wsp>
                        <wps:cNvPr id="18999" name="Shape 18999"/>
                        <wps:cNvSpPr/>
                        <wps:spPr>
                          <a:xfrm>
                            <a:off x="333774" y="976414"/>
                            <a:ext cx="3943091" cy="0"/>
                          </a:xfrm>
                          <a:custGeom>
                            <a:avLst/>
                            <a:gdLst/>
                            <a:ahLst/>
                            <a:cxnLst/>
                            <a:rect l="0" t="0" r="0" b="0"/>
                            <a:pathLst>
                              <a:path w="3943091">
                                <a:moveTo>
                                  <a:pt x="0" y="0"/>
                                </a:moveTo>
                                <a:lnTo>
                                  <a:pt x="3943091" y="0"/>
                                </a:lnTo>
                              </a:path>
                            </a:pathLst>
                          </a:custGeom>
                          <a:ln w="7870" cap="flat">
                            <a:round/>
                          </a:ln>
                        </wps:spPr>
                        <wps:style>
                          <a:lnRef idx="1">
                            <a:srgbClr val="D9D9D9"/>
                          </a:lnRef>
                          <a:fillRef idx="0">
                            <a:srgbClr val="000000">
                              <a:alpha val="0"/>
                            </a:srgbClr>
                          </a:fillRef>
                          <a:effectRef idx="0">
                            <a:scrgbClr r="0" g="0" b="0"/>
                          </a:effectRef>
                          <a:fontRef idx="none"/>
                        </wps:style>
                        <wps:bodyPr/>
                      </wps:wsp>
                      <wps:wsp>
                        <wps:cNvPr id="19000" name="Shape 19000"/>
                        <wps:cNvSpPr/>
                        <wps:spPr>
                          <a:xfrm>
                            <a:off x="333774" y="595374"/>
                            <a:ext cx="1" cy="2270360"/>
                          </a:xfrm>
                          <a:custGeom>
                            <a:avLst/>
                            <a:gdLst/>
                            <a:ahLst/>
                            <a:cxnLst/>
                            <a:rect l="0" t="0" r="0" b="0"/>
                            <a:pathLst>
                              <a:path w="1" h="2270360">
                                <a:moveTo>
                                  <a:pt x="0" y="2270360"/>
                                </a:moveTo>
                                <a:lnTo>
                                  <a:pt x="1" y="0"/>
                                </a:lnTo>
                              </a:path>
                            </a:pathLst>
                          </a:custGeom>
                          <a:ln w="7870" cap="flat">
                            <a:round/>
                          </a:ln>
                        </wps:spPr>
                        <wps:style>
                          <a:lnRef idx="1">
                            <a:srgbClr val="BFBFBF"/>
                          </a:lnRef>
                          <a:fillRef idx="0">
                            <a:srgbClr val="000000">
                              <a:alpha val="0"/>
                            </a:srgbClr>
                          </a:fillRef>
                          <a:effectRef idx="0">
                            <a:scrgbClr r="0" g="0" b="0"/>
                          </a:effectRef>
                          <a:fontRef idx="none"/>
                        </wps:style>
                        <wps:bodyPr/>
                      </wps:wsp>
                      <wps:wsp>
                        <wps:cNvPr id="19001" name="Shape 19001"/>
                        <wps:cNvSpPr/>
                        <wps:spPr>
                          <a:xfrm>
                            <a:off x="333774" y="595374"/>
                            <a:ext cx="3943091" cy="1"/>
                          </a:xfrm>
                          <a:custGeom>
                            <a:avLst/>
                            <a:gdLst/>
                            <a:ahLst/>
                            <a:cxnLst/>
                            <a:rect l="0" t="0" r="0" b="0"/>
                            <a:pathLst>
                              <a:path w="3943091" h="1">
                                <a:moveTo>
                                  <a:pt x="0" y="0"/>
                                </a:moveTo>
                                <a:lnTo>
                                  <a:pt x="3943091" y="1"/>
                                </a:lnTo>
                              </a:path>
                            </a:pathLst>
                          </a:custGeom>
                          <a:ln w="7870" cap="flat">
                            <a:round/>
                          </a:ln>
                        </wps:spPr>
                        <wps:style>
                          <a:lnRef idx="1">
                            <a:srgbClr val="BFBFBF"/>
                          </a:lnRef>
                          <a:fillRef idx="0">
                            <a:srgbClr val="000000">
                              <a:alpha val="0"/>
                            </a:srgbClr>
                          </a:fillRef>
                          <a:effectRef idx="0">
                            <a:scrgbClr r="0" g="0" b="0"/>
                          </a:effectRef>
                          <a:fontRef idx="none"/>
                        </wps:style>
                        <wps:bodyPr/>
                      </wps:wsp>
                      <wps:wsp>
                        <wps:cNvPr id="19003" name="Shape 19003"/>
                        <wps:cNvSpPr/>
                        <wps:spPr>
                          <a:xfrm>
                            <a:off x="526600" y="686665"/>
                            <a:ext cx="3549569" cy="2056025"/>
                          </a:xfrm>
                          <a:custGeom>
                            <a:avLst/>
                            <a:gdLst/>
                            <a:ahLst/>
                            <a:cxnLst/>
                            <a:rect l="0" t="0" r="0" b="0"/>
                            <a:pathLst>
                              <a:path w="3549569" h="2056025">
                                <a:moveTo>
                                  <a:pt x="0" y="0"/>
                                </a:moveTo>
                                <a:lnTo>
                                  <a:pt x="393522" y="55568"/>
                                </a:lnTo>
                                <a:lnTo>
                                  <a:pt x="787044" y="111136"/>
                                </a:lnTo>
                                <a:lnTo>
                                  <a:pt x="1188437" y="182581"/>
                                </a:lnTo>
                                <a:lnTo>
                                  <a:pt x="1581959" y="261965"/>
                                </a:lnTo>
                                <a:lnTo>
                                  <a:pt x="1975481" y="357225"/>
                                </a:lnTo>
                                <a:lnTo>
                                  <a:pt x="2369003" y="420731"/>
                                </a:lnTo>
                                <a:lnTo>
                                  <a:pt x="2762525" y="508053"/>
                                </a:lnTo>
                                <a:lnTo>
                                  <a:pt x="3156047" y="674757"/>
                                </a:lnTo>
                                <a:lnTo>
                                  <a:pt x="3549569" y="2056025"/>
                                </a:lnTo>
                              </a:path>
                            </a:pathLst>
                          </a:custGeom>
                          <a:ln w="15741" cap="rnd">
                            <a:round/>
                          </a:ln>
                        </wps:spPr>
                        <wps:style>
                          <a:lnRef idx="1">
                            <a:srgbClr val="5E5E5E"/>
                          </a:lnRef>
                          <a:fillRef idx="0">
                            <a:srgbClr val="000000">
                              <a:alpha val="0"/>
                            </a:srgbClr>
                          </a:fillRef>
                          <a:effectRef idx="0">
                            <a:scrgbClr r="0" g="0" b="0"/>
                          </a:effectRef>
                          <a:fontRef idx="none"/>
                        </wps:style>
                        <wps:bodyPr/>
                      </wps:wsp>
                      <wps:wsp>
                        <wps:cNvPr id="19005" name="Shape 19005"/>
                        <wps:cNvSpPr/>
                        <wps:spPr>
                          <a:xfrm>
                            <a:off x="526600" y="702542"/>
                            <a:ext cx="3549569" cy="1897259"/>
                          </a:xfrm>
                          <a:custGeom>
                            <a:avLst/>
                            <a:gdLst/>
                            <a:ahLst/>
                            <a:cxnLst/>
                            <a:rect l="0" t="0" r="0" b="0"/>
                            <a:pathLst>
                              <a:path w="3549569" h="1897259">
                                <a:moveTo>
                                  <a:pt x="0" y="0"/>
                                </a:moveTo>
                                <a:lnTo>
                                  <a:pt x="393522" y="63507"/>
                                </a:lnTo>
                                <a:lnTo>
                                  <a:pt x="787044" y="127013"/>
                                </a:lnTo>
                                <a:lnTo>
                                  <a:pt x="1188437" y="206396"/>
                                </a:lnTo>
                                <a:lnTo>
                                  <a:pt x="1581959" y="301656"/>
                                </a:lnTo>
                                <a:lnTo>
                                  <a:pt x="1975481" y="420731"/>
                                </a:lnTo>
                                <a:lnTo>
                                  <a:pt x="2369003" y="500114"/>
                                </a:lnTo>
                                <a:lnTo>
                                  <a:pt x="2762525" y="619189"/>
                                </a:lnTo>
                                <a:lnTo>
                                  <a:pt x="3156047" y="849401"/>
                                </a:lnTo>
                                <a:lnTo>
                                  <a:pt x="3549569" y="1897259"/>
                                </a:lnTo>
                              </a:path>
                            </a:pathLst>
                          </a:custGeom>
                          <a:ln w="15741" cap="rnd">
                            <a:round/>
                          </a:ln>
                        </wps:spPr>
                        <wps:style>
                          <a:lnRef idx="1">
                            <a:srgbClr val="B3B3B3"/>
                          </a:lnRef>
                          <a:fillRef idx="0">
                            <a:srgbClr val="000000">
                              <a:alpha val="0"/>
                            </a:srgbClr>
                          </a:fillRef>
                          <a:effectRef idx="0">
                            <a:scrgbClr r="0" g="0" b="0"/>
                          </a:effectRef>
                          <a:fontRef idx="none"/>
                        </wps:style>
                        <wps:bodyPr/>
                      </wps:wsp>
                      <wps:wsp>
                        <wps:cNvPr id="19007" name="Shape 19007"/>
                        <wps:cNvSpPr/>
                        <wps:spPr>
                          <a:xfrm>
                            <a:off x="526600" y="607282"/>
                            <a:ext cx="3549569" cy="1944889"/>
                          </a:xfrm>
                          <a:custGeom>
                            <a:avLst/>
                            <a:gdLst/>
                            <a:ahLst/>
                            <a:cxnLst/>
                            <a:rect l="0" t="0" r="0" b="0"/>
                            <a:pathLst>
                              <a:path w="3549569" h="1944889">
                                <a:moveTo>
                                  <a:pt x="0" y="0"/>
                                </a:moveTo>
                                <a:lnTo>
                                  <a:pt x="393522" y="174643"/>
                                </a:lnTo>
                                <a:lnTo>
                                  <a:pt x="787044" y="254026"/>
                                </a:lnTo>
                                <a:lnTo>
                                  <a:pt x="1188437" y="341348"/>
                                </a:lnTo>
                                <a:lnTo>
                                  <a:pt x="1581959" y="444546"/>
                                </a:lnTo>
                                <a:lnTo>
                                  <a:pt x="1975481" y="579498"/>
                                </a:lnTo>
                                <a:lnTo>
                                  <a:pt x="2369003" y="674757"/>
                                </a:lnTo>
                                <a:lnTo>
                                  <a:pt x="2762525" y="817647"/>
                                </a:lnTo>
                                <a:lnTo>
                                  <a:pt x="3156047" y="1079612"/>
                                </a:lnTo>
                                <a:lnTo>
                                  <a:pt x="3549569" y="1944889"/>
                                </a:lnTo>
                              </a:path>
                            </a:pathLst>
                          </a:custGeom>
                          <a:ln w="15741" cap="rnd">
                            <a:round/>
                          </a:ln>
                        </wps:spPr>
                        <wps:style>
                          <a:lnRef idx="1">
                            <a:srgbClr val="898989"/>
                          </a:lnRef>
                          <a:fillRef idx="0">
                            <a:srgbClr val="000000">
                              <a:alpha val="0"/>
                            </a:srgbClr>
                          </a:fillRef>
                          <a:effectRef idx="0">
                            <a:scrgbClr r="0" g="0" b="0"/>
                          </a:effectRef>
                          <a:fontRef idx="none"/>
                        </wps:style>
                        <wps:bodyPr/>
                      </wps:wsp>
                      <wps:wsp>
                        <wps:cNvPr id="19009" name="Shape 19009"/>
                        <wps:cNvSpPr/>
                        <wps:spPr>
                          <a:xfrm>
                            <a:off x="526600" y="734295"/>
                            <a:ext cx="3549569" cy="1801999"/>
                          </a:xfrm>
                          <a:custGeom>
                            <a:avLst/>
                            <a:gdLst/>
                            <a:ahLst/>
                            <a:cxnLst/>
                            <a:rect l="0" t="0" r="0" b="0"/>
                            <a:pathLst>
                              <a:path w="3549569" h="1801999">
                                <a:moveTo>
                                  <a:pt x="0" y="0"/>
                                </a:moveTo>
                                <a:lnTo>
                                  <a:pt x="393522" y="71445"/>
                                </a:lnTo>
                                <a:lnTo>
                                  <a:pt x="787044" y="150828"/>
                                </a:lnTo>
                                <a:lnTo>
                                  <a:pt x="1188437" y="246088"/>
                                </a:lnTo>
                                <a:lnTo>
                                  <a:pt x="1581959" y="365163"/>
                                </a:lnTo>
                                <a:lnTo>
                                  <a:pt x="1975481" y="515991"/>
                                </a:lnTo>
                                <a:lnTo>
                                  <a:pt x="2369003" y="619189"/>
                                </a:lnTo>
                                <a:lnTo>
                                  <a:pt x="2762525" y="777955"/>
                                </a:lnTo>
                                <a:lnTo>
                                  <a:pt x="3156047" y="1047858"/>
                                </a:lnTo>
                                <a:lnTo>
                                  <a:pt x="3549569" y="1801999"/>
                                </a:lnTo>
                              </a:path>
                            </a:pathLst>
                          </a:custGeom>
                          <a:ln w="15741" cap="rnd">
                            <a:round/>
                          </a:ln>
                        </wps:spPr>
                        <wps:style>
                          <a:lnRef idx="1">
                            <a:srgbClr val="212121"/>
                          </a:lnRef>
                          <a:fillRef idx="0">
                            <a:srgbClr val="000000">
                              <a:alpha val="0"/>
                            </a:srgbClr>
                          </a:fillRef>
                          <a:effectRef idx="0">
                            <a:scrgbClr r="0" g="0" b="0"/>
                          </a:effectRef>
                          <a:fontRef idx="none"/>
                        </wps:style>
                        <wps:bodyPr/>
                      </wps:wsp>
                      <wps:wsp>
                        <wps:cNvPr id="19011" name="Shape 19011"/>
                        <wps:cNvSpPr/>
                        <wps:spPr>
                          <a:xfrm>
                            <a:off x="526600" y="686665"/>
                            <a:ext cx="3549569" cy="1833752"/>
                          </a:xfrm>
                          <a:custGeom>
                            <a:avLst/>
                            <a:gdLst/>
                            <a:ahLst/>
                            <a:cxnLst/>
                            <a:rect l="0" t="0" r="0" b="0"/>
                            <a:pathLst>
                              <a:path w="3549569" h="1833752">
                                <a:moveTo>
                                  <a:pt x="0" y="0"/>
                                </a:moveTo>
                                <a:lnTo>
                                  <a:pt x="393522" y="142890"/>
                                </a:lnTo>
                                <a:lnTo>
                                  <a:pt x="787044" y="230211"/>
                                </a:lnTo>
                                <a:lnTo>
                                  <a:pt x="1188437" y="325471"/>
                                </a:lnTo>
                                <a:lnTo>
                                  <a:pt x="1581959" y="452484"/>
                                </a:lnTo>
                                <a:lnTo>
                                  <a:pt x="1975481" y="619189"/>
                                </a:lnTo>
                                <a:lnTo>
                                  <a:pt x="2369003" y="730325"/>
                                </a:lnTo>
                                <a:lnTo>
                                  <a:pt x="2762525" y="897030"/>
                                </a:lnTo>
                                <a:lnTo>
                                  <a:pt x="3156047" y="1166933"/>
                                </a:lnTo>
                                <a:lnTo>
                                  <a:pt x="3549569" y="1833752"/>
                                </a:lnTo>
                              </a:path>
                            </a:pathLst>
                          </a:custGeom>
                          <a:ln w="15741" cap="rnd">
                            <a:round/>
                          </a:ln>
                        </wps:spPr>
                        <wps:style>
                          <a:lnRef idx="1">
                            <a:srgbClr val="DADADA"/>
                          </a:lnRef>
                          <a:fillRef idx="0">
                            <a:srgbClr val="000000">
                              <a:alpha val="0"/>
                            </a:srgbClr>
                          </a:fillRef>
                          <a:effectRef idx="0">
                            <a:scrgbClr r="0" g="0" b="0"/>
                          </a:effectRef>
                          <a:fontRef idx="none"/>
                        </wps:style>
                        <wps:bodyPr/>
                      </wps:wsp>
                      <wps:wsp>
                        <wps:cNvPr id="19013" name="Rectangle 19013"/>
                        <wps:cNvSpPr/>
                        <wps:spPr>
                          <a:xfrm>
                            <a:off x="37845" y="2828806"/>
                            <a:ext cx="28828" cy="115993"/>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014" name="Rectangle 19014"/>
                        <wps:cNvSpPr/>
                        <wps:spPr>
                          <a:xfrm>
                            <a:off x="61456" y="2828806"/>
                            <a:ext cx="278106" cy="115993"/>
                          </a:xfrm>
                          <a:prstGeom prst="rect">
                            <a:avLst/>
                          </a:prstGeom>
                          <a:ln>
                            <a:noFill/>
                          </a:ln>
                        </wps:spPr>
                        <wps:txbx>
                          <w:txbxContent>
                            <w:p w:rsidR="00EE13F6" w:rsidRDefault="002E5BC4">
                              <w:r>
                                <w:rPr>
                                  <w:color w:val="585858"/>
                                  <w:sz w:val="11"/>
                                </w:rPr>
                                <w:t>30,000</w:t>
                              </w:r>
                            </w:p>
                          </w:txbxContent>
                        </wps:txbx>
                        <wps:bodyPr horzOverflow="overflow" vert="horz" lIns="0" tIns="0" rIns="0" bIns="0" rtlCol="0">
                          <a:noAutofit/>
                        </wps:bodyPr>
                      </wps:wsp>
                      <wps:wsp>
                        <wps:cNvPr id="19015" name="Rectangle 19015"/>
                        <wps:cNvSpPr/>
                        <wps:spPr>
                          <a:xfrm>
                            <a:off x="37845" y="2450228"/>
                            <a:ext cx="28828" cy="115993"/>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016" name="Rectangle 19016"/>
                        <wps:cNvSpPr/>
                        <wps:spPr>
                          <a:xfrm>
                            <a:off x="61456" y="2450228"/>
                            <a:ext cx="278106" cy="115993"/>
                          </a:xfrm>
                          <a:prstGeom prst="rect">
                            <a:avLst/>
                          </a:prstGeom>
                          <a:ln>
                            <a:noFill/>
                          </a:ln>
                        </wps:spPr>
                        <wps:txbx>
                          <w:txbxContent>
                            <w:p w:rsidR="00EE13F6" w:rsidRDefault="002E5BC4">
                              <w:r>
                                <w:rPr>
                                  <w:color w:val="585858"/>
                                  <w:sz w:val="11"/>
                                </w:rPr>
                                <w:t>25,000</w:t>
                              </w:r>
                            </w:p>
                          </w:txbxContent>
                        </wps:txbx>
                        <wps:bodyPr horzOverflow="overflow" vert="horz" lIns="0" tIns="0" rIns="0" bIns="0" rtlCol="0">
                          <a:noAutofit/>
                        </wps:bodyPr>
                      </wps:wsp>
                      <wps:wsp>
                        <wps:cNvPr id="19017" name="Rectangle 19017"/>
                        <wps:cNvSpPr/>
                        <wps:spPr>
                          <a:xfrm>
                            <a:off x="37845" y="2071650"/>
                            <a:ext cx="28828" cy="115993"/>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018" name="Rectangle 19018"/>
                        <wps:cNvSpPr/>
                        <wps:spPr>
                          <a:xfrm>
                            <a:off x="61456" y="2071650"/>
                            <a:ext cx="278106" cy="115993"/>
                          </a:xfrm>
                          <a:prstGeom prst="rect">
                            <a:avLst/>
                          </a:prstGeom>
                          <a:ln>
                            <a:noFill/>
                          </a:ln>
                        </wps:spPr>
                        <wps:txbx>
                          <w:txbxContent>
                            <w:p w:rsidR="00EE13F6" w:rsidRDefault="002E5BC4">
                              <w:r>
                                <w:rPr>
                                  <w:color w:val="585858"/>
                                  <w:sz w:val="11"/>
                                </w:rPr>
                                <w:t>20,000</w:t>
                              </w:r>
                            </w:p>
                          </w:txbxContent>
                        </wps:txbx>
                        <wps:bodyPr horzOverflow="overflow" vert="horz" lIns="0" tIns="0" rIns="0" bIns="0" rtlCol="0">
                          <a:noAutofit/>
                        </wps:bodyPr>
                      </wps:wsp>
                      <wps:wsp>
                        <wps:cNvPr id="19019" name="Rectangle 19019"/>
                        <wps:cNvSpPr/>
                        <wps:spPr>
                          <a:xfrm>
                            <a:off x="37845" y="1693071"/>
                            <a:ext cx="28828" cy="115993"/>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020" name="Rectangle 19020"/>
                        <wps:cNvSpPr/>
                        <wps:spPr>
                          <a:xfrm>
                            <a:off x="61456" y="1693071"/>
                            <a:ext cx="278106" cy="115993"/>
                          </a:xfrm>
                          <a:prstGeom prst="rect">
                            <a:avLst/>
                          </a:prstGeom>
                          <a:ln>
                            <a:noFill/>
                          </a:ln>
                        </wps:spPr>
                        <wps:txbx>
                          <w:txbxContent>
                            <w:p w:rsidR="00EE13F6" w:rsidRDefault="002E5BC4">
                              <w:r>
                                <w:rPr>
                                  <w:color w:val="585858"/>
                                  <w:sz w:val="11"/>
                                </w:rPr>
                                <w:t>15,000</w:t>
                              </w:r>
                            </w:p>
                          </w:txbxContent>
                        </wps:txbx>
                        <wps:bodyPr horzOverflow="overflow" vert="horz" lIns="0" tIns="0" rIns="0" bIns="0" rtlCol="0">
                          <a:noAutofit/>
                        </wps:bodyPr>
                      </wps:wsp>
                      <wps:wsp>
                        <wps:cNvPr id="19021" name="Rectangle 19021"/>
                        <wps:cNvSpPr/>
                        <wps:spPr>
                          <a:xfrm>
                            <a:off x="37845" y="1314493"/>
                            <a:ext cx="28828" cy="115994"/>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022" name="Rectangle 19022"/>
                        <wps:cNvSpPr/>
                        <wps:spPr>
                          <a:xfrm>
                            <a:off x="61456" y="1314493"/>
                            <a:ext cx="278106" cy="115994"/>
                          </a:xfrm>
                          <a:prstGeom prst="rect">
                            <a:avLst/>
                          </a:prstGeom>
                          <a:ln>
                            <a:noFill/>
                          </a:ln>
                        </wps:spPr>
                        <wps:txbx>
                          <w:txbxContent>
                            <w:p w:rsidR="00EE13F6" w:rsidRDefault="002E5BC4">
                              <w:r>
                                <w:rPr>
                                  <w:color w:val="585858"/>
                                  <w:sz w:val="11"/>
                                </w:rPr>
                                <w:t>10,000</w:t>
                              </w:r>
                            </w:p>
                          </w:txbxContent>
                        </wps:txbx>
                        <wps:bodyPr horzOverflow="overflow" vert="horz" lIns="0" tIns="0" rIns="0" bIns="0" rtlCol="0">
                          <a:noAutofit/>
                        </wps:bodyPr>
                      </wps:wsp>
                      <wps:wsp>
                        <wps:cNvPr id="19023" name="Rectangle 19023"/>
                        <wps:cNvSpPr/>
                        <wps:spPr>
                          <a:xfrm>
                            <a:off x="71530" y="935913"/>
                            <a:ext cx="28828" cy="115994"/>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024" name="Rectangle 19024"/>
                        <wps:cNvSpPr/>
                        <wps:spPr>
                          <a:xfrm>
                            <a:off x="95142" y="935913"/>
                            <a:ext cx="225763" cy="115994"/>
                          </a:xfrm>
                          <a:prstGeom prst="rect">
                            <a:avLst/>
                          </a:prstGeom>
                          <a:ln>
                            <a:noFill/>
                          </a:ln>
                        </wps:spPr>
                        <wps:txbx>
                          <w:txbxContent>
                            <w:p w:rsidR="00EE13F6" w:rsidRDefault="002E5BC4">
                              <w:r>
                                <w:rPr>
                                  <w:color w:val="585858"/>
                                  <w:sz w:val="11"/>
                                </w:rPr>
                                <w:t>5,000</w:t>
                              </w:r>
                            </w:p>
                          </w:txbxContent>
                        </wps:txbx>
                        <wps:bodyPr horzOverflow="overflow" vert="horz" lIns="0" tIns="0" rIns="0" bIns="0" rtlCol="0">
                          <a:noAutofit/>
                        </wps:bodyPr>
                      </wps:wsp>
                      <wps:wsp>
                        <wps:cNvPr id="19025" name="Rectangle 19025"/>
                        <wps:cNvSpPr/>
                        <wps:spPr>
                          <a:xfrm>
                            <a:off x="98133" y="557336"/>
                            <a:ext cx="225763" cy="115993"/>
                          </a:xfrm>
                          <a:prstGeom prst="rect">
                            <a:avLst/>
                          </a:prstGeom>
                          <a:ln>
                            <a:noFill/>
                          </a:ln>
                        </wps:spPr>
                        <wps:txbx>
                          <w:txbxContent>
                            <w:p w:rsidR="00EE13F6" w:rsidRDefault="002E5BC4">
                              <w:r>
                                <w:rPr>
                                  <w:color w:val="585858"/>
                                  <w:sz w:val="11"/>
                                </w:rPr>
                                <w:t>0,000</w:t>
                              </w:r>
                            </w:p>
                          </w:txbxContent>
                        </wps:txbx>
                        <wps:bodyPr horzOverflow="overflow" vert="horz" lIns="0" tIns="0" rIns="0" bIns="0" rtlCol="0">
                          <a:noAutofit/>
                        </wps:bodyPr>
                      </wps:wsp>
                      <wps:wsp>
                        <wps:cNvPr id="195274" name="Rectangle 195274"/>
                        <wps:cNvSpPr/>
                        <wps:spPr>
                          <a:xfrm>
                            <a:off x="512060" y="646291"/>
                            <a:ext cx="100107" cy="115994"/>
                          </a:xfrm>
                          <a:prstGeom prst="rect">
                            <a:avLst/>
                          </a:prstGeom>
                          <a:ln>
                            <a:noFill/>
                          </a:ln>
                        </wps:spPr>
                        <wps:txbx>
                          <w:txbxContent>
                            <w:p w:rsidR="00EE13F6" w:rsidRDefault="002E5BC4">
                              <w:r>
                                <w:rPr>
                                  <w:color w:val="585858"/>
                                  <w:sz w:val="11"/>
                                </w:rPr>
                                <w:t>25</w:t>
                              </w:r>
                            </w:p>
                          </w:txbxContent>
                        </wps:txbx>
                        <wps:bodyPr horzOverflow="overflow" vert="horz" lIns="0" tIns="0" rIns="0" bIns="0" rtlCol="0">
                          <a:noAutofit/>
                        </wps:bodyPr>
                      </wps:wsp>
                      <wps:wsp>
                        <wps:cNvPr id="195273" name="Rectangle 195273"/>
                        <wps:cNvSpPr/>
                        <wps:spPr>
                          <a:xfrm>
                            <a:off x="456937" y="646291"/>
                            <a:ext cx="47764" cy="115994"/>
                          </a:xfrm>
                          <a:prstGeom prst="rect">
                            <a:avLst/>
                          </a:prstGeom>
                          <a:ln>
                            <a:noFill/>
                          </a:ln>
                        </wps:spPr>
                        <wps:txbx>
                          <w:txbxContent>
                            <w:p w:rsidR="00EE13F6" w:rsidRDefault="002E5BC4">
                              <w:r>
                                <w:rPr>
                                  <w:color w:val="585858"/>
                                  <w:sz w:val="11"/>
                                </w:rPr>
                                <w:t>1</w:t>
                              </w:r>
                            </w:p>
                          </w:txbxContent>
                        </wps:txbx>
                        <wps:bodyPr horzOverflow="overflow" vert="horz" lIns="0" tIns="0" rIns="0" bIns="0" rtlCol="0">
                          <a:noAutofit/>
                        </wps:bodyPr>
                      </wps:wsp>
                      <wps:wsp>
                        <wps:cNvPr id="195275" name="Rectangle 195275"/>
                        <wps:cNvSpPr/>
                        <wps:spPr>
                          <a:xfrm>
                            <a:off x="496292" y="646291"/>
                            <a:ext cx="23552" cy="115994"/>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276" name="Rectangle 195276"/>
                        <wps:cNvSpPr/>
                        <wps:spPr>
                          <a:xfrm>
                            <a:off x="851284" y="646291"/>
                            <a:ext cx="47764" cy="115994"/>
                          </a:xfrm>
                          <a:prstGeom prst="rect">
                            <a:avLst/>
                          </a:prstGeom>
                          <a:ln>
                            <a:noFill/>
                          </a:ln>
                        </wps:spPr>
                        <wps:txbx>
                          <w:txbxContent>
                            <w:p w:rsidR="00EE13F6" w:rsidRDefault="002E5BC4">
                              <w:r>
                                <w:rPr>
                                  <w:color w:val="585858"/>
                                  <w:sz w:val="11"/>
                                </w:rPr>
                                <w:t>1</w:t>
                              </w:r>
                            </w:p>
                          </w:txbxContent>
                        </wps:txbx>
                        <wps:bodyPr horzOverflow="overflow" vert="horz" lIns="0" tIns="0" rIns="0" bIns="0" rtlCol="0">
                          <a:noAutofit/>
                        </wps:bodyPr>
                      </wps:wsp>
                      <wps:wsp>
                        <wps:cNvPr id="195278" name="Rectangle 195278"/>
                        <wps:cNvSpPr/>
                        <wps:spPr>
                          <a:xfrm>
                            <a:off x="890640" y="646291"/>
                            <a:ext cx="23552" cy="115994"/>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277" name="Rectangle 195277"/>
                        <wps:cNvSpPr/>
                        <wps:spPr>
                          <a:xfrm>
                            <a:off x="906407" y="646291"/>
                            <a:ext cx="100107" cy="115994"/>
                          </a:xfrm>
                          <a:prstGeom prst="rect">
                            <a:avLst/>
                          </a:prstGeom>
                          <a:ln>
                            <a:noFill/>
                          </a:ln>
                        </wps:spPr>
                        <wps:txbx>
                          <w:txbxContent>
                            <w:p w:rsidR="00EE13F6" w:rsidRDefault="002E5BC4">
                              <w:r>
                                <w:rPr>
                                  <w:color w:val="585858"/>
                                  <w:sz w:val="11"/>
                                </w:rPr>
                                <w:t>43</w:t>
                              </w:r>
                            </w:p>
                          </w:txbxContent>
                        </wps:txbx>
                        <wps:bodyPr horzOverflow="overflow" vert="horz" lIns="0" tIns="0" rIns="0" bIns="0" rtlCol="0">
                          <a:noAutofit/>
                        </wps:bodyPr>
                      </wps:wsp>
                      <wps:wsp>
                        <wps:cNvPr id="195280" name="Rectangle 195280"/>
                        <wps:cNvSpPr/>
                        <wps:spPr>
                          <a:xfrm>
                            <a:off x="1300749" y="646291"/>
                            <a:ext cx="100107" cy="115994"/>
                          </a:xfrm>
                          <a:prstGeom prst="rect">
                            <a:avLst/>
                          </a:prstGeom>
                          <a:ln>
                            <a:noFill/>
                          </a:ln>
                        </wps:spPr>
                        <wps:txbx>
                          <w:txbxContent>
                            <w:p w:rsidR="00EE13F6" w:rsidRDefault="002E5BC4">
                              <w:r>
                                <w:rPr>
                                  <w:color w:val="585858"/>
                                  <w:sz w:val="11"/>
                                </w:rPr>
                                <w:t>67</w:t>
                              </w:r>
                            </w:p>
                          </w:txbxContent>
                        </wps:txbx>
                        <wps:bodyPr horzOverflow="overflow" vert="horz" lIns="0" tIns="0" rIns="0" bIns="0" rtlCol="0">
                          <a:noAutofit/>
                        </wps:bodyPr>
                      </wps:wsp>
                      <wps:wsp>
                        <wps:cNvPr id="195281" name="Rectangle 195281"/>
                        <wps:cNvSpPr/>
                        <wps:spPr>
                          <a:xfrm>
                            <a:off x="1284981" y="646291"/>
                            <a:ext cx="23552" cy="115994"/>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279" name="Rectangle 195279"/>
                        <wps:cNvSpPr/>
                        <wps:spPr>
                          <a:xfrm>
                            <a:off x="1245626" y="646291"/>
                            <a:ext cx="47764" cy="115994"/>
                          </a:xfrm>
                          <a:prstGeom prst="rect">
                            <a:avLst/>
                          </a:prstGeom>
                          <a:ln>
                            <a:noFill/>
                          </a:ln>
                        </wps:spPr>
                        <wps:txbx>
                          <w:txbxContent>
                            <w:p w:rsidR="00EE13F6" w:rsidRDefault="002E5BC4">
                              <w:r>
                                <w:rPr>
                                  <w:color w:val="585858"/>
                                  <w:sz w:val="11"/>
                                </w:rPr>
                                <w:t>1</w:t>
                              </w:r>
                            </w:p>
                          </w:txbxContent>
                        </wps:txbx>
                        <wps:bodyPr horzOverflow="overflow" vert="horz" lIns="0" tIns="0" rIns="0" bIns="0" rtlCol="0">
                          <a:noAutofit/>
                        </wps:bodyPr>
                      </wps:wsp>
                      <wps:wsp>
                        <wps:cNvPr id="195284" name="Rectangle 195284"/>
                        <wps:cNvSpPr/>
                        <wps:spPr>
                          <a:xfrm>
                            <a:off x="1679327" y="646291"/>
                            <a:ext cx="23552" cy="115994"/>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283" name="Rectangle 195283"/>
                        <wps:cNvSpPr/>
                        <wps:spPr>
                          <a:xfrm>
                            <a:off x="1695094" y="646291"/>
                            <a:ext cx="100107" cy="115994"/>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195282" name="Rectangle 195282"/>
                        <wps:cNvSpPr/>
                        <wps:spPr>
                          <a:xfrm>
                            <a:off x="1639971" y="646291"/>
                            <a:ext cx="47764" cy="115994"/>
                          </a:xfrm>
                          <a:prstGeom prst="rect">
                            <a:avLst/>
                          </a:prstGeom>
                          <a:ln>
                            <a:noFill/>
                          </a:ln>
                        </wps:spPr>
                        <wps:txbx>
                          <w:txbxContent>
                            <w:p w:rsidR="00EE13F6" w:rsidRDefault="002E5BC4">
                              <w:r>
                                <w:rPr>
                                  <w:color w:val="585858"/>
                                  <w:sz w:val="11"/>
                                </w:rPr>
                                <w:t>2</w:t>
                              </w:r>
                            </w:p>
                          </w:txbxContent>
                        </wps:txbx>
                        <wps:bodyPr horzOverflow="overflow" vert="horz" lIns="0" tIns="0" rIns="0" bIns="0" rtlCol="0">
                          <a:noAutofit/>
                        </wps:bodyPr>
                      </wps:wsp>
                      <wps:wsp>
                        <wps:cNvPr id="195286" name="Rectangle 195286"/>
                        <wps:cNvSpPr/>
                        <wps:spPr>
                          <a:xfrm>
                            <a:off x="2089439" y="646291"/>
                            <a:ext cx="100107" cy="115994"/>
                          </a:xfrm>
                          <a:prstGeom prst="rect">
                            <a:avLst/>
                          </a:prstGeom>
                          <a:ln>
                            <a:noFill/>
                          </a:ln>
                        </wps:spPr>
                        <wps:txbx>
                          <w:txbxContent>
                            <w:p w:rsidR="00EE13F6" w:rsidRDefault="002E5BC4">
                              <w:r>
                                <w:rPr>
                                  <w:color w:val="585858"/>
                                  <w:sz w:val="11"/>
                                </w:rPr>
                                <w:t>50</w:t>
                              </w:r>
                            </w:p>
                          </w:txbxContent>
                        </wps:txbx>
                        <wps:bodyPr horzOverflow="overflow" vert="horz" lIns="0" tIns="0" rIns="0" bIns="0" rtlCol="0">
                          <a:noAutofit/>
                        </wps:bodyPr>
                      </wps:wsp>
                      <wps:wsp>
                        <wps:cNvPr id="195285" name="Rectangle 195285"/>
                        <wps:cNvSpPr/>
                        <wps:spPr>
                          <a:xfrm>
                            <a:off x="2034316" y="646291"/>
                            <a:ext cx="47764" cy="115994"/>
                          </a:xfrm>
                          <a:prstGeom prst="rect">
                            <a:avLst/>
                          </a:prstGeom>
                          <a:ln>
                            <a:noFill/>
                          </a:ln>
                        </wps:spPr>
                        <wps:txbx>
                          <w:txbxContent>
                            <w:p w:rsidR="00EE13F6" w:rsidRDefault="002E5BC4">
                              <w:r>
                                <w:rPr>
                                  <w:color w:val="585858"/>
                                  <w:sz w:val="11"/>
                                </w:rPr>
                                <w:t>2</w:t>
                              </w:r>
                            </w:p>
                          </w:txbxContent>
                        </wps:txbx>
                        <wps:bodyPr horzOverflow="overflow" vert="horz" lIns="0" tIns="0" rIns="0" bIns="0" rtlCol="0">
                          <a:noAutofit/>
                        </wps:bodyPr>
                      </wps:wsp>
                      <wps:wsp>
                        <wps:cNvPr id="195287" name="Rectangle 195287"/>
                        <wps:cNvSpPr/>
                        <wps:spPr>
                          <a:xfrm>
                            <a:off x="2073671" y="646291"/>
                            <a:ext cx="23552" cy="115994"/>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288" name="Rectangle 195288"/>
                        <wps:cNvSpPr/>
                        <wps:spPr>
                          <a:xfrm>
                            <a:off x="2428662" y="646291"/>
                            <a:ext cx="47764" cy="115994"/>
                          </a:xfrm>
                          <a:prstGeom prst="rect">
                            <a:avLst/>
                          </a:prstGeom>
                          <a:ln>
                            <a:noFill/>
                          </a:ln>
                        </wps:spPr>
                        <wps:txbx>
                          <w:txbxContent>
                            <w:p w:rsidR="00EE13F6" w:rsidRDefault="002E5BC4">
                              <w:r>
                                <w:rPr>
                                  <w:color w:val="585858"/>
                                  <w:sz w:val="11"/>
                                </w:rPr>
                                <w:t>3</w:t>
                              </w:r>
                            </w:p>
                          </w:txbxContent>
                        </wps:txbx>
                        <wps:bodyPr horzOverflow="overflow" vert="horz" lIns="0" tIns="0" rIns="0" bIns="0" rtlCol="0">
                          <a:noAutofit/>
                        </wps:bodyPr>
                      </wps:wsp>
                      <wps:wsp>
                        <wps:cNvPr id="195290" name="Rectangle 195290"/>
                        <wps:cNvSpPr/>
                        <wps:spPr>
                          <a:xfrm>
                            <a:off x="2468017" y="646291"/>
                            <a:ext cx="23552" cy="115994"/>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289" name="Rectangle 195289"/>
                        <wps:cNvSpPr/>
                        <wps:spPr>
                          <a:xfrm>
                            <a:off x="2483785" y="646291"/>
                            <a:ext cx="100107" cy="115994"/>
                          </a:xfrm>
                          <a:prstGeom prst="rect">
                            <a:avLst/>
                          </a:prstGeom>
                          <a:ln>
                            <a:noFill/>
                          </a:ln>
                        </wps:spPr>
                        <wps:txbx>
                          <w:txbxContent>
                            <w:p w:rsidR="00EE13F6" w:rsidRDefault="002E5BC4">
                              <w:r>
                                <w:rPr>
                                  <w:color w:val="585858"/>
                                  <w:sz w:val="11"/>
                                </w:rPr>
                                <w:t>33</w:t>
                              </w:r>
                            </w:p>
                          </w:txbxContent>
                        </wps:txbx>
                        <wps:bodyPr horzOverflow="overflow" vert="horz" lIns="0" tIns="0" rIns="0" bIns="0" rtlCol="0">
                          <a:noAutofit/>
                        </wps:bodyPr>
                      </wps:wsp>
                      <wps:wsp>
                        <wps:cNvPr id="195291" name="Rectangle 195291"/>
                        <wps:cNvSpPr/>
                        <wps:spPr>
                          <a:xfrm>
                            <a:off x="2823007" y="646291"/>
                            <a:ext cx="47764" cy="115994"/>
                          </a:xfrm>
                          <a:prstGeom prst="rect">
                            <a:avLst/>
                          </a:prstGeom>
                          <a:ln>
                            <a:noFill/>
                          </a:ln>
                        </wps:spPr>
                        <wps:txbx>
                          <w:txbxContent>
                            <w:p w:rsidR="00EE13F6" w:rsidRDefault="002E5BC4">
                              <w:r>
                                <w:rPr>
                                  <w:color w:val="585858"/>
                                  <w:sz w:val="11"/>
                                </w:rPr>
                                <w:t>4</w:t>
                              </w:r>
                            </w:p>
                          </w:txbxContent>
                        </wps:txbx>
                        <wps:bodyPr horzOverflow="overflow" vert="horz" lIns="0" tIns="0" rIns="0" bIns="0" rtlCol="0">
                          <a:noAutofit/>
                        </wps:bodyPr>
                      </wps:wsp>
                      <wps:wsp>
                        <wps:cNvPr id="195293" name="Rectangle 195293"/>
                        <wps:cNvSpPr/>
                        <wps:spPr>
                          <a:xfrm>
                            <a:off x="2862363" y="646291"/>
                            <a:ext cx="23552" cy="115994"/>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292" name="Rectangle 195292"/>
                        <wps:cNvSpPr/>
                        <wps:spPr>
                          <a:xfrm>
                            <a:off x="2878130" y="646291"/>
                            <a:ext cx="100107" cy="115994"/>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195294" name="Rectangle 195294"/>
                        <wps:cNvSpPr/>
                        <wps:spPr>
                          <a:xfrm>
                            <a:off x="3217353" y="646291"/>
                            <a:ext cx="47764" cy="115994"/>
                          </a:xfrm>
                          <a:prstGeom prst="rect">
                            <a:avLst/>
                          </a:prstGeom>
                          <a:ln>
                            <a:noFill/>
                          </a:ln>
                        </wps:spPr>
                        <wps:txbx>
                          <w:txbxContent>
                            <w:p w:rsidR="00EE13F6" w:rsidRDefault="002E5BC4">
                              <w:r>
                                <w:rPr>
                                  <w:color w:val="585858"/>
                                  <w:sz w:val="11"/>
                                </w:rPr>
                                <w:t>5</w:t>
                              </w:r>
                            </w:p>
                          </w:txbxContent>
                        </wps:txbx>
                        <wps:bodyPr horzOverflow="overflow" vert="horz" lIns="0" tIns="0" rIns="0" bIns="0" rtlCol="0">
                          <a:noAutofit/>
                        </wps:bodyPr>
                      </wps:wsp>
                      <wps:wsp>
                        <wps:cNvPr id="195296" name="Rectangle 195296"/>
                        <wps:cNvSpPr/>
                        <wps:spPr>
                          <a:xfrm>
                            <a:off x="3256708" y="646291"/>
                            <a:ext cx="23552" cy="115994"/>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295" name="Rectangle 195295"/>
                        <wps:cNvSpPr/>
                        <wps:spPr>
                          <a:xfrm>
                            <a:off x="3272476" y="646291"/>
                            <a:ext cx="100107" cy="115994"/>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195297" name="Rectangle 195297"/>
                        <wps:cNvSpPr/>
                        <wps:spPr>
                          <a:xfrm>
                            <a:off x="3611698" y="646291"/>
                            <a:ext cx="47764" cy="115994"/>
                          </a:xfrm>
                          <a:prstGeom prst="rect">
                            <a:avLst/>
                          </a:prstGeom>
                          <a:ln>
                            <a:noFill/>
                          </a:ln>
                        </wps:spPr>
                        <wps:txbx>
                          <w:txbxContent>
                            <w:p w:rsidR="00EE13F6" w:rsidRDefault="002E5BC4">
                              <w:r>
                                <w:rPr>
                                  <w:color w:val="585858"/>
                                  <w:sz w:val="11"/>
                                </w:rPr>
                                <w:t>6</w:t>
                              </w:r>
                            </w:p>
                          </w:txbxContent>
                        </wps:txbx>
                        <wps:bodyPr horzOverflow="overflow" vert="horz" lIns="0" tIns="0" rIns="0" bIns="0" rtlCol="0">
                          <a:noAutofit/>
                        </wps:bodyPr>
                      </wps:wsp>
                      <wps:wsp>
                        <wps:cNvPr id="195298" name="Rectangle 195298"/>
                        <wps:cNvSpPr/>
                        <wps:spPr>
                          <a:xfrm>
                            <a:off x="3666821" y="646291"/>
                            <a:ext cx="100107" cy="115994"/>
                          </a:xfrm>
                          <a:prstGeom prst="rect">
                            <a:avLst/>
                          </a:prstGeom>
                          <a:ln>
                            <a:noFill/>
                          </a:ln>
                        </wps:spPr>
                        <wps:txbx>
                          <w:txbxContent>
                            <w:p w:rsidR="00EE13F6" w:rsidRDefault="002E5BC4">
                              <w:r>
                                <w:rPr>
                                  <w:color w:val="585858"/>
                                  <w:sz w:val="11"/>
                                </w:rPr>
                                <w:t>67</w:t>
                              </w:r>
                            </w:p>
                          </w:txbxContent>
                        </wps:txbx>
                        <wps:bodyPr horzOverflow="overflow" vert="horz" lIns="0" tIns="0" rIns="0" bIns="0" rtlCol="0">
                          <a:noAutofit/>
                        </wps:bodyPr>
                      </wps:wsp>
                      <wps:wsp>
                        <wps:cNvPr id="195299" name="Rectangle 195299"/>
                        <wps:cNvSpPr/>
                        <wps:spPr>
                          <a:xfrm>
                            <a:off x="3651054" y="646291"/>
                            <a:ext cx="23552" cy="115994"/>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035" name="Rectangle 19035"/>
                        <wps:cNvSpPr/>
                        <wps:spPr>
                          <a:xfrm>
                            <a:off x="4037546" y="646291"/>
                            <a:ext cx="100107" cy="115993"/>
                          </a:xfrm>
                          <a:prstGeom prst="rect">
                            <a:avLst/>
                          </a:prstGeom>
                          <a:ln>
                            <a:noFill/>
                          </a:ln>
                        </wps:spPr>
                        <wps:txbx>
                          <w:txbxContent>
                            <w:p w:rsidR="00EE13F6" w:rsidRDefault="002E5BC4">
                              <w:r>
                                <w:rPr>
                                  <w:color w:val="585858"/>
                                  <w:sz w:val="11"/>
                                </w:rPr>
                                <w:t>10</w:t>
                              </w:r>
                            </w:p>
                          </w:txbxContent>
                        </wps:txbx>
                        <wps:bodyPr horzOverflow="overflow" vert="horz" lIns="0" tIns="0" rIns="0" bIns="0" rtlCol="0">
                          <a:noAutofit/>
                        </wps:bodyPr>
                      </wps:wsp>
                      <wps:wsp>
                        <wps:cNvPr id="19036" name="Rectangle 19036"/>
                        <wps:cNvSpPr/>
                        <wps:spPr>
                          <a:xfrm>
                            <a:off x="1951734" y="2878276"/>
                            <a:ext cx="921550" cy="180434"/>
                          </a:xfrm>
                          <a:prstGeom prst="rect">
                            <a:avLst/>
                          </a:prstGeom>
                          <a:ln>
                            <a:noFill/>
                          </a:ln>
                        </wps:spPr>
                        <wps:txbx>
                          <w:txbxContent>
                            <w:p w:rsidR="00EE13F6" w:rsidRDefault="002E5BC4">
                              <w:r>
                                <w:rPr>
                                  <w:b/>
                                  <w:color w:val="585858"/>
                                  <w:sz w:val="18"/>
                                </w:rPr>
                                <w:t>Firms'</w:t>
                              </w:r>
                              <w:r>
                                <w:rPr>
                                  <w:b/>
                                  <w:color w:val="585858"/>
                                  <w:sz w:val="18"/>
                                </w:rPr>
                                <w:tab/>
                                <w:t>leverage</w:t>
                              </w:r>
                            </w:p>
                          </w:txbxContent>
                        </wps:txbx>
                        <wps:bodyPr horzOverflow="overflow" vert="horz" lIns="0" tIns="0" rIns="0" bIns="0" rtlCol="0">
                          <a:noAutofit/>
                        </wps:bodyPr>
                      </wps:wsp>
                      <wps:wsp>
                        <wps:cNvPr id="19037" name="Rectangle 19037"/>
                        <wps:cNvSpPr/>
                        <wps:spPr>
                          <a:xfrm>
                            <a:off x="541378" y="66632"/>
                            <a:ext cx="5359540" cy="180434"/>
                          </a:xfrm>
                          <a:prstGeom prst="rect">
                            <a:avLst/>
                          </a:prstGeom>
                          <a:ln>
                            <a:noFill/>
                          </a:ln>
                        </wps:spPr>
                        <wps:txbx>
                          <w:txbxContent>
                            <w:p w:rsidR="00EE13F6" w:rsidRDefault="002E5BC4">
                              <w:r>
                                <w:rPr>
                                  <w:b/>
                                  <w:color w:val="585858"/>
                                  <w:sz w:val="18"/>
                                </w:rPr>
                                <w:t>Short</w:t>
                              </w:r>
                              <w:r>
                                <w:rPr>
                                  <w:b/>
                                  <w:color w:val="585858"/>
                                  <w:sz w:val="18"/>
                                </w:rPr>
                                <w:tab/>
                                <w:t>term</w:t>
                              </w:r>
                              <w:r>
                                <w:rPr>
                                  <w:b/>
                                  <w:color w:val="585858"/>
                                  <w:sz w:val="18"/>
                                </w:rPr>
                                <w:tab/>
                                <w:t>Equity</w:t>
                              </w:r>
                              <w:r>
                                <w:rPr>
                                  <w:b/>
                                  <w:color w:val="585858"/>
                                  <w:sz w:val="18"/>
                                </w:rPr>
                                <w:tab/>
                                <w:t>price</w:t>
                              </w:r>
                              <w:r>
                                <w:rPr>
                                  <w:b/>
                                  <w:color w:val="585858"/>
                                  <w:sz w:val="18"/>
                                </w:rPr>
                                <w:tab/>
                                <w:t>variation</w:t>
                              </w:r>
                              <w:r>
                                <w:rPr>
                                  <w:b/>
                                  <w:color w:val="585858"/>
                                  <w:sz w:val="18"/>
                                </w:rPr>
                                <w:tab/>
                                <w:t>following</w:t>
                              </w:r>
                              <w:r>
                                <w:rPr>
                                  <w:b/>
                                  <w:color w:val="585858"/>
                                  <w:sz w:val="18"/>
                                </w:rPr>
                                <w:tab/>
                                <w:t>the</w:t>
                              </w:r>
                              <w:r>
                                <w:rPr>
                                  <w:b/>
                                  <w:color w:val="585858"/>
                                  <w:sz w:val="18"/>
                                </w:rPr>
                                <w:tab/>
                                <w:t>Introduction</w:t>
                              </w:r>
                              <w:r>
                                <w:rPr>
                                  <w:b/>
                                  <w:color w:val="585858"/>
                                  <w:sz w:val="18"/>
                                </w:rPr>
                                <w:tab/>
                                <w:t>of</w:t>
                              </w:r>
                              <w:r>
                                <w:rPr>
                                  <w:b/>
                                  <w:color w:val="585858"/>
                                  <w:sz w:val="18"/>
                                </w:rPr>
                                <w:tab/>
                                <w:t>the</w:t>
                              </w:r>
                              <w:r>
                                <w:rPr>
                                  <w:b/>
                                  <w:color w:val="585858"/>
                                  <w:sz w:val="18"/>
                                </w:rPr>
                                <w:tab/>
                                <w:t>FTT</w:t>
                              </w:r>
                              <w:r>
                                <w:rPr>
                                  <w:b/>
                                  <w:color w:val="585858"/>
                                  <w:sz w:val="18"/>
                                </w:rPr>
                                <w:tab/>
                                <w:t>for</w:t>
                              </w:r>
                              <w:r>
                                <w:rPr>
                                  <w:b/>
                                  <w:color w:val="585858"/>
                                  <w:sz w:val="18"/>
                                </w:rPr>
                                <w:tab/>
                                <w:t>a</w:t>
                              </w:r>
                              <w:r>
                                <w:rPr>
                                  <w:b/>
                                  <w:color w:val="585858"/>
                                  <w:sz w:val="18"/>
                                </w:rPr>
                                <w:tab/>
                                <w:t>firm</w:t>
                              </w:r>
                              <w:r>
                                <w:rPr>
                                  <w:b/>
                                  <w:color w:val="585858"/>
                                  <w:sz w:val="18"/>
                                </w:rPr>
                                <w:tab/>
                                <w:t>funded</w:t>
                              </w:r>
                              <w:r>
                                <w:rPr>
                                  <w:b/>
                                  <w:color w:val="585858"/>
                                  <w:sz w:val="18"/>
                                </w:rPr>
                                <w:tab/>
                              </w:r>
                            </w:p>
                          </w:txbxContent>
                        </wps:txbx>
                        <wps:bodyPr horzOverflow="overflow" vert="horz" lIns="0" tIns="0" rIns="0" bIns="0" rtlCol="0">
                          <a:noAutofit/>
                        </wps:bodyPr>
                      </wps:wsp>
                      <wps:wsp>
                        <wps:cNvPr id="19038" name="Rectangle 19038"/>
                        <wps:cNvSpPr/>
                        <wps:spPr>
                          <a:xfrm>
                            <a:off x="588601" y="201583"/>
                            <a:ext cx="5235693" cy="180434"/>
                          </a:xfrm>
                          <a:prstGeom prst="rect">
                            <a:avLst/>
                          </a:prstGeom>
                          <a:ln>
                            <a:noFill/>
                          </a:ln>
                        </wps:spPr>
                        <wps:txbx>
                          <w:txbxContent>
                            <w:p w:rsidR="00EE13F6" w:rsidRDefault="002E5BC4">
                              <w:r>
                                <w:rPr>
                                  <w:b/>
                                  <w:color w:val="585858"/>
                                  <w:sz w:val="18"/>
                                </w:rPr>
                                <w:t>through</w:t>
                              </w:r>
                              <w:r>
                                <w:rPr>
                                  <w:b/>
                                  <w:color w:val="585858"/>
                                  <w:sz w:val="18"/>
                                </w:rPr>
                                <w:tab/>
                                <w:t>fixed</w:t>
                              </w:r>
                              <w:r>
                                <w:rPr>
                                  <w:b/>
                                  <w:color w:val="585858"/>
                                  <w:sz w:val="18"/>
                                </w:rPr>
                                <w:tab/>
                                <w:t>term</w:t>
                              </w:r>
                              <w:r>
                                <w:rPr>
                                  <w:b/>
                                  <w:color w:val="585858"/>
                                  <w:sz w:val="18"/>
                                </w:rPr>
                                <w:tab/>
                                <w:t>debt</w:t>
                              </w:r>
                              <w:r>
                                <w:rPr>
                                  <w:b/>
                                  <w:color w:val="585858"/>
                                  <w:sz w:val="18"/>
                                </w:rPr>
                                <w:tab/>
                                <w:t>maturity</w:t>
                              </w:r>
                              <w:r>
                                <w:rPr>
                                  <w:b/>
                                  <w:color w:val="585858"/>
                                  <w:sz w:val="18"/>
                                </w:rPr>
                                <w:tab/>
                                <w:t>and</w:t>
                              </w:r>
                              <w:r>
                                <w:rPr>
                                  <w:b/>
                                  <w:color w:val="585858"/>
                                  <w:sz w:val="18"/>
                                </w:rPr>
                                <w:tab/>
                                <w:t>equity(T=5</w:t>
                              </w:r>
                              <w:r>
                                <w:rPr>
                                  <w:b/>
                                  <w:color w:val="585858"/>
                                  <w:sz w:val="18"/>
                                </w:rPr>
                                <w:tab/>
                                <w:t>years;ROA=3%;r=1%;sigma=20%;Tax</w:t>
                              </w:r>
                              <w:r>
                                <w:rPr>
                                  <w:b/>
                                  <w:color w:val="585858"/>
                                  <w:sz w:val="18"/>
                                </w:rPr>
                                <w:tab/>
                              </w:r>
                            </w:p>
                          </w:txbxContent>
                        </wps:txbx>
                        <wps:bodyPr horzOverflow="overflow" vert="horz" lIns="0" tIns="0" rIns="0" bIns="0" rtlCol="0">
                          <a:noAutofit/>
                        </wps:bodyPr>
                      </wps:wsp>
                      <wps:wsp>
                        <wps:cNvPr id="19039" name="Rectangle 19039"/>
                        <wps:cNvSpPr/>
                        <wps:spPr>
                          <a:xfrm>
                            <a:off x="1737687" y="344474"/>
                            <a:ext cx="2149590" cy="180434"/>
                          </a:xfrm>
                          <a:prstGeom prst="rect">
                            <a:avLst/>
                          </a:prstGeom>
                          <a:ln>
                            <a:noFill/>
                          </a:ln>
                        </wps:spPr>
                        <wps:txbx>
                          <w:txbxContent>
                            <w:p w:rsidR="00EE13F6" w:rsidRDefault="002E5BC4">
                              <w:r>
                                <w:rPr>
                                  <w:b/>
                                  <w:color w:val="585858"/>
                                  <w:sz w:val="18"/>
                                </w:rPr>
                                <w:t>rate=35%;FTT</w:t>
                              </w:r>
                              <w:r>
                                <w:rPr>
                                  <w:b/>
                                  <w:color w:val="585858"/>
                                  <w:sz w:val="18"/>
                                </w:rPr>
                                <w:tab/>
                                <w:t>roundtrip</w:t>
                              </w:r>
                              <w:r>
                                <w:rPr>
                                  <w:b/>
                                  <w:color w:val="585858"/>
                                  <w:sz w:val="18"/>
                                </w:rPr>
                                <w:tab/>
                                <w:t>rate=0,2%)</w:t>
                              </w:r>
                            </w:p>
                          </w:txbxContent>
                        </wps:txbx>
                        <wps:bodyPr horzOverflow="overflow" vert="horz" lIns="0" tIns="0" rIns="0" bIns="0" rtlCol="0">
                          <a:noAutofit/>
                        </wps:bodyPr>
                      </wps:wsp>
                      <wps:wsp>
                        <wps:cNvPr id="19040" name="Shape 19040"/>
                        <wps:cNvSpPr/>
                        <wps:spPr>
                          <a:xfrm>
                            <a:off x="4422469" y="1512250"/>
                            <a:ext cx="149539" cy="1"/>
                          </a:xfrm>
                          <a:custGeom>
                            <a:avLst/>
                            <a:gdLst/>
                            <a:ahLst/>
                            <a:cxnLst/>
                            <a:rect l="0" t="0" r="0" b="0"/>
                            <a:pathLst>
                              <a:path w="149539" h="1">
                                <a:moveTo>
                                  <a:pt x="0" y="0"/>
                                </a:moveTo>
                                <a:lnTo>
                                  <a:pt x="149539" y="1"/>
                                </a:lnTo>
                              </a:path>
                            </a:pathLst>
                          </a:custGeom>
                          <a:ln w="15741" cap="rnd">
                            <a:round/>
                          </a:ln>
                        </wps:spPr>
                        <wps:style>
                          <a:lnRef idx="1">
                            <a:srgbClr val="5E5E5E"/>
                          </a:lnRef>
                          <a:fillRef idx="0">
                            <a:srgbClr val="000000">
                              <a:alpha val="0"/>
                            </a:srgbClr>
                          </a:fillRef>
                          <a:effectRef idx="0">
                            <a:scrgbClr r="0" g="0" b="0"/>
                          </a:effectRef>
                          <a:fontRef idx="none"/>
                        </wps:style>
                        <wps:bodyPr/>
                      </wps:wsp>
                      <wps:wsp>
                        <wps:cNvPr id="19041" name="Rectangle 19041"/>
                        <wps:cNvSpPr/>
                        <wps:spPr>
                          <a:xfrm>
                            <a:off x="4585344" y="1473137"/>
                            <a:ext cx="402292" cy="115993"/>
                          </a:xfrm>
                          <a:prstGeom prst="rect">
                            <a:avLst/>
                          </a:prstGeom>
                          <a:ln>
                            <a:noFill/>
                          </a:ln>
                        </wps:spPr>
                        <wps:txbx>
                          <w:txbxContent>
                            <w:p w:rsidR="00EE13F6" w:rsidRDefault="002E5BC4">
                              <w:r>
                                <w:rPr>
                                  <w:color w:val="585858"/>
                                  <w:sz w:val="11"/>
                                </w:rPr>
                                <w:t>spread</w:t>
                              </w:r>
                              <w:r>
                                <w:rPr>
                                  <w:color w:val="585858"/>
                                  <w:sz w:val="11"/>
                                </w:rPr>
                                <w:tab/>
                                <w:t>1%</w:t>
                              </w:r>
                            </w:p>
                          </w:txbxContent>
                        </wps:txbx>
                        <wps:bodyPr horzOverflow="overflow" vert="horz" lIns="0" tIns="0" rIns="0" bIns="0" rtlCol="0">
                          <a:noAutofit/>
                        </wps:bodyPr>
                      </wps:wsp>
                      <wps:wsp>
                        <wps:cNvPr id="19042" name="Shape 19042"/>
                        <wps:cNvSpPr/>
                        <wps:spPr>
                          <a:xfrm>
                            <a:off x="4422469" y="1663079"/>
                            <a:ext cx="149539" cy="1"/>
                          </a:xfrm>
                          <a:custGeom>
                            <a:avLst/>
                            <a:gdLst/>
                            <a:ahLst/>
                            <a:cxnLst/>
                            <a:rect l="0" t="0" r="0" b="0"/>
                            <a:pathLst>
                              <a:path w="149539" h="1">
                                <a:moveTo>
                                  <a:pt x="0" y="0"/>
                                </a:moveTo>
                                <a:lnTo>
                                  <a:pt x="149539" y="1"/>
                                </a:lnTo>
                              </a:path>
                            </a:pathLst>
                          </a:custGeom>
                          <a:ln w="15741" cap="rnd">
                            <a:round/>
                          </a:ln>
                        </wps:spPr>
                        <wps:style>
                          <a:lnRef idx="1">
                            <a:srgbClr val="B3B3B3"/>
                          </a:lnRef>
                          <a:fillRef idx="0">
                            <a:srgbClr val="000000">
                              <a:alpha val="0"/>
                            </a:srgbClr>
                          </a:fillRef>
                          <a:effectRef idx="0">
                            <a:scrgbClr r="0" g="0" b="0"/>
                          </a:effectRef>
                          <a:fontRef idx="none"/>
                        </wps:style>
                        <wps:bodyPr/>
                      </wps:wsp>
                      <wps:wsp>
                        <wps:cNvPr id="19043" name="Rectangle 19043"/>
                        <wps:cNvSpPr/>
                        <wps:spPr>
                          <a:xfrm>
                            <a:off x="4585344" y="1622974"/>
                            <a:ext cx="496520" cy="115993"/>
                          </a:xfrm>
                          <a:prstGeom prst="rect">
                            <a:avLst/>
                          </a:prstGeom>
                          <a:ln>
                            <a:noFill/>
                          </a:ln>
                        </wps:spPr>
                        <wps:txbx>
                          <w:txbxContent>
                            <w:p w:rsidR="00EE13F6" w:rsidRDefault="002E5BC4">
                              <w:r>
                                <w:rPr>
                                  <w:color w:val="585858"/>
                                  <w:sz w:val="11"/>
                                </w:rPr>
                                <w:t>spread</w:t>
                              </w:r>
                              <w:r>
                                <w:rPr>
                                  <w:color w:val="585858"/>
                                  <w:sz w:val="11"/>
                                </w:rPr>
                                <w:tab/>
                              </w:r>
                              <w:r>
                                <w:rPr>
                                  <w:color w:val="585858"/>
                                  <w:sz w:val="11"/>
                                </w:rPr>
                                <w:tab/>
                                <w:t>1.5%</w:t>
                              </w:r>
                            </w:p>
                          </w:txbxContent>
                        </wps:txbx>
                        <wps:bodyPr horzOverflow="overflow" vert="horz" lIns="0" tIns="0" rIns="0" bIns="0" rtlCol="0">
                          <a:noAutofit/>
                        </wps:bodyPr>
                      </wps:wsp>
                      <wps:wsp>
                        <wps:cNvPr id="19044" name="Shape 19044"/>
                        <wps:cNvSpPr/>
                        <wps:spPr>
                          <a:xfrm>
                            <a:off x="4422469" y="1813906"/>
                            <a:ext cx="149539" cy="1"/>
                          </a:xfrm>
                          <a:custGeom>
                            <a:avLst/>
                            <a:gdLst/>
                            <a:ahLst/>
                            <a:cxnLst/>
                            <a:rect l="0" t="0" r="0" b="0"/>
                            <a:pathLst>
                              <a:path w="149539" h="1">
                                <a:moveTo>
                                  <a:pt x="0" y="0"/>
                                </a:moveTo>
                                <a:lnTo>
                                  <a:pt x="149539" y="1"/>
                                </a:lnTo>
                              </a:path>
                            </a:pathLst>
                          </a:custGeom>
                          <a:ln w="15741" cap="rnd">
                            <a:round/>
                          </a:ln>
                        </wps:spPr>
                        <wps:style>
                          <a:lnRef idx="1">
                            <a:srgbClr val="898989"/>
                          </a:lnRef>
                          <a:fillRef idx="0">
                            <a:srgbClr val="000000">
                              <a:alpha val="0"/>
                            </a:srgbClr>
                          </a:fillRef>
                          <a:effectRef idx="0">
                            <a:scrgbClr r="0" g="0" b="0"/>
                          </a:effectRef>
                          <a:fontRef idx="none"/>
                        </wps:style>
                        <wps:bodyPr/>
                      </wps:wsp>
                      <wps:wsp>
                        <wps:cNvPr id="19045" name="Rectangle 19045"/>
                        <wps:cNvSpPr/>
                        <wps:spPr>
                          <a:xfrm>
                            <a:off x="4585344" y="1772810"/>
                            <a:ext cx="402292" cy="115993"/>
                          </a:xfrm>
                          <a:prstGeom prst="rect">
                            <a:avLst/>
                          </a:prstGeom>
                          <a:ln>
                            <a:noFill/>
                          </a:ln>
                        </wps:spPr>
                        <wps:txbx>
                          <w:txbxContent>
                            <w:p w:rsidR="00EE13F6" w:rsidRDefault="002E5BC4">
                              <w:r>
                                <w:rPr>
                                  <w:color w:val="585858"/>
                                  <w:sz w:val="11"/>
                                </w:rPr>
                                <w:t>spread</w:t>
                              </w:r>
                              <w:r>
                                <w:rPr>
                                  <w:color w:val="585858"/>
                                  <w:sz w:val="11"/>
                                </w:rPr>
                                <w:tab/>
                                <w:t>2%</w:t>
                              </w:r>
                            </w:p>
                          </w:txbxContent>
                        </wps:txbx>
                        <wps:bodyPr horzOverflow="overflow" vert="horz" lIns="0" tIns="0" rIns="0" bIns="0" rtlCol="0">
                          <a:noAutofit/>
                        </wps:bodyPr>
                      </wps:wsp>
                      <wps:wsp>
                        <wps:cNvPr id="19046" name="Shape 19046"/>
                        <wps:cNvSpPr/>
                        <wps:spPr>
                          <a:xfrm>
                            <a:off x="4422469" y="1964735"/>
                            <a:ext cx="149539" cy="1"/>
                          </a:xfrm>
                          <a:custGeom>
                            <a:avLst/>
                            <a:gdLst/>
                            <a:ahLst/>
                            <a:cxnLst/>
                            <a:rect l="0" t="0" r="0" b="0"/>
                            <a:pathLst>
                              <a:path w="149539" h="1">
                                <a:moveTo>
                                  <a:pt x="0" y="0"/>
                                </a:moveTo>
                                <a:lnTo>
                                  <a:pt x="149539" y="1"/>
                                </a:lnTo>
                              </a:path>
                            </a:pathLst>
                          </a:custGeom>
                          <a:ln w="15741" cap="rnd">
                            <a:round/>
                          </a:ln>
                        </wps:spPr>
                        <wps:style>
                          <a:lnRef idx="1">
                            <a:srgbClr val="212121"/>
                          </a:lnRef>
                          <a:fillRef idx="0">
                            <a:srgbClr val="000000">
                              <a:alpha val="0"/>
                            </a:srgbClr>
                          </a:fillRef>
                          <a:effectRef idx="0">
                            <a:scrgbClr r="0" g="0" b="0"/>
                          </a:effectRef>
                          <a:fontRef idx="none"/>
                        </wps:style>
                        <wps:bodyPr/>
                      </wps:wsp>
                      <wps:wsp>
                        <wps:cNvPr id="19047" name="Rectangle 19047"/>
                        <wps:cNvSpPr/>
                        <wps:spPr>
                          <a:xfrm>
                            <a:off x="4585346" y="1922648"/>
                            <a:ext cx="475568" cy="115993"/>
                          </a:xfrm>
                          <a:prstGeom prst="rect">
                            <a:avLst/>
                          </a:prstGeom>
                          <a:ln>
                            <a:noFill/>
                          </a:ln>
                        </wps:spPr>
                        <wps:txbx>
                          <w:txbxContent>
                            <w:p w:rsidR="00EE13F6" w:rsidRDefault="002E5BC4">
                              <w:r>
                                <w:rPr>
                                  <w:color w:val="585858"/>
                                  <w:sz w:val="11"/>
                                </w:rPr>
                                <w:t>spread</w:t>
                              </w:r>
                              <w:r>
                                <w:rPr>
                                  <w:color w:val="585858"/>
                                  <w:sz w:val="11"/>
                                </w:rPr>
                                <w:tab/>
                                <w:t>2.5%</w:t>
                              </w:r>
                            </w:p>
                          </w:txbxContent>
                        </wps:txbx>
                        <wps:bodyPr horzOverflow="overflow" vert="horz" lIns="0" tIns="0" rIns="0" bIns="0" rtlCol="0">
                          <a:noAutofit/>
                        </wps:bodyPr>
                      </wps:wsp>
                      <wps:wsp>
                        <wps:cNvPr id="19048" name="Shape 19048"/>
                        <wps:cNvSpPr/>
                        <wps:spPr>
                          <a:xfrm>
                            <a:off x="4422469" y="2115562"/>
                            <a:ext cx="149539" cy="1"/>
                          </a:xfrm>
                          <a:custGeom>
                            <a:avLst/>
                            <a:gdLst/>
                            <a:ahLst/>
                            <a:cxnLst/>
                            <a:rect l="0" t="0" r="0" b="0"/>
                            <a:pathLst>
                              <a:path w="149539" h="1">
                                <a:moveTo>
                                  <a:pt x="0" y="0"/>
                                </a:moveTo>
                                <a:lnTo>
                                  <a:pt x="149539" y="1"/>
                                </a:lnTo>
                              </a:path>
                            </a:pathLst>
                          </a:custGeom>
                          <a:ln w="15741" cap="rnd">
                            <a:round/>
                          </a:ln>
                        </wps:spPr>
                        <wps:style>
                          <a:lnRef idx="1">
                            <a:srgbClr val="DADADA"/>
                          </a:lnRef>
                          <a:fillRef idx="0">
                            <a:srgbClr val="000000">
                              <a:alpha val="0"/>
                            </a:srgbClr>
                          </a:fillRef>
                          <a:effectRef idx="0">
                            <a:scrgbClr r="0" g="0" b="0"/>
                          </a:effectRef>
                          <a:fontRef idx="none"/>
                        </wps:style>
                        <wps:bodyPr/>
                      </wps:wsp>
                      <wps:wsp>
                        <wps:cNvPr id="19049" name="Rectangle 19049"/>
                        <wps:cNvSpPr/>
                        <wps:spPr>
                          <a:xfrm>
                            <a:off x="4585344" y="2072484"/>
                            <a:ext cx="402292" cy="115993"/>
                          </a:xfrm>
                          <a:prstGeom prst="rect">
                            <a:avLst/>
                          </a:prstGeom>
                          <a:ln>
                            <a:noFill/>
                          </a:ln>
                        </wps:spPr>
                        <wps:txbx>
                          <w:txbxContent>
                            <w:p w:rsidR="00EE13F6" w:rsidRDefault="002E5BC4">
                              <w:r>
                                <w:rPr>
                                  <w:color w:val="585858"/>
                                  <w:sz w:val="11"/>
                                </w:rPr>
                                <w:t>spread</w:t>
                              </w:r>
                              <w:r>
                                <w:rPr>
                                  <w:color w:val="585858"/>
                                  <w:sz w:val="11"/>
                                </w:rPr>
                                <w:tab/>
                                <w:t>3%</w:t>
                              </w:r>
                            </w:p>
                          </w:txbxContent>
                        </wps:txbx>
                        <wps:bodyPr horzOverflow="overflow" vert="horz" lIns="0" tIns="0" rIns="0" bIns="0" rtlCol="0">
                          <a:noAutofit/>
                        </wps:bodyPr>
                      </wps:wsp>
                      <wps:wsp>
                        <wps:cNvPr id="19050" name="Shape 19050"/>
                        <wps:cNvSpPr/>
                        <wps:spPr>
                          <a:xfrm>
                            <a:off x="0" y="0"/>
                            <a:ext cx="5056039" cy="3127698"/>
                          </a:xfrm>
                          <a:custGeom>
                            <a:avLst/>
                            <a:gdLst/>
                            <a:ahLst/>
                            <a:cxnLst/>
                            <a:rect l="0" t="0" r="0" b="0"/>
                            <a:pathLst>
                              <a:path w="5056039" h="3127698">
                                <a:moveTo>
                                  <a:pt x="0" y="0"/>
                                </a:moveTo>
                                <a:lnTo>
                                  <a:pt x="5056039" y="0"/>
                                </a:lnTo>
                                <a:lnTo>
                                  <a:pt x="5056039" y="3127698"/>
                                </a:lnTo>
                                <a:lnTo>
                                  <a:pt x="0" y="3127698"/>
                                </a:lnTo>
                              </a:path>
                            </a:pathLst>
                          </a:custGeom>
                          <a:ln w="7870" cap="flat">
                            <a:round/>
                          </a:ln>
                        </wps:spPr>
                        <wps:style>
                          <a:lnRef idx="1">
                            <a:srgbClr val="D9D9D9"/>
                          </a:lnRef>
                          <a:fillRef idx="0">
                            <a:srgbClr val="000000">
                              <a:alpha val="0"/>
                            </a:srgbClr>
                          </a:fillRef>
                          <a:effectRef idx="0">
                            <a:scrgbClr r="0" g="0" b="0"/>
                          </a:effectRef>
                          <a:fontRef idx="none"/>
                        </wps:style>
                        <wps:bodyPr/>
                      </wps:wsp>
                      <wps:wsp>
                        <wps:cNvPr id="19051" name="Rectangle 19051"/>
                        <wps:cNvSpPr/>
                        <wps:spPr>
                          <a:xfrm>
                            <a:off x="174007" y="1649948"/>
                            <a:ext cx="329544" cy="141769"/>
                          </a:xfrm>
                          <a:prstGeom prst="rect">
                            <a:avLst/>
                          </a:prstGeom>
                          <a:ln>
                            <a:noFill/>
                          </a:ln>
                        </wps:spPr>
                        <wps:txbx>
                          <w:txbxContent>
                            <w:p w:rsidR="00EE13F6" w:rsidRDefault="002E5BC4">
                              <w:r>
                                <w:rPr>
                                  <w:b/>
                                  <w:sz w:val="14"/>
                                </w:rPr>
                                <w:t>Equity</w:t>
                              </w:r>
                              <w:r>
                                <w:rPr>
                                  <w:b/>
                                  <w:sz w:val="14"/>
                                </w:rPr>
                                <w:tab/>
                              </w:r>
                            </w:p>
                          </w:txbxContent>
                        </wps:txbx>
                        <wps:bodyPr horzOverflow="overflow" vert="horz" lIns="0" tIns="0" rIns="0" bIns="0" rtlCol="0">
                          <a:noAutofit/>
                        </wps:bodyPr>
                      </wps:wsp>
                      <wps:wsp>
                        <wps:cNvPr id="19052" name="Rectangle 19052"/>
                        <wps:cNvSpPr/>
                        <wps:spPr>
                          <a:xfrm>
                            <a:off x="126785" y="1753147"/>
                            <a:ext cx="428108" cy="141769"/>
                          </a:xfrm>
                          <a:prstGeom prst="rect">
                            <a:avLst/>
                          </a:prstGeom>
                          <a:ln>
                            <a:noFill/>
                          </a:ln>
                        </wps:spPr>
                        <wps:txbx>
                          <w:txbxContent>
                            <w:p w:rsidR="00EE13F6" w:rsidRDefault="002E5BC4">
                              <w:r>
                                <w:rPr>
                                  <w:b/>
                                  <w:sz w:val="14"/>
                                </w:rPr>
                                <w:t>variation</w:t>
                              </w:r>
                            </w:p>
                          </w:txbxContent>
                        </wps:txbx>
                        <wps:bodyPr horzOverflow="overflow" vert="horz" lIns="0" tIns="0" rIns="0" bIns="0" rtlCol="0">
                          <a:noAutofit/>
                        </wps:bodyPr>
                      </wps:wsp>
                      <wps:wsp>
                        <wps:cNvPr id="19054" name="Rectangle 19054"/>
                        <wps:cNvSpPr/>
                        <wps:spPr>
                          <a:xfrm>
                            <a:off x="221230" y="1856345"/>
                            <a:ext cx="199097" cy="141769"/>
                          </a:xfrm>
                          <a:prstGeom prst="rect">
                            <a:avLst/>
                          </a:prstGeom>
                          <a:ln>
                            <a:noFill/>
                          </a:ln>
                        </wps:spPr>
                        <wps:txbx>
                          <w:txbxContent>
                            <w:p w:rsidR="00EE13F6" w:rsidRDefault="002E5BC4">
                              <w:r>
                                <w:rPr>
                                  <w:b/>
                                  <w:sz w:val="14"/>
                                </w:rPr>
                                <w:t>in</w:t>
                              </w:r>
                              <w:r>
                                <w:rPr>
                                  <w:b/>
                                  <w:sz w:val="14"/>
                                </w:rPr>
                                <w:tab/>
                                <w:t>%</w:t>
                              </w:r>
                            </w:p>
                          </w:txbxContent>
                        </wps:txbx>
                        <wps:bodyPr horzOverflow="overflow" vert="horz" lIns="0" tIns="0" rIns="0" bIns="0" rtlCol="0">
                          <a:noAutofit/>
                        </wps:bodyPr>
                      </wps:wsp>
                    </wpg:wgp>
                  </a:graphicData>
                </a:graphic>
              </wp:inline>
            </w:drawing>
          </mc:Choice>
          <mc:Fallback>
            <w:pict>
              <v:group id="Group 195556" o:spid="_x0000_s1026" style="width:398.1pt;height:246.3pt;mso-position-horizontal-relative:char;mso-position-vertical-relative:line" coordsize="50560,3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">
                <v:shape id="Shape 18994" o:spid="_x0000_s1027" style="position:absolute;left:3337;top:28657;width:39431;height:0;visibility:visible;mso-wrap-style:square;v-text-anchor:top" coordsize="394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Fi8IA&#10;AADeAAAADwAAAGRycy9kb3ducmV2LnhtbERPS4vCMBC+L/gfwgje1tTHilajiCB42YPueh+asak2&#10;k9LEtvrrN4Kwt/n4nrPadLYUDdW+cKxgNExAEGdOF5wr+P3Zf85B+ICssXRMCh7kYbPufaww1a7l&#10;IzWnkIsYwj5FBSaEKpXSZ4Ys+qGriCN3cbXFEGGdS11jG8NtKcdJMpMWC44NBivaGcpup7tVkEmX&#10;TMy1+3q2Mujz92jX2Oqh1KDfbZcgAnXhX/x2H3ScP18spvB6J9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WLwgAAAN4AAAAPAAAAAAAAAAAAAAAAAJgCAABkcnMvZG93&#10;bnJldi54bWxQSwUGAAAAAAQABAD1AAAAhwMAAAAA&#10;" path="m,l3943091,e" filled="f" strokecolor="#d9d9d9" strokeweight=".21861mm">
                  <v:path arrowok="t" textboxrect="0,0,3943091,0"/>
                </v:shape>
                <v:shape id="Shape 18995" o:spid="_x0000_s1028" style="position:absolute;left:3337;top:24926;width:39431;height:0;visibility:visible;mso-wrap-style:square;v-text-anchor:top" coordsize="394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gEMEA&#10;AADeAAAADwAAAGRycy9kb3ducmV2LnhtbERPTYvCMBC9C/6HMMLebKriotUoIix48aC7ex+asak2&#10;k9Jk27q/3giCt3m8z1lve1uJlhpfOlYwSVIQxLnTJRcKfr6/xgsQPiBrrByTgjt52G6GgzVm2nV8&#10;ovYcChFD2GeowIRQZ1L63JBFn7iaOHIX11gMETaF1A12MdxWcpqmn9JiybHBYE17Q/nt/GcV5NKl&#10;M3Pt5/+dDPr3ONm3tr4r9THqdysQgfrwFr/cBx3nL5bLOTzfi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04BDBAAAA3gAAAA8AAAAAAAAAAAAAAAAAmAIAAGRycy9kb3du&#10;cmV2LnhtbFBLBQYAAAAABAAEAPUAAACGAwAAAAA=&#10;" path="m,l3943091,e" filled="f" strokecolor="#d9d9d9" strokeweight=".21861mm">
                  <v:path arrowok="t" textboxrect="0,0,3943091,0"/>
                </v:shape>
                <v:shape id="Shape 18996" o:spid="_x0000_s1029" style="position:absolute;left:3337;top:21115;width:39431;height:0;visibility:visible;mso-wrap-style:square;v-text-anchor:top" coordsize="394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Z8MA&#10;AADeAAAADwAAAGRycy9kb3ducmV2LnhtbERPS2vCQBC+F/wPywje6sZKg6auUgKClx4a9T5kp9m0&#10;2dmQXfPw13cLBW/z8T1ndxhtI3rqfO1YwWqZgCAuna65UnA5H583IHxA1tg4JgUTeTjsZ087zLQb&#10;+JP6IlQihrDPUIEJoc2k9KUhi37pWuLIfbnOYoiwq6TucIjhtpEvSZJKizXHBoMt5YbKn+JmFZTS&#10;JWvzPb7eBxn09WOV97adlFrMx/c3EIHG8BD/u086zt9styn8vRNv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Z+Z8MAAADeAAAADwAAAAAAAAAAAAAAAACYAgAAZHJzL2Rv&#10;d25yZXYueG1sUEsFBgAAAAAEAAQA9QAAAIgDAAAAAA==&#10;" path="m,l3943091,e" filled="f" strokecolor="#d9d9d9" strokeweight=".21861mm">
                  <v:path arrowok="t" textboxrect="0,0,3943091,0"/>
                </v:shape>
                <v:shape id="Shape 18997" o:spid="_x0000_s1030" style="position:absolute;left:3337;top:17305;width:39431;height:0;visibility:visible;mso-wrap-style:square;v-text-anchor:top" coordsize="394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b/MIA&#10;AADeAAAADwAAAGRycy9kb3ducmV2LnhtbERPTYvCMBC9L/gfwgje1lTFVatRRBC87EF3vQ/N2FSb&#10;SWliW/31G0HY2zze56w2nS1FQ7UvHCsYDRMQxJnTBecKfn/2n3MQPiBrLB2Tggd52Kx7HytMtWv5&#10;SM0p5CKGsE9RgQmhSqX0mSGLfugq4shdXG0xRFjnUtfYxnBbynGSfEmLBccGgxXtDGW3090qyKRL&#10;JubaTZ+tDPr8Pdo1tnooNeh32yWIQF34F7/dBx3nzxeLGbzeiT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tv8wgAAAN4AAAAPAAAAAAAAAAAAAAAAAJgCAABkcnMvZG93&#10;bnJldi54bWxQSwUGAAAAAAQABAD1AAAAhwMAAAAA&#10;" path="m,l3943091,e" filled="f" strokecolor="#d9d9d9" strokeweight=".21861mm">
                  <v:path arrowok="t" textboxrect="0,0,3943091,0"/>
                </v:shape>
                <v:shape id="Shape 18998" o:spid="_x0000_s1031" style="position:absolute;left:3337;top:13574;width:39431;height:0;visibility:visible;mso-wrap-style:square;v-text-anchor:top" coordsize="394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PjsUA&#10;AADeAAAADwAAAGRycy9kb3ducmV2LnhtbESPQW/CMAyF75P4D5GRdhspICYoBISQJnHhANvuVmOa&#10;QuNUTdaW/Xp8mLSbrff83ufNbvC16qiNVWAD00kGirgItuLSwNfnx9sSVEzIFuvAZOBBEXbb0csG&#10;cxt6PlN3SaWSEI45GnApNbnWsXDkMU5CQyzaNbQek6xtqW2LvYT7Ws+y7F17rFgaHDZ0cFTcLz/e&#10;QKFDNne3YfHb62S/T9ND55uHMa/jYb8GlWhI/+a/66MV/OVqJbzyjsy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U+OxQAAAN4AAAAPAAAAAAAAAAAAAAAAAJgCAABkcnMv&#10;ZG93bnJldi54bWxQSwUGAAAAAAQABAD1AAAAigMAAAAA&#10;" path="m,l3943091,e" filled="f" strokecolor="#d9d9d9" strokeweight=".21861mm">
                  <v:path arrowok="t" textboxrect="0,0,3943091,0"/>
                </v:shape>
                <v:shape id="Shape 18999" o:spid="_x0000_s1032" style="position:absolute;left:3337;top:9764;width:39431;height:0;visibility:visible;mso-wrap-style:square;v-text-anchor:top" coordsize="394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qFcEA&#10;AADeAAAADwAAAGRycy9kb3ducmV2LnhtbERPTYvCMBC9C/6HMII3TV1xsdUoIghePKyr96EZm2oz&#10;KU22rf76jbCwt3m8z1lve1uJlhpfOlYwmyYgiHOnSy4UXL4PkyUIH5A1Vo5JwZM8bDfDwRoz7Tr+&#10;ovYcChFD2GeowIRQZ1L63JBFP3U1ceRurrEYImwKqRvsYrit5EeSfEqLJccGgzXtDeWP849VkEuX&#10;zM29X7w6GfT1NNu3tn4qNR71uxWIQH34F/+5jzrOX6ZpCu934g1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56hXBAAAA3gAAAA8AAAAAAAAAAAAAAAAAmAIAAGRycy9kb3du&#10;cmV2LnhtbFBLBQYAAAAABAAEAPUAAACGAwAAAAA=&#10;" path="m,l3943091,e" filled="f" strokecolor="#d9d9d9" strokeweight=".21861mm">
                  <v:path arrowok="t" textboxrect="0,0,3943091,0"/>
                </v:shape>
                <v:shape id="Shape 19000" o:spid="_x0000_s1033" style="position:absolute;left:3337;top:5953;width:0;height:22704;visibility:visible;mso-wrap-style:square;v-text-anchor:top" coordsize="1,22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ArscA&#10;AADeAAAADwAAAGRycy9kb3ducmV2LnhtbESPQWvCQBCF74X+h2WE3uquIqWNriKBqqA9aEvxOGSn&#10;SWp2NmS3Jv33zqHQ2wzz5r33LVaDb9SVulgHtjAZG1DERXA1lxY+3l8fn0HFhOywCUwWfinCanl/&#10;t8DMhZ6PdD2lUokJxwwtVCm1mdaxqMhjHIeWWG5fofOYZO1K7Trsxdw3emrMk/ZYsyRU2FJeUXE5&#10;/XgL337/dk64229dP+sn6/zzsMm9tQ+jYT0HlWhI/+K/752T+i/GCIDgyAx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5gK7HAAAA3gAAAA8AAAAAAAAAAAAAAAAAmAIAAGRy&#10;cy9kb3ducmV2LnhtbFBLBQYAAAAABAAEAPUAAACMAwAAAAA=&#10;" path="m,2270360l1,e" filled="f" strokecolor="#bfbfbf" strokeweight=".21861mm">
                  <v:path arrowok="t" textboxrect="0,0,1,2270360"/>
                </v:shape>
                <v:shape id="Shape 19001" o:spid="_x0000_s1034" style="position:absolute;left:3337;top:5953;width:39431;height:0;visibility:visible;mso-wrap-style:square;v-text-anchor:top" coordsize="3943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kNcQA&#10;AADeAAAADwAAAGRycy9kb3ducmV2LnhtbERPTWvCQBC9F/wPywi9lLprD6mNriIFQWwvGr1PsmMS&#10;zM6G7BqTf98tFHqbx/uc1Wawjeip87VjDfOZAkFcOFNzqeGc7V4XIHxANtg4Jg0jedisJ08rTI17&#10;8JH6UyhFDGGfooYqhDaV0hcVWfQz1xJH7uo6iyHCrpSmw0cMt418UyqRFmuODRW29FlRcTvdrYZD&#10;7/k93x+Ou+/k5a6y8asdLrnWz9NhuwQRaAj/4j/33sT5H0rN4fede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q5DXEAAAA3gAAAA8AAAAAAAAAAAAAAAAAmAIAAGRycy9k&#10;b3ducmV2LnhtbFBLBQYAAAAABAAEAPUAAACJAwAAAAA=&#10;" path="m,l3943091,1e" filled="f" strokecolor="#bfbfbf" strokeweight=".21861mm">
                  <v:path arrowok="t" textboxrect="0,0,3943091,1"/>
                </v:shape>
                <v:shape id="Shape 19003" o:spid="_x0000_s1035" style="position:absolute;left:5266;top:6866;width:35495;height:20560;visibility:visible;mso-wrap-style:square;v-text-anchor:top" coordsize="3549569,2056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BccYA&#10;AADeAAAADwAAAGRycy9kb3ducmV2LnhtbERPTWvCQBC9F/wPywheSt3VQtHUVUTQ5pJitD14G7Jj&#10;EszOhuyq6b/vFgre5vE+Z7HqbSNu1PnasYbJWIEgLpypudTwddy+zED4gGywcUwafsjDajl4WmBi&#10;3J1zuh1CKWII+wQ1VCG0iZS+qMiiH7uWOHJn11kMEXalNB3eY7ht5FSpN2mx5thQYUubiorL4Wo1&#10;tKc8nWUfz6dd9j1P959mm2e7RuvRsF+/gwjUh4f4352aOH+u1Cv8vR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1BccYAAADeAAAADwAAAAAAAAAAAAAAAACYAgAAZHJz&#10;L2Rvd25yZXYueG1sUEsFBgAAAAAEAAQA9QAAAIsDAAAAAA==&#10;" path="m,l393522,55568r393522,55568l1188437,182581r393522,79384l1975481,357225r393522,63506l2762525,508053r393522,166704l3549569,2056025e" filled="f" strokecolor="#5e5e5e" strokeweight=".43725mm">
                  <v:stroke endcap="round"/>
                  <v:path arrowok="t" textboxrect="0,0,3549569,2056025"/>
                </v:shape>
                <v:shape id="Shape 19005" o:spid="_x0000_s1036" style="position:absolute;left:5266;top:7025;width:35495;height:18973;visibility:visible;mso-wrap-style:square;v-text-anchor:top" coordsize="3549569,189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g88IA&#10;AADeAAAADwAAAGRycy9kb3ducmV2LnhtbERPzYrCMBC+L/gOYQQvy5ooKG41iggLe/HgzwOMzZgW&#10;m0ltYq1vbwTB23x8v7NYda4SLTWh9KxhNFQgiHNvSrYajoe/nxmIEJENVp5Jw4MCrJa9rwVmxt95&#10;R+0+WpFCOGSooYixzqQMeUEOw9DXxIk7+8ZhTLCx0jR4T+GukmOlptJhyamhwJo2BeWX/c1p6MzZ&#10;3uz3aXvdVe1jfTyp7ZgvWg/63XoOIlIXP+K3+9+k+b9KTeD1Trp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iDzwgAAAN4AAAAPAAAAAAAAAAAAAAAAAJgCAABkcnMvZG93&#10;bnJldi54bWxQSwUGAAAAAAQABAD1AAAAhwMAAAAA&#10;" path="m,l393522,63507r393522,63506l1188437,206396r393522,95260l1975481,420731r393522,79383l2762525,619189r393522,230212l3549569,1897259e" filled="f" strokecolor="#b3b3b3" strokeweight=".43725mm">
                  <v:stroke endcap="round"/>
                  <v:path arrowok="t" textboxrect="0,0,3549569,1897259"/>
                </v:shape>
                <v:shape id="Shape 19007" o:spid="_x0000_s1037" style="position:absolute;left:5266;top:6072;width:35495;height:19449;visibility:visible;mso-wrap-style:square;v-text-anchor:top" coordsize="3549569,1944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iVMUA&#10;AADeAAAADwAAAGRycy9kb3ducmV2LnhtbERP22rCQBB9F/yHZYS+1V1FahtdxQulfZBCYj9gzI5J&#10;2uxsyG5j8vfdQsG3OZzrrLe9rUVHra8ca5hNFQji3JmKCw2f59fHZxA+IBusHZOGgTxsN+PRGhPj&#10;bpxSl4VCxBD2CWooQ2gSKX1ekkU/dQ1x5K6utRgibAtpWrzFcFvLuVJP0mLFsaHEhg4l5d/Zj9Vw&#10;XBz2dP0y58v+Y3jrFq46pdmg9cOk361ABOrDXfzvfjdx/otSS/h7J9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JUxQAAAN4AAAAPAAAAAAAAAAAAAAAAAJgCAABkcnMv&#10;ZG93bnJldi54bWxQSwUGAAAAAAQABAD1AAAAigMAAAAA&#10;" path="m,l393522,174643r393522,79383l1188437,341348r393522,103198l1975481,579498r393522,95259l2762525,817647r393522,261965l3549569,1944889e" filled="f" strokecolor="#898989" strokeweight=".43725mm">
                  <v:stroke endcap="round"/>
                  <v:path arrowok="t" textboxrect="0,0,3549569,1944889"/>
                </v:shape>
                <v:shape id="Shape 19009" o:spid="_x0000_s1038" style="position:absolute;left:5266;top:7342;width:35495;height:18020;visibility:visible;mso-wrap-style:square;v-text-anchor:top" coordsize="3549569,180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828UA&#10;AADeAAAADwAAAGRycy9kb3ducmV2LnhtbESPQWsCMRCF74L/IYzQmyaKLHU1ihQKghTbbfE8bMbN&#10;spvJsom6/ntTKPQ2w3vfmzeb3eBacaM+1J41zGcKBHHpTc2Vhp/v9+kriBCRDbaeScODAuy249EG&#10;c+Pv/EW3IlYihXDIUYONsculDKUlh2HmO+KkXXzvMKa1r6Tp8Z7CXSsXSmXSYc3pgsWO3iyVTXF1&#10;qUb5ebyeT0W0x2zpHlnjm4/zUuuXybBfg4g0xH/zH30wiVsptYLfd9IM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PzbxQAAAN4AAAAPAAAAAAAAAAAAAAAAAJgCAABkcnMv&#10;ZG93bnJldi54bWxQSwUGAAAAAAQABAD1AAAAigMAAAAA&#10;" path="m,l393522,71445r393522,79383l1188437,246088r393522,119075l1975481,515991r393522,103198l2762525,777955r393522,269903l3549569,1801999e" filled="f" strokecolor="#212121" strokeweight=".43725mm">
                  <v:stroke endcap="round"/>
                  <v:path arrowok="t" textboxrect="0,0,3549569,1801999"/>
                </v:shape>
                <v:shape id="Shape 19011" o:spid="_x0000_s1039" style="position:absolute;left:5266;top:6866;width:35495;height:18338;visibility:visible;mso-wrap-style:square;v-text-anchor:top" coordsize="3549569,183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jU8YA&#10;AADeAAAADwAAAGRycy9kb3ducmV2LnhtbERPTWvCQBC9C/6HZYTedJNKpaZugpUKKR6kVlBvQ3aa&#10;pM3Ohuyq6b/vFgRv83ifs8h604gLda62rCCeRCCIC6trLhXsP9fjZxDOI2tsLJOCX3KQpcPBAhNt&#10;r/xBl50vRQhhl6CCyvs2kdIVFRl0E9sSB+7LdgZ9gF0pdYfXEG4a+RhFM2mw5tBQYUurioqf3dko&#10;yM/T19Xb06k4brbf+fq4ndL78qDUw6hfvoDw1Pu7+ObOdZg/j+IY/t8JN8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fjU8YAAADeAAAADwAAAAAAAAAAAAAAAACYAgAAZHJz&#10;L2Rvd25yZXYueG1sUEsFBgAAAAAEAAQA9QAAAIsDAAAAAA==&#10;" path="m,l393522,142890r393522,87321l1188437,325471r393522,127013l1975481,619189r393522,111136l2762525,897030r393522,269903l3549569,1833752e" filled="f" strokecolor="#dadada" strokeweight=".43725mm">
                  <v:stroke endcap="round"/>
                  <v:path arrowok="t" textboxrect="0,0,3549569,1833752"/>
                </v:shape>
                <v:rect id="Rectangle 19013" o:spid="_x0000_s1040" style="position:absolute;left:378;top:28288;width:288;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C8cUA&#10;AADeAAAADwAAAGRycy9kb3ducmV2LnhtbERPTWvCQBC9F/oflil4azZaEBOzitSWeKxasL0N2TEJ&#10;zc6G7DaJ/vquIPQ2j/c52Xo0jeipc7VlBdMoBkFcWF1zqeDz+P68AOE8ssbGMim4kIP16vEhw1Tb&#10;gffUH3wpQgi7FBVU3replK6oyKCLbEscuLPtDPoAu1LqDocQbho5i+O5NFhzaKiwpdeKip/Dr1GQ&#10;L9rN185eh7J5+85PH6dke0y8UpOncbME4Wn0/+K7e6fD/CSev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cLxxQAAAN4AAAAPAAAAAAAAAAAAAAAAAJgCAABkcnMv&#10;ZG93bnJldi54bWxQSwUGAAAAAAQABAD1AAAAigMAAAAA&#10;" filled="f" stroked="f">
                  <v:textbox inset="0,0,0,0">
                    <w:txbxContent>
                      <w:p w:rsidR="00EE13F6" w:rsidRDefault="002E5BC4">
                        <w:r>
                          <w:rPr>
                            <w:color w:val="585858"/>
                            <w:sz w:val="11"/>
                          </w:rPr>
                          <w:t>-</w:t>
                        </w:r>
                      </w:p>
                    </w:txbxContent>
                  </v:textbox>
                </v:rect>
                <v:rect id="Rectangle 19014" o:spid="_x0000_s1041" style="position:absolute;left:614;top:28288;width:2781;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ahcUA&#10;AADeAAAADwAAAGRycy9kb3ducmV2LnhtbERPTWvCQBC9F/oflil4azZKEROzitSWeKxasL0N2TEJ&#10;zc6G7DaJ/vquIPQ2j/c52Xo0jeipc7VlBdMoBkFcWF1zqeDz+P68AOE8ssbGMim4kIP16vEhw1Tb&#10;gffUH3wpQgi7FBVU3replK6oyKCLbEscuLPtDPoAu1LqDocQbho5i+O5NFhzaKiwpdeKip/Dr1GQ&#10;L9rN185eh7J5+85PH6dke0y8UpOncbME4Wn0/+K7e6fD/CSev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FqFxQAAAN4AAAAPAAAAAAAAAAAAAAAAAJgCAABkcnMv&#10;ZG93bnJldi54bWxQSwUGAAAAAAQABAD1AAAAigMAAAAA&#10;" filled="f" stroked="f">
                  <v:textbox inset="0,0,0,0">
                    <w:txbxContent>
                      <w:p w:rsidR="00EE13F6" w:rsidRDefault="002E5BC4">
                        <w:r>
                          <w:rPr>
                            <w:color w:val="585858"/>
                            <w:sz w:val="11"/>
                          </w:rPr>
                          <w:t>30,000</w:t>
                        </w:r>
                      </w:p>
                    </w:txbxContent>
                  </v:textbox>
                </v:rect>
                <v:rect id="Rectangle 19015" o:spid="_x0000_s1042" style="position:absolute;left:378;top:24502;width:288;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HsUA&#10;AADeAAAADwAAAGRycy9kb3ducmV2LnhtbERPTWvCQBC9F/oflil4azYKFROzitSWeKxasL0N2TEJ&#10;zc6G7DaJ/vquIPQ2j/c52Xo0jeipc7VlBdMoBkFcWF1zqeDz+P68AOE8ssbGMim4kIP16vEhw1Tb&#10;gffUH3wpQgi7FBVU3replK6oyKCLbEscuLPtDPoAu1LqDocQbho5i+O5NFhzaKiwpdeKip/Dr1GQ&#10;L9rN185eh7J5+85PH6dke0y8UpOncbME4Wn0/+K7e6fD/CSev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P8exQAAAN4AAAAPAAAAAAAAAAAAAAAAAJgCAABkcnMv&#10;ZG93bnJldi54bWxQSwUGAAAAAAQABAD1AAAAigMAAAAA&#10;" filled="f" stroked="f">
                  <v:textbox inset="0,0,0,0">
                    <w:txbxContent>
                      <w:p w:rsidR="00EE13F6" w:rsidRDefault="002E5BC4">
                        <w:r>
                          <w:rPr>
                            <w:color w:val="585858"/>
                            <w:sz w:val="11"/>
                          </w:rPr>
                          <w:t>-</w:t>
                        </w:r>
                      </w:p>
                    </w:txbxContent>
                  </v:textbox>
                </v:rect>
                <v:rect id="Rectangle 19016" o:spid="_x0000_s1043" style="position:absolute;left:614;top:24502;width:278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acUA&#10;AADeAAAADwAAAGRycy9kb3ducmV2LnhtbERPTWvCQBC9F/wPywi91Y09BBPdBNEWc2y1YL0N2TEJ&#10;ZmdDdmvS/vquIHibx/ucVT6aVlypd41lBfNZBIK4tLrhSsHX4f1lAcJ5ZI2tZVLwSw7ybPK0wlTb&#10;gT/puveVCCHsUlRQe9+lUrqyJoNuZjviwJ1tb9AH2FdS9ziEcNPK1yiKpcGGQ0ONHW1qKi/7H6Ng&#10;t+jW34X9G6r27bQ7fhyT7SHxSj1Px/UShKfRP8R3d6HD/CSax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mFpxQAAAN4AAAAPAAAAAAAAAAAAAAAAAJgCAABkcnMv&#10;ZG93bnJldi54bWxQSwUGAAAAAAQABAD1AAAAigMAAAAA&#10;" filled="f" stroked="f">
                  <v:textbox inset="0,0,0,0">
                    <w:txbxContent>
                      <w:p w:rsidR="00EE13F6" w:rsidRDefault="002E5BC4">
                        <w:r>
                          <w:rPr>
                            <w:color w:val="585858"/>
                            <w:sz w:val="11"/>
                          </w:rPr>
                          <w:t>25,000</w:t>
                        </w:r>
                      </w:p>
                    </w:txbxContent>
                  </v:textbox>
                </v:rect>
                <v:rect id="Rectangle 19017" o:spid="_x0000_s1044" style="position:absolute;left:378;top:20716;width:288;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E8sUA&#10;AADeAAAADwAAAGRycy9kb3ducmV2LnhtbERPTWvCQBC9F/oflil4azZ6qCZmFakt8Vi1YHsbsmMS&#10;mp0N2W0S/fVdQehtHu9zsvVoGtFT52rLCqZRDIK4sLrmUsHn8f15AcJ5ZI2NZVJwIQfr1eNDhqm2&#10;A++pP/hShBB2KSqovG9TKV1RkUEX2ZY4cGfbGfQBdqXUHQ4h3DRyFscv0mDNoaHCll4rKn4Ov0ZB&#10;vmg3Xzt7Hcrm7Ts/fZyS7THxSk2exs0ShKfR/4vv7p0O85N4O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sTyxQAAAN4AAAAPAAAAAAAAAAAAAAAAAJgCAABkcnMv&#10;ZG93bnJldi54bWxQSwUGAAAAAAQABAD1AAAAigMAAAAA&#10;" filled="f" stroked="f">
                  <v:textbox inset="0,0,0,0">
                    <w:txbxContent>
                      <w:p w:rsidR="00EE13F6" w:rsidRDefault="002E5BC4">
                        <w:r>
                          <w:rPr>
                            <w:color w:val="585858"/>
                            <w:sz w:val="11"/>
                          </w:rPr>
                          <w:t>-</w:t>
                        </w:r>
                      </w:p>
                    </w:txbxContent>
                  </v:textbox>
                </v:rect>
                <v:rect id="Rectangle 19018" o:spid="_x0000_s1045" style="position:absolute;left:614;top:20716;width:278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QgMcA&#10;AADeAAAADwAAAGRycy9kb3ducmV2LnhtbESPQW/CMAyF75P4D5GRuI2UHSbakVaIbYLjBkiMm9WY&#10;tqJxqiajZb9+PkzazdZ7fu/zqhhdq27Uh8azgcU8AUVcettwZeB4eH9cggoR2WLrmQzcKUCRTx5W&#10;mFk/8Cfd9rFSEsIhQwN1jF2mdShrchjmviMW7eJ7h1HWvtK2x0HCXaufkuRZO2xYGmrsaFNTed1/&#10;OwPbZbf+2vmfoWrfztvTxyl9PaTRmNl0XL+AijTGf/Pf9c4KfposhF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RUIDHAAAA3gAAAA8AAAAAAAAAAAAAAAAAmAIAAGRy&#10;cy9kb3ducmV2LnhtbFBLBQYAAAAABAAEAPUAAACMAwAAAAA=&#10;" filled="f" stroked="f">
                  <v:textbox inset="0,0,0,0">
                    <w:txbxContent>
                      <w:p w:rsidR="00EE13F6" w:rsidRDefault="002E5BC4">
                        <w:r>
                          <w:rPr>
                            <w:color w:val="585858"/>
                            <w:sz w:val="11"/>
                          </w:rPr>
                          <w:t>20,000</w:t>
                        </w:r>
                      </w:p>
                    </w:txbxContent>
                  </v:textbox>
                </v:rect>
                <v:rect id="Rectangle 19019" o:spid="_x0000_s1046" style="position:absolute;left:378;top:16930;width:288;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31G8MA&#10;AADeAAAADwAAAGRycy9kb3ducmV2LnhtbERPS4vCMBC+L/gfwgh7W1M9iK1GER/o0Rfo3oZmti02&#10;k9JE2/XXG0HwNh/fcyaz1pTiTrUrLCvo9yIQxKnVBWcKTsf1zwiE88gaS8uk4J8czKadrwkm2ja8&#10;p/vBZyKEsEtQQe59lUjp0pwMup6tiAP3Z2uDPsA6k7rGJoSbUg6iaCgNFhwacqxokVN6PdyMgs2o&#10;ml+29tFk5ep3c96d4+Ux9kp9d9v5GISn1n/Eb/dWh/lx1I/h9U6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31G8MAAADeAAAADwAAAAAAAAAAAAAAAACYAgAAZHJzL2Rv&#10;d25yZXYueG1sUEsFBgAAAAAEAAQA9QAAAIgDAAAAAA==&#10;" filled="f" stroked="f">
                  <v:textbox inset="0,0,0,0">
                    <w:txbxContent>
                      <w:p w:rsidR="00EE13F6" w:rsidRDefault="002E5BC4">
                        <w:r>
                          <w:rPr>
                            <w:color w:val="585858"/>
                            <w:sz w:val="11"/>
                          </w:rPr>
                          <w:t>-</w:t>
                        </w:r>
                      </w:p>
                    </w:txbxContent>
                  </v:textbox>
                </v:rect>
                <v:rect id="Rectangle 19020" o:spid="_x0000_s1047" style="position:absolute;left:614;top:16930;width:278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WO8cA&#10;AADeAAAADwAAAGRycy9kb3ducmV2LnhtbESPQW/CMAyF75P2HyIj7TZSOEy0kFaIbYLjBkjAzWpM&#10;W9E4VZPRbr9+PkzazZaf33vfqhhdq+7Uh8azgdk0AUVcettwZeB4eH9egAoR2WLrmQx8U4Aif3xY&#10;YWb9wJ9038dKiQmHDA3UMXaZ1qGsyWGY+o5YblffO4yy9pW2PQ5i7lo9T5IX7bBhSaixo01N5W3/&#10;5QxsF936vPM/Q9W+Xbanj1P6ekijMU+Tcb0EFWmM/+K/752V+mkyFw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ljvHAAAA3gAAAA8AAAAAAAAAAAAAAAAAmAIAAGRy&#10;cy9kb3ducmV2LnhtbFBLBQYAAAAABAAEAPUAAACMAwAAAAA=&#10;" filled="f" stroked="f">
                  <v:textbox inset="0,0,0,0">
                    <w:txbxContent>
                      <w:p w:rsidR="00EE13F6" w:rsidRDefault="002E5BC4">
                        <w:r>
                          <w:rPr>
                            <w:color w:val="585858"/>
                            <w:sz w:val="11"/>
                          </w:rPr>
                          <w:t>15,000</w:t>
                        </w:r>
                      </w:p>
                    </w:txbxContent>
                  </v:textbox>
                </v:rect>
                <v:rect id="Rectangle 19021" o:spid="_x0000_s1048" style="position:absolute;left:378;top:13144;width:288;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zoMUA&#10;AADeAAAADwAAAGRycy9kb3ducmV2LnhtbERPTWvCQBC9F/oflhG8NRs9FBOzitgWc7RasN6G7JgE&#10;s7Mhu02iv75bKHibx/ucbD2aRvTUudqyglkUgyAurK65VPB1/HhZgHAeWWNjmRTcyMF69fyUYart&#10;wJ/UH3wpQgi7FBVU3replK6oyKCLbEscuIvtDPoAu1LqDocQbho5j+NXabDm0FBhS9uKiuvhxyjY&#10;LdrNd27vQ9m8n3en/Sl5OyZeqelk3CxBeBr9Q/zvznWYn8TzG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zOgxQAAAN4AAAAPAAAAAAAAAAAAAAAAAJgCAABkcnMv&#10;ZG93bnJldi54bWxQSwUGAAAAAAQABAD1AAAAigMAAAAA&#10;" filled="f" stroked="f">
                  <v:textbox inset="0,0,0,0">
                    <w:txbxContent>
                      <w:p w:rsidR="00EE13F6" w:rsidRDefault="002E5BC4">
                        <w:r>
                          <w:rPr>
                            <w:color w:val="585858"/>
                            <w:sz w:val="11"/>
                          </w:rPr>
                          <w:t>-</w:t>
                        </w:r>
                      </w:p>
                    </w:txbxContent>
                  </v:textbox>
                </v:rect>
                <v:rect id="Rectangle 19022" o:spid="_x0000_s1049" style="position:absolute;left:614;top:13144;width:278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t18UA&#10;AADeAAAADwAAAGRycy9kb3ducmV2LnhtbERPTWvCQBC9F/wPywjemo05lCS6itQWc7RaiL0N2WkS&#10;mp0N2a2J/vpuodDbPN7nrLeT6cSVBtdaVrCMYhDEldUt1wrez6+PKQjnkTV2lknBjRxsN7OHNeba&#10;jvxG15OvRQhhl6OCxvs+l9JVDRl0ke2JA/dpB4M+wKGWesAxhJtOJnH8JA22HBoa7Om5oerr9G0U&#10;HNJ+dynsfay7l49DeSyz/TnzSi3m024FwtPk/8V/7kKH+VmcJP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a3XxQAAAN4AAAAPAAAAAAAAAAAAAAAAAJgCAABkcnMv&#10;ZG93bnJldi54bWxQSwUGAAAAAAQABAD1AAAAigMAAAAA&#10;" filled="f" stroked="f">
                  <v:textbox inset="0,0,0,0">
                    <w:txbxContent>
                      <w:p w:rsidR="00EE13F6" w:rsidRDefault="002E5BC4">
                        <w:r>
                          <w:rPr>
                            <w:color w:val="585858"/>
                            <w:sz w:val="11"/>
                          </w:rPr>
                          <w:t>10,000</w:t>
                        </w:r>
                      </w:p>
                    </w:txbxContent>
                  </v:textbox>
                </v:rect>
                <v:rect id="Rectangle 19023" o:spid="_x0000_s1050" style="position:absolute;left:715;top:9359;width:288;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ITMQA&#10;AADeAAAADwAAAGRycy9kb3ducmV2LnhtbERPS4vCMBC+C/sfwix401QXxFajyK6LHn0sqLehGdti&#10;MylNtNVfbwRhb/PxPWc6b00pblS7wrKCQT8CQZxaXXCm4G//2xuDcB5ZY2mZFNzJwXz20Zliom3D&#10;W7rtfCZCCLsEFeTeV4mULs3JoOvbijhwZ1sb9AHWmdQ1NiHclHIYRSNpsODQkGNF3zmll93VKFiN&#10;q8VxbR9NVi5Pq8PmEP/sY69U97NdTEB4av2/+O1e6zA/jo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CEzEAAAA3gAAAA8AAAAAAAAAAAAAAAAAmAIAAGRycy9k&#10;b3ducmV2LnhtbFBLBQYAAAAABAAEAPUAAACJAwAAAAA=&#10;" filled="f" stroked="f">
                  <v:textbox inset="0,0,0,0">
                    <w:txbxContent>
                      <w:p w:rsidR="00EE13F6" w:rsidRDefault="002E5BC4">
                        <w:r>
                          <w:rPr>
                            <w:color w:val="585858"/>
                            <w:sz w:val="11"/>
                          </w:rPr>
                          <w:t>-</w:t>
                        </w:r>
                      </w:p>
                    </w:txbxContent>
                  </v:textbox>
                </v:rect>
                <v:rect id="Rectangle 19024" o:spid="_x0000_s1051" style="position:absolute;left:951;top:9359;width:2258;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QOMQA&#10;AADeAAAADwAAAGRycy9kb3ducmV2LnhtbERPS4vCMBC+C/sfwix401RZxFajyK6LHn0sqLehGdti&#10;MylNtNVfbwRhb/PxPWc6b00pblS7wrKCQT8CQZxaXXCm4G//2xuDcB5ZY2mZFNzJwXz20Zliom3D&#10;W7rtfCZCCLsEFeTeV4mULs3JoOvbijhwZ1sb9AHWmdQ1NiHclHIYRSNpsODQkGNF3zmll93VKFiN&#10;q8VxbR9NVi5Pq8PmEP/sY69U97NdTEB4av2/+O1e6zA/jo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DjEAAAA3gAAAA8AAAAAAAAAAAAAAAAAmAIAAGRycy9k&#10;b3ducmV2LnhtbFBLBQYAAAAABAAEAPUAAACJAwAAAAA=&#10;" filled="f" stroked="f">
                  <v:textbox inset="0,0,0,0">
                    <w:txbxContent>
                      <w:p w:rsidR="00EE13F6" w:rsidRDefault="002E5BC4">
                        <w:r>
                          <w:rPr>
                            <w:color w:val="585858"/>
                            <w:sz w:val="11"/>
                          </w:rPr>
                          <w:t>5,000</w:t>
                        </w:r>
                      </w:p>
                    </w:txbxContent>
                  </v:textbox>
                </v:rect>
                <v:rect id="Rectangle 19025" o:spid="_x0000_s1052" style="position:absolute;left:981;top:5573;width:2257;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1o8QA&#10;AADeAAAADwAAAGRycy9kb3ducmV2LnhtbERPS4vCMBC+C/sfwix401RhxVajyK6LHn0sqLehGdti&#10;MylNtNVfbwRhb/PxPWc6b00pblS7wrKCQT8CQZxaXXCm4G//2xuDcB5ZY2mZFNzJwXz20Zliom3D&#10;W7rtfCZCCLsEFeTeV4mULs3JoOvbijhwZ1sb9AHWmdQ1NiHclHIYRSNpsODQkGNF3zmll93VKFiN&#10;q8VxbR9NVi5Pq8PmEP/sY69U97NdTEB4av2/+O1e6zA/jo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NaPEAAAA3gAAAA8AAAAAAAAAAAAAAAAAmAIAAGRycy9k&#10;b3ducmV2LnhtbFBLBQYAAAAABAAEAPUAAACJAwAAAAA=&#10;" filled="f" stroked="f">
                  <v:textbox inset="0,0,0,0">
                    <w:txbxContent>
                      <w:p w:rsidR="00EE13F6" w:rsidRDefault="002E5BC4">
                        <w:r>
                          <w:rPr>
                            <w:color w:val="585858"/>
                            <w:sz w:val="11"/>
                          </w:rPr>
                          <w:t>0,000</w:t>
                        </w:r>
                      </w:p>
                    </w:txbxContent>
                  </v:textbox>
                </v:rect>
                <v:rect id="Rectangle 195274" o:spid="_x0000_s1053" style="position:absolute;left:5120;top:6462;width:100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3n8UA&#10;AADfAAAADwAAAGRycy9kb3ducmV2LnhtbERPTWvCQBC9C/0PyxR6002lVZO6irSW5GhVUG9DdpqE&#10;ZmdDdjXRX98tCD0+3vd82ZtaXKh1lWUFz6MIBHFudcWFgv3uczgD4TyyxtoyKbiSg+XiYTDHRNuO&#10;v+iy9YUIIewSVFB63yRSurwkg25kG+LAfdvWoA+wLaRusQvhppbjKJpIgxWHhhIbei8p/9mejYJ0&#10;1qyOmb11Rb0+pYfNIf7YxV6pp8d+9QbCU+//xXd3psP8+HU8fYG/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efxQAAAN8AAAAPAAAAAAAAAAAAAAAAAJgCAABkcnMv&#10;ZG93bnJldi54bWxQSwUGAAAAAAQABAD1AAAAigMAAAAA&#10;" filled="f" stroked="f">
                  <v:textbox inset="0,0,0,0">
                    <w:txbxContent>
                      <w:p w:rsidR="00EE13F6" w:rsidRDefault="002E5BC4">
                        <w:r>
                          <w:rPr>
                            <w:color w:val="585858"/>
                            <w:sz w:val="11"/>
                          </w:rPr>
                          <w:t>25</w:t>
                        </w:r>
                      </w:p>
                    </w:txbxContent>
                  </v:textbox>
                </v:rect>
                <v:rect id="Rectangle 195273" o:spid="_x0000_s1054" style="position:absolute;left:4569;top:6462;width:478;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v68UA&#10;AADfAAAADwAAAGRycy9kb3ducmV2LnhtbERPTWvCQBC9C/0PyxR6000tVZO6irSW5GhVUG9DdpqE&#10;ZmdDdjXRX98tCD0+3vd82ZtaXKh1lWUFz6MIBHFudcWFgv3uczgD4TyyxtoyKbiSg+XiYTDHRNuO&#10;v+iy9YUIIewSVFB63yRSurwkg25kG+LAfdvWoA+wLaRusQvhppbjKJpIgxWHhhIbei8p/9mejYJ0&#10;1qyOmb11Rb0+pYfNIf7YxV6pp8d+9QbCU+//xXd3psP8+HU8fYG/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W/rxQAAAN8AAAAPAAAAAAAAAAAAAAAAAJgCAABkcnMv&#10;ZG93bnJldi54bWxQSwUGAAAAAAQABAD1AAAAigMAAAAA&#10;" filled="f" stroked="f">
                  <v:textbox inset="0,0,0,0">
                    <w:txbxContent>
                      <w:p w:rsidR="00EE13F6" w:rsidRDefault="002E5BC4">
                        <w:r>
                          <w:rPr>
                            <w:color w:val="585858"/>
                            <w:sz w:val="11"/>
                          </w:rPr>
                          <w:t>1</w:t>
                        </w:r>
                      </w:p>
                    </w:txbxContent>
                  </v:textbox>
                </v:rect>
                <v:rect id="Rectangle 195275" o:spid="_x0000_s1055" style="position:absolute;left:4962;top:6462;width:236;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SBMUA&#10;AADfAAAADwAAAGRycy9kb3ducmV2LnhtbERPTWvCQBC9F/wPywi91Y2C1aSuIlpJjlULtrchO02C&#10;2dmQXU3qr3cLQo+P971Y9aYWV2pdZVnBeBSBIM6trrhQ8HncvcxBOI+ssbZMCn7JwWo5eFpgom3H&#10;e7oefCFCCLsEFZTeN4mULi/JoBvZhjhwP7Y16ANsC6lb7EK4qeUkil6lwYpDQ4kNbUrKz4eLUZDO&#10;m/VXZm9dUb9/p6ePU7w9xl6p52G/fgPhqff/4oc702F+PJ3Mpv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FIExQAAAN8AAAAPAAAAAAAAAAAAAAAAAJgCAABkcnMv&#10;ZG93bnJldi54bWxQSwUGAAAAAAQABAD1AAAAigMAAAAA&#10;" filled="f" stroked="f">
                  <v:textbox inset="0,0,0,0">
                    <w:txbxContent>
                      <w:p w:rsidR="00EE13F6" w:rsidRDefault="002E5BC4">
                        <w:r>
                          <w:rPr>
                            <w:color w:val="585858"/>
                            <w:sz w:val="11"/>
                          </w:rPr>
                          <w:t>,</w:t>
                        </w:r>
                      </w:p>
                    </w:txbxContent>
                  </v:textbox>
                </v:rect>
                <v:rect id="Rectangle 195276" o:spid="_x0000_s1056" style="position:absolute;left:8512;top:6462;width:478;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Mc8QA&#10;AADfAAAADwAAAGRycy9kb3ducmV2LnhtbERPy2rCQBTdC/7DcIXudKLgI6mjiFp0WR9gu7tkbpNg&#10;5k7ITE3q1zsFweXhvOfL1pTiRrUrLCsYDiIQxKnVBWcKzqeP/gyE88gaS8uk4I8cLBfdzhwTbRs+&#10;0O3oMxFC2CWoIPe+SqR0aU4G3cBWxIH7sbVBH2CdSV1jE8JNKUdRNJEGCw4NOVa0zim9Hn+Ngt2s&#10;Wn3t7b3Jyu337vJ5iTen2Cv11mtX7yA8tf4lfrr3OsyPx6PpBP7/BAB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izHPEAAAA3wAAAA8AAAAAAAAAAAAAAAAAmAIAAGRycy9k&#10;b3ducmV2LnhtbFBLBQYAAAAABAAEAPUAAACJAwAAAAA=&#10;" filled="f" stroked="f">
                  <v:textbox inset="0,0,0,0">
                    <w:txbxContent>
                      <w:p w:rsidR="00EE13F6" w:rsidRDefault="002E5BC4">
                        <w:r>
                          <w:rPr>
                            <w:color w:val="585858"/>
                            <w:sz w:val="11"/>
                          </w:rPr>
                          <w:t>1</w:t>
                        </w:r>
                      </w:p>
                    </w:txbxContent>
                  </v:textbox>
                </v:rect>
                <v:rect id="Rectangle 195278" o:spid="_x0000_s1057" style="position:absolute;left:8906;top:6462;width:23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9msUA&#10;AADfAAAADwAAAGRycy9kb3ducmV2LnhtbERPS2vCQBC+C/0PyxR6000FWxNdRdSix/oA29uQHZPQ&#10;7GzIbk3aX985FDx+fO/5sne1ulEbKs8GnkcJKOLc24oLA+fT23AKKkRki7VnMvBDAZaLh8EcM+s7&#10;PtDtGAslIRwyNFDG2GRah7wkh2HkG2Lhrr51GAW2hbYtdhLuaj1OkhftsGJpKLGhdUn51/HbGdhN&#10;m9XH3v92Rb393F3eL+nmlEZjnh771QxUpD7exf/uvZX56WT8Ko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f2axQAAAN8AAAAPAAAAAAAAAAAAAAAAAJgCAABkcnMv&#10;ZG93bnJldi54bWxQSwUGAAAAAAQABAD1AAAAigMAAAAA&#10;" filled="f" stroked="f">
                  <v:textbox inset="0,0,0,0">
                    <w:txbxContent>
                      <w:p w:rsidR="00EE13F6" w:rsidRDefault="002E5BC4">
                        <w:r>
                          <w:rPr>
                            <w:color w:val="585858"/>
                            <w:sz w:val="11"/>
                          </w:rPr>
                          <w:t>,</w:t>
                        </w:r>
                      </w:p>
                    </w:txbxContent>
                  </v:textbox>
                </v:rect>
                <v:rect id="Rectangle 195277" o:spid="_x0000_s1058" style="position:absolute;left:9064;top:6462;width:100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p6MUA&#10;AADfAAAADwAAAGRycy9kb3ducmV2LnhtbERPy2rCQBTdF/oPwy24q5MKVhOdBGktuqwPUHeXzDUJ&#10;zdwJmdFEv75TKLg8nPc8600trtS6yrKCt2EEgji3uuJCwX739ToF4TyyxtoyKbiRgyx9fppjom3H&#10;G7pufSFCCLsEFZTeN4mULi/JoBvahjhwZ9sa9AG2hdQtdiHc1HIURe/SYMWhocSGPkrKf7YXo2A1&#10;bRbHtb13Rb08rQ7fh/hzF3ulBi/9YgbCU+8f4n/3Wof58Xg0mcD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mnoxQAAAN8AAAAPAAAAAAAAAAAAAAAAAJgCAABkcnMv&#10;ZG93bnJldi54bWxQSwUGAAAAAAQABAD1AAAAigMAAAAA&#10;" filled="f" stroked="f">
                  <v:textbox inset="0,0,0,0">
                    <w:txbxContent>
                      <w:p w:rsidR="00EE13F6" w:rsidRDefault="002E5BC4">
                        <w:r>
                          <w:rPr>
                            <w:color w:val="585858"/>
                            <w:sz w:val="11"/>
                          </w:rPr>
                          <w:t>43</w:t>
                        </w:r>
                      </w:p>
                    </w:txbxContent>
                  </v:textbox>
                </v:rect>
                <v:rect id="Rectangle 195280" o:spid="_x0000_s1059" style="position:absolute;left:13007;top:6462;width:100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Bu8QA&#10;AADfAAAADwAAAGRycy9kb3ducmV2LnhtbERPS2vCQBC+F/oflin0VjcKLUl0FekDPVoV1NuQHZNg&#10;djZktybtr3cOBY8f33u2GFyjrtSF2rOB8SgBRVx4W3NpYL/7eklBhYhssfFMBn4pwGL++DDD3Pqe&#10;v+m6jaWSEA45GqhibHOtQ1GRwzDyLbFwZ985jAK7UtsOewl3jZ4kyZt2WLM0VNjSe0XFZfvjDKzS&#10;dnlc+7++bD5Pq8PmkH3ssmjM89OwnIKKNMS7+N+9tjI/e52k8kD+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gbvEAAAA3wAAAA8AAAAAAAAAAAAAAAAAmAIAAGRycy9k&#10;b3ducmV2LnhtbFBLBQYAAAAABAAEAPUAAACJAwAAAAA=&#10;" filled="f" stroked="f">
                  <v:textbox inset="0,0,0,0">
                    <w:txbxContent>
                      <w:p w:rsidR="00EE13F6" w:rsidRDefault="002E5BC4">
                        <w:r>
                          <w:rPr>
                            <w:color w:val="585858"/>
                            <w:sz w:val="11"/>
                          </w:rPr>
                          <w:t>67</w:t>
                        </w:r>
                      </w:p>
                    </w:txbxContent>
                  </v:textbox>
                </v:rect>
                <v:rect id="Rectangle 195281" o:spid="_x0000_s1060" style="position:absolute;left:12849;top:6462;width:236;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kIMQA&#10;AADfAAAADwAAAGRycy9kb3ducmV2LnhtbERPTWvCQBC9F/wPywi91Y2CJYmuIlrRYzWCehuyYxLM&#10;zobs1qT99V2h0OPjfc+XvanFg1pXWVYwHkUgiHOrKy4UnLLtWwzCeWSNtWVS8E0OlovByxxTbTs+&#10;0OPoCxFC2KWooPS+SaV0eUkG3cg2xIG72dagD7AtpG6xC+GmlpMoepcGKw4NJTa0Lim/H7+Mgl3c&#10;rC57+9MV9cd1d/48J5ss8Uq9DvvVDISn3v+L/9x7HeYn00k8hue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JCDEAAAA3wAAAA8AAAAAAAAAAAAAAAAAmAIAAGRycy9k&#10;b3ducmV2LnhtbFBLBQYAAAAABAAEAPUAAACJAwAAAAA=&#10;" filled="f" stroked="f">
                  <v:textbox inset="0,0,0,0">
                    <w:txbxContent>
                      <w:p w:rsidR="00EE13F6" w:rsidRDefault="002E5BC4">
                        <w:r>
                          <w:rPr>
                            <w:color w:val="585858"/>
                            <w:sz w:val="11"/>
                          </w:rPr>
                          <w:t>,</w:t>
                        </w:r>
                      </w:p>
                    </w:txbxContent>
                  </v:textbox>
                </v:rect>
                <v:rect id="Rectangle 195279" o:spid="_x0000_s1061" style="position:absolute;left:12456;top:6462;width:477;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YAcQA&#10;AADfAAAADwAAAGRycy9kb3ducmV2LnhtbERPy2rCQBTdC/7DcAvudFJBa6KjiG3RpS9Qd5fMNQlm&#10;7oTM1MR+fUcouDyc92zRmlLcqXaFZQXvgwgEcWp1wZmC4+G7PwHhPLLG0jIpeJCDxbzbmWGibcM7&#10;uu99JkIIuwQV5N5XiZQuzcmgG9iKOHBXWxv0AdaZ1DU2IdyUchhFY2mw4NCQY0WrnNLb/scoWE+q&#10;5Xljf5us/LqsT9tT/HmIvVK9t3Y5BeGp9S/xv3ujw/x4NPyI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9WAHEAAAA3wAAAA8AAAAAAAAAAAAAAAAAmAIAAGRycy9k&#10;b3ducmV2LnhtbFBLBQYAAAAABAAEAPUAAACJAwAAAAA=&#10;" filled="f" stroked="f">
                  <v:textbox inset="0,0,0,0">
                    <w:txbxContent>
                      <w:p w:rsidR="00EE13F6" w:rsidRDefault="002E5BC4">
                        <w:r>
                          <w:rPr>
                            <w:color w:val="585858"/>
                            <w:sz w:val="11"/>
                          </w:rPr>
                          <w:t>1</w:t>
                        </w:r>
                      </w:p>
                    </w:txbxContent>
                  </v:textbox>
                </v:rect>
                <v:rect id="Rectangle 195284" o:spid="_x0000_s1062" style="position:absolute;left:16793;top:6462;width:23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HuMQA&#10;AADfAAAADwAAAGRycy9kb3ducmV2LnhtbERPTWvCQBC9C/6HZQRvulGsJKmriK3osVVBexuy0yQ0&#10;Oxuyq0n99W5B6PHxvherzlTiRo0rLSuYjCMQxJnVJecKTsftKAbhPLLGyjIp+CUHq2W/t8BU25Y/&#10;6XbwuQgh7FJUUHhfp1K6rCCDbmxr4sB928agD7DJpW6wDeGmktMomkuDJYeGAmvaFJT9HK5GwS6u&#10;15e9vbd59f61O3+ck7dj4pUaDrr1KwhPnf8XP917HeYnL9N4B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h7jEAAAA3wAAAA8AAAAAAAAAAAAAAAAAmAIAAGRycy9k&#10;b3ducmV2LnhtbFBLBQYAAAAABAAEAPUAAACJAwAAAAA=&#10;" filled="f" stroked="f">
                  <v:textbox inset="0,0,0,0">
                    <w:txbxContent>
                      <w:p w:rsidR="00EE13F6" w:rsidRDefault="002E5BC4">
                        <w:r>
                          <w:rPr>
                            <w:color w:val="585858"/>
                            <w:sz w:val="11"/>
                          </w:rPr>
                          <w:t>,</w:t>
                        </w:r>
                      </w:p>
                    </w:txbxContent>
                  </v:textbox>
                </v:rect>
                <v:rect id="Rectangle 195283" o:spid="_x0000_s1063" style="position:absolute;left:16950;top:6462;width:1002;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fzMQA&#10;AADfAAAADwAAAGRycy9kb3ducmV2LnhtbERPTWvCQBC9C/6HZQRvulGpJKmriK3osVVBexuy0yQ0&#10;Oxuyq0n99W5B6PHxvherzlTiRo0rLSuYjCMQxJnVJecKTsftKAbhPLLGyjIp+CUHq2W/t8BU25Y/&#10;6XbwuQgh7FJUUHhfp1K6rCCDbmxr4sB928agD7DJpW6wDeGmktMomkuDJYeGAmvaFJT9HK5GwS6u&#10;15e9vbd59f61O3+ck7dj4pUaDrr1KwhPnf8XP917HeYnL9N4B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H8zEAAAA3wAAAA8AAAAAAAAAAAAAAAAAmAIAAGRycy9k&#10;b3ducmV2LnhtbFBLBQYAAAAABAAEAPUAAACJAwAAAAA=&#10;" filled="f" stroked="f">
                  <v:textbox inset="0,0,0,0">
                    <w:txbxContent>
                      <w:p w:rsidR="00EE13F6" w:rsidRDefault="002E5BC4">
                        <w:r>
                          <w:rPr>
                            <w:color w:val="585858"/>
                            <w:sz w:val="11"/>
                          </w:rPr>
                          <w:t>00</w:t>
                        </w:r>
                      </w:p>
                    </w:txbxContent>
                  </v:textbox>
                </v:rect>
                <v:rect id="Rectangle 195282" o:spid="_x0000_s1064" style="position:absolute;left:16399;top:6462;width:478;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6V8UA&#10;AADfAAAADwAAAGRycy9kb3ducmV2LnhtbERPTWvCQBC9F/wPywje6qaBShLdBNEWPbZasL0N2TEJ&#10;zc6G7NZEf323IPT4eN+rYjStuFDvGssKnuYRCOLS6oYrBR/H18cEhPPIGlvLpOBKDop88rDCTNuB&#10;3+ly8JUIIewyVFB732VSurImg25uO+LAnW1v0AfYV1L3OIRw08o4ihbSYMOhocaONjWV34cfo2CX&#10;dOvPvb0NVfvytTu9ndLtMfVKzabjegnC0+j/xXf3Xof56XOcxP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LpXxQAAAN8AAAAPAAAAAAAAAAAAAAAAAJgCAABkcnMv&#10;ZG93bnJldi54bWxQSwUGAAAAAAQABAD1AAAAigMAAAAA&#10;" filled="f" stroked="f">
                  <v:textbox inset="0,0,0,0">
                    <w:txbxContent>
                      <w:p w:rsidR="00EE13F6" w:rsidRDefault="002E5BC4">
                        <w:r>
                          <w:rPr>
                            <w:color w:val="585858"/>
                            <w:sz w:val="11"/>
                          </w:rPr>
                          <w:t>2</w:t>
                        </w:r>
                      </w:p>
                    </w:txbxContent>
                  </v:textbox>
                </v:rect>
                <v:rect id="Rectangle 195286" o:spid="_x0000_s1065" style="position:absolute;left:20894;top:6462;width:100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8VMQA&#10;AADfAAAADwAAAGRycy9kb3ducmV2LnhtbERPTWvCQBC9C/6HZYTedKNQSdKsIraix1YLtrchOybB&#10;7GzIrkn013cLhR4f7ztbD6YWHbWusqxgPotAEOdWV1wo+DztpjEI55E11pZJwZ0crFfjUYaptj1/&#10;UHf0hQgh7FJUUHrfpFK6vCSDbmYb4sBdbGvQB9gWUrfYh3BTy0UULaXBikNDiQ1tS8qvx5tRsI+b&#10;zdfBPvqifvven9/Pyesp8Uo9TYbNCwhPg/8X/7kPOsxPnhfxEn7/BAB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vFTEAAAA3wAAAA8AAAAAAAAAAAAAAAAAmAIAAGRycy9k&#10;b3ducmV2LnhtbFBLBQYAAAAABAAEAPUAAACJAwAAAAA=&#10;" filled="f" stroked="f">
                  <v:textbox inset="0,0,0,0">
                    <w:txbxContent>
                      <w:p w:rsidR="00EE13F6" w:rsidRDefault="002E5BC4">
                        <w:r>
                          <w:rPr>
                            <w:color w:val="585858"/>
                            <w:sz w:val="11"/>
                          </w:rPr>
                          <w:t>50</w:t>
                        </w:r>
                      </w:p>
                    </w:txbxContent>
                  </v:textbox>
                </v:rect>
                <v:rect id="Rectangle 195285" o:spid="_x0000_s1066" style="position:absolute;left:20343;top:6462;width:477;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iI8UA&#10;AADfAAAADwAAAGRycy9kb3ducmV2LnhtbERPTWvCQBC9F/wPywje6kbBkqTZiNgWPVZTsL0N2WkS&#10;mp0N2a2J/fVdQfD4eN/ZejStOFPvGssKFvMIBHFpdcOVgo/i7TEG4TyyxtYyKbiQg3U+ecgw1Xbg&#10;A52PvhIhhF2KCmrvu1RKV9Zk0M1tRxy4b9sb9AH2ldQ9DiHctHIZRU/SYMOhocaOtjWVP8dfo2AX&#10;d5vPvf0bqvb1a3d6PyUvReKVmk3HzTMIT6O/i2/uvQ7zk9UyXsH1TwA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SIjxQAAAN8AAAAPAAAAAAAAAAAAAAAAAJgCAABkcnMv&#10;ZG93bnJldi54bWxQSwUGAAAAAAQABAD1AAAAigMAAAAA&#10;" filled="f" stroked="f">
                  <v:textbox inset="0,0,0,0">
                    <w:txbxContent>
                      <w:p w:rsidR="00EE13F6" w:rsidRDefault="002E5BC4">
                        <w:r>
                          <w:rPr>
                            <w:color w:val="585858"/>
                            <w:sz w:val="11"/>
                          </w:rPr>
                          <w:t>2</w:t>
                        </w:r>
                      </w:p>
                    </w:txbxContent>
                  </v:textbox>
                </v:rect>
                <v:rect id="Rectangle 195287" o:spid="_x0000_s1067" style="position:absolute;left:20736;top:6462;width:236;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Zz8QA&#10;AADfAAAADwAAAGRycy9kb3ducmV2LnhtbERPTWvCQBC9C/6HZQRvulGwJqmriK3osVVBexuy0yQ0&#10;Oxuyq0n99W5B6PHxvherzlTiRo0rLSuYjCMQxJnVJecKTsftKAbhPLLGyjIp+CUHq2W/t8BU25Y/&#10;6XbwuQgh7FJUUHhfp1K6rCCDbmxr4sB928agD7DJpW6wDeGmktMoepEGSw4NBda0KSj7OVyNgl1c&#10;ry97e2/z6v1rd/44J2/HxCs1HHTrVxCeOv8vfrr3OsxPZtN4D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Gc/EAAAA3wAAAA8AAAAAAAAAAAAAAAAAmAIAAGRycy9k&#10;b3ducmV2LnhtbFBLBQYAAAAABAAEAPUAAACJAwAAAAA=&#10;" filled="f" stroked="f">
                  <v:textbox inset="0,0,0,0">
                    <w:txbxContent>
                      <w:p w:rsidR="00EE13F6" w:rsidRDefault="002E5BC4">
                        <w:r>
                          <w:rPr>
                            <w:color w:val="585858"/>
                            <w:sz w:val="11"/>
                          </w:rPr>
                          <w:t>,</w:t>
                        </w:r>
                      </w:p>
                    </w:txbxContent>
                  </v:textbox>
                </v:rect>
                <v:rect id="Rectangle 195288" o:spid="_x0000_s1068" style="position:absolute;left:24286;top:6462;width:478;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NvcQA&#10;AADfAAAADwAAAGRycy9kb3ducmV2LnhtbERPS2vCQBC+F/oflin0VjcKLUl0FekDPVoV1NuQHZNg&#10;djZktybtr3cOBY8f33u2GFyjrtSF2rOB8SgBRVx4W3NpYL/7eklBhYhssfFMBn4pwGL++DDD3Pqe&#10;v+m6jaWSEA45GqhibHOtQ1GRwzDyLbFwZ985jAK7UtsOewl3jZ4kyZt2WLM0VNjSe0XFZfvjDKzS&#10;dnlc+7++bD5Pq8PmkH3ssmjM89OwnIKKNMS7+N+9tjI/e52kMlj+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jb3EAAAA3wAAAA8AAAAAAAAAAAAAAAAAmAIAAGRycy9k&#10;b3ducmV2LnhtbFBLBQYAAAAABAAEAPUAAACJAwAAAAA=&#10;" filled="f" stroked="f">
                  <v:textbox inset="0,0,0,0">
                    <w:txbxContent>
                      <w:p w:rsidR="00EE13F6" w:rsidRDefault="002E5BC4">
                        <w:r>
                          <w:rPr>
                            <w:color w:val="585858"/>
                            <w:sz w:val="11"/>
                          </w:rPr>
                          <w:t>3</w:t>
                        </w:r>
                      </w:p>
                    </w:txbxContent>
                  </v:textbox>
                </v:rect>
                <v:rect id="Rectangle 195290" o:spid="_x0000_s1069" style="position:absolute;left:24680;top:6462;width:23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XZsQA&#10;AADfAAAADwAAAGRycy9kb3ducmV2LnhtbERPTWvCQBC9C/6HZQRvuqnQYlJXkdaiR6sF9TZkp0lo&#10;djZkVxP7651DocfH+16selerG7Wh8mzgaZqAIs69rbgw8HX8mMxBhYhssfZMBu4UYLUcDhaYWd/x&#10;J90OsVASwiFDA2WMTaZ1yEtyGKa+IRbu27cOo8C20LbFTsJdrWdJ8qIdViwNJTb0VlL+c7g6A9t5&#10;sz7v/G9X1JvL9rQ/pe/HNBozHvXrV1CR+vgv/nPvrMxPn2epPJA/Ak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F2bEAAAA3wAAAA8AAAAAAAAAAAAAAAAAmAIAAGRycy9k&#10;b3ducmV2LnhtbFBLBQYAAAAABAAEAPUAAACJAwAAAAA=&#10;" filled="f" stroked="f">
                  <v:textbox inset="0,0,0,0">
                    <w:txbxContent>
                      <w:p w:rsidR="00EE13F6" w:rsidRDefault="002E5BC4">
                        <w:r>
                          <w:rPr>
                            <w:color w:val="585858"/>
                            <w:sz w:val="11"/>
                          </w:rPr>
                          <w:t>,</w:t>
                        </w:r>
                      </w:p>
                    </w:txbxContent>
                  </v:textbox>
                </v:rect>
                <v:rect id="Rectangle 195289" o:spid="_x0000_s1070" style="position:absolute;left:24837;top:6462;width:100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oJsQA&#10;AADfAAAADwAAAGRycy9kb3ducmV2LnhtbERPy2rCQBTdC/7DcIXudKJgSVJHER/o0qpgu7tkbpNg&#10;5k7IjCbt1zsFweXhvGeLzlTiTo0rLSsYjyIQxJnVJecKzqftMAbhPLLGyjIp+CUHi3m/N8NU25Y/&#10;6X70uQgh7FJUUHhfp1K6rCCDbmRr4sD92MagD7DJpW6wDeGmkpMoepcGSw4NBda0Kii7Hm9GwS6u&#10;l197+9fm1eZ7dzlckvUp8Uq9DbrlBwhPnX+Jn+69DvOT6SRO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oKCbEAAAA3wAAAA8AAAAAAAAAAAAAAAAAmAIAAGRycy9k&#10;b3ducmV2LnhtbFBLBQYAAAAABAAEAPUAAACJAwAAAAA=&#10;" filled="f" stroked="f">
                  <v:textbox inset="0,0,0,0">
                    <w:txbxContent>
                      <w:p w:rsidR="00EE13F6" w:rsidRDefault="002E5BC4">
                        <w:r>
                          <w:rPr>
                            <w:color w:val="585858"/>
                            <w:sz w:val="11"/>
                          </w:rPr>
                          <w:t>33</w:t>
                        </w:r>
                      </w:p>
                    </w:txbxContent>
                  </v:textbox>
                </v:rect>
                <v:rect id="Rectangle 195291" o:spid="_x0000_s1071" style="position:absolute;left:28230;top:6462;width:477;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y/cUA&#10;AADfAAAADwAAAGRycy9kb3ducmV2LnhtbERPTWvCQBC9F/wPywi91Y1Ci4muIWiLHlsjRG9DdkyC&#10;2dmQ3Zq0v75bKPT4eN/rdDStuFPvGssK5rMIBHFpdcOVglP+9rQE4TyyxtYyKfgiB+lm8rDGRNuB&#10;P+h+9JUIIewSVFB73yVSurImg25mO+LAXW1v0AfYV1L3OIRw08pFFL1Igw2Hhho72tZU3o6fRsF+&#10;2WXng/0eqvb1si/ei3iXx16px+mYrUB4Gv2/+M990GF+/LyI5/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7L9xQAAAN8AAAAPAAAAAAAAAAAAAAAAAJgCAABkcnMv&#10;ZG93bnJldi54bWxQSwUGAAAAAAQABAD1AAAAigMAAAAA&#10;" filled="f" stroked="f">
                  <v:textbox inset="0,0,0,0">
                    <w:txbxContent>
                      <w:p w:rsidR="00EE13F6" w:rsidRDefault="002E5BC4">
                        <w:r>
                          <w:rPr>
                            <w:color w:val="585858"/>
                            <w:sz w:val="11"/>
                          </w:rPr>
                          <w:t>4</w:t>
                        </w:r>
                      </w:p>
                    </w:txbxContent>
                  </v:textbox>
                </v:rect>
                <v:rect id="Rectangle 195293" o:spid="_x0000_s1072" style="position:absolute;left:28623;top:6462;width:236;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JEcQA&#10;AADfAAAADwAAAGRycy9kb3ducmV2LnhtbERPy2rCQBTdC/7DcAvudFLFYqKjiG3RpS9Qd5fMNQlm&#10;7oTM1MR+fUcouDyc92zRmlLcqXaFZQXvgwgEcWp1wZmC4+G7PwHhPLLG0jIpeJCDxbzbmWGibcM7&#10;uu99JkIIuwQV5N5XiZQuzcmgG9iKOHBXWxv0AdaZ1DU2IdyUchhFH9JgwaEhx4pWOaW3/Y9RsJ5U&#10;y/PG/jZZ+XVZn7an+PMQe6V6b+1yCsJT61/if/dGh/nxeBiP4P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iRHEAAAA3wAAAA8AAAAAAAAAAAAAAAAAmAIAAGRycy9k&#10;b3ducmV2LnhtbFBLBQYAAAAABAAEAPUAAACJAwAAAAA=&#10;" filled="f" stroked="f">
                  <v:textbox inset="0,0,0,0">
                    <w:txbxContent>
                      <w:p w:rsidR="00EE13F6" w:rsidRDefault="002E5BC4">
                        <w:r>
                          <w:rPr>
                            <w:color w:val="585858"/>
                            <w:sz w:val="11"/>
                          </w:rPr>
                          <w:t>,</w:t>
                        </w:r>
                      </w:p>
                    </w:txbxContent>
                  </v:textbox>
                </v:rect>
                <v:rect id="Rectangle 195292" o:spid="_x0000_s1073" style="position:absolute;left:28781;top:6462;width:100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isQA&#10;AADfAAAADwAAAGRycy9kb3ducmV2LnhtbERPy2rCQBTdF/yH4Qru6sSAYlJHER/oslXBdnfJ3CbB&#10;zJ2QGU306zsFweXhvGeLzlTiRo0rLSsYDSMQxJnVJecKTsft+xSE88gaK8uk4E4OFvPe2wxTbVv+&#10;otvB5yKEsEtRQeF9nUrpsoIMuqGtiQP3axuDPsAml7rBNoSbSsZRNJEGSw4NBda0Kii7HK5GwW5a&#10;L7/39tHm1eZnd/48J+tj4pUa9LvlBwhPnX+Jn+69DvOTcZzE8P8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LIrEAAAA3wAAAA8AAAAAAAAAAAAAAAAAmAIAAGRycy9k&#10;b3ducmV2LnhtbFBLBQYAAAAABAAEAPUAAACJAwAAAAA=&#10;" filled="f" stroked="f">
                  <v:textbox inset="0,0,0,0">
                    <w:txbxContent>
                      <w:p w:rsidR="00EE13F6" w:rsidRDefault="002E5BC4">
                        <w:r>
                          <w:rPr>
                            <w:color w:val="585858"/>
                            <w:sz w:val="11"/>
                          </w:rPr>
                          <w:t>00</w:t>
                        </w:r>
                      </w:p>
                    </w:txbxContent>
                  </v:textbox>
                </v:rect>
                <v:rect id="Rectangle 195294" o:spid="_x0000_s1074" style="position:absolute;left:32173;top:6462;width:478;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RZcQA&#10;AADfAAAADwAAAGRycy9kb3ducmV2LnhtbERPy2rCQBTdC/7DcAvudFLRYqKjiG3RpS9Qd5fMNQlm&#10;7oTM1MR+fUcouDyc92zRmlLcqXaFZQXvgwgEcWp1wZmC4+G7PwHhPLLG0jIpeJCDxbzbmWGibcM7&#10;uu99JkIIuwQV5N5XiZQuzcmgG9iKOHBXWxv0AdaZ1DU2IdyUchhFH9JgwaEhx4pWOaW3/Y9RsJ5U&#10;y/PG/jZZ+XVZn7an+PMQe6V6b+1yCsJT61/if/dGh/nxeBiP4P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EWXEAAAA3wAAAA8AAAAAAAAAAAAAAAAAmAIAAGRycy9k&#10;b3ducmV2LnhtbFBLBQYAAAAABAAEAPUAAACJAwAAAAA=&#10;" filled="f" stroked="f">
                  <v:textbox inset="0,0,0,0">
                    <w:txbxContent>
                      <w:p w:rsidR="00EE13F6" w:rsidRDefault="002E5BC4">
                        <w:r>
                          <w:rPr>
                            <w:color w:val="585858"/>
                            <w:sz w:val="11"/>
                          </w:rPr>
                          <w:t>5</w:t>
                        </w:r>
                      </w:p>
                    </w:txbxContent>
                  </v:textbox>
                </v:rect>
                <v:rect id="Rectangle 195296" o:spid="_x0000_s1075" style="position:absolute;left:32567;top:6462;width:23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qicMA&#10;AADfAAAADwAAAGRycy9kb3ducmV2LnhtbERPTYvCMBC9C/6HMMLeNFVYsdUo4q7o0VVBvQ3N2Bab&#10;SWmi7e6vNwuCx8f7ni1aU4oH1a6wrGA4iEAQp1YXnCk4Htb9CQjnkTWWlknBLzlYzLudGSbaNvxD&#10;j73PRAhhl6CC3PsqkdKlORl0A1sRB+5qa4M+wDqTusYmhJtSjqJoLA0WHBpyrGiVU3rb342CzaRa&#10;nrf2r8nK78vmtDvFX4fYK/XRa5dTEJ5a/xa/3Fsd5sefo3gM/38C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qicMAAADfAAAADwAAAAAAAAAAAAAAAACYAgAAZHJzL2Rv&#10;d25yZXYueG1sUEsFBgAAAAAEAAQA9QAAAIgDAAAAAA==&#10;" filled="f" stroked="f">
                  <v:textbox inset="0,0,0,0">
                    <w:txbxContent>
                      <w:p w:rsidR="00EE13F6" w:rsidRDefault="002E5BC4">
                        <w:r>
                          <w:rPr>
                            <w:color w:val="585858"/>
                            <w:sz w:val="11"/>
                          </w:rPr>
                          <w:t>,</w:t>
                        </w:r>
                      </w:p>
                    </w:txbxContent>
                  </v:textbox>
                </v:rect>
                <v:rect id="Rectangle 195295" o:spid="_x0000_s1076" style="position:absolute;left:32724;top:6462;width:100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0/sUA&#10;AADfAAAADwAAAGRycy9kb3ducmV2LnhtbERPTWvCQBC9F/oflil4q5sKFhNdQ6iW5Fi1YL0N2WkS&#10;mp0N2a2J/fVdQfD4eN+rdDStOFPvGssKXqYRCOLS6oYrBZ+H9+cFCOeRNbaWScGFHKTrx4cVJtoO&#10;vKPz3lcihLBLUEHtfZdI6cqaDLqp7YgD9217gz7AvpK6xyGEm1bOouhVGmw4NNTY0VtN5c/+1yjI&#10;F132Vdi/oWq3p/z4cYw3h9grNXkasyUIT6O/i2/uQof58XwWz+H6JwC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LT+xQAAAN8AAAAPAAAAAAAAAAAAAAAAAJgCAABkcnMv&#10;ZG93bnJldi54bWxQSwUGAAAAAAQABAD1AAAAigMAAAAA&#10;" filled="f" stroked="f">
                  <v:textbox inset="0,0,0,0">
                    <w:txbxContent>
                      <w:p w:rsidR="00EE13F6" w:rsidRDefault="002E5BC4">
                        <w:r>
                          <w:rPr>
                            <w:color w:val="585858"/>
                            <w:sz w:val="11"/>
                          </w:rPr>
                          <w:t>00</w:t>
                        </w:r>
                      </w:p>
                    </w:txbxContent>
                  </v:textbox>
                </v:rect>
                <v:rect id="Rectangle 195297" o:spid="_x0000_s1077" style="position:absolute;left:36116;top:6462;width:478;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PEsQA&#10;AADfAAAADwAAAGRycy9kb3ducmV2LnhtbERPy2rCQBTdC/7DcAvudFJBa6KjiG3RpS9Qd5fMNQlm&#10;7oTM1MR+fUcouDyc92zRmlLcqXaFZQXvgwgEcWp1wZmC4+G7PwHhPLLG0jIpeJCDxbzbmWGibcM7&#10;uu99JkIIuwQV5N5XiZQuzcmgG9iKOHBXWxv0AdaZ1DU2IdyUchhFY2mw4NCQY0WrnNLb/scoWE+q&#10;5Xljf5us/LqsT9tT/HmIvVK9t3Y5BeGp9S/xv3ujw/x4NIw/4P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jxLEAAAA3wAAAA8AAAAAAAAAAAAAAAAAmAIAAGRycy9k&#10;b3ducmV2LnhtbFBLBQYAAAAABAAEAPUAAACJAwAAAAA=&#10;" filled="f" stroked="f">
                  <v:textbox inset="0,0,0,0">
                    <w:txbxContent>
                      <w:p w:rsidR="00EE13F6" w:rsidRDefault="002E5BC4">
                        <w:r>
                          <w:rPr>
                            <w:color w:val="585858"/>
                            <w:sz w:val="11"/>
                          </w:rPr>
                          <w:t>6</w:t>
                        </w:r>
                      </w:p>
                    </w:txbxContent>
                  </v:textbox>
                </v:rect>
                <v:rect id="Rectangle 195298" o:spid="_x0000_s1078" style="position:absolute;left:36668;top:6462;width:100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bYMQA&#10;AADfAAAADwAAAGRycy9kb3ducmV2LnhtbERPTWvCQBC9C/6HZQRvuqnQYlJXkdaiR6sF9TZkp0lo&#10;djZkVxP7651DocfH+16selerG7Wh8mzgaZqAIs69rbgw8HX8mMxBhYhssfZMBu4UYLUcDhaYWd/x&#10;J90OsVASwiFDA2WMTaZ1yEtyGKa+IRbu27cOo8C20LbFTsJdrWdJ8qIdViwNJTb0VlL+c7g6A9t5&#10;sz7v/G9X1JvL9rQ/pe/HNBozHvXrV1CR+vgv/nPvrMxPn2epDJY/Ak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9G2DEAAAA3wAAAA8AAAAAAAAAAAAAAAAAmAIAAGRycy9k&#10;b3ducmV2LnhtbFBLBQYAAAAABAAEAPUAAACJAwAAAAA=&#10;" filled="f" stroked="f">
                  <v:textbox inset="0,0,0,0">
                    <w:txbxContent>
                      <w:p w:rsidR="00EE13F6" w:rsidRDefault="002E5BC4">
                        <w:r>
                          <w:rPr>
                            <w:color w:val="585858"/>
                            <w:sz w:val="11"/>
                          </w:rPr>
                          <w:t>67</w:t>
                        </w:r>
                      </w:p>
                    </w:txbxContent>
                  </v:textbox>
                </v:rect>
                <v:rect id="Rectangle 195299" o:spid="_x0000_s1079" style="position:absolute;left:36510;top:6462;width:236;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8MA&#10;AADfAAAADwAAAGRycy9kb3ducmV2LnhtbERPXWvCMBR9H/gfwhX2NlMFh6lGEZ3o46aC+nZprm2x&#10;uSlNZrv9+mUg+Hg437NFZytxp8aXjjUMBwkI4syZknMNx8PmbQLCB2SDlWPS8EMeFvPeywxT41r+&#10;ovs+5CKGsE9RQxFCnUrps4Is+oGriSN3dY3FEGGTS9NgG8NtJUdJ8i4tlhwbCqxpVVB2239bDdtJ&#10;vTzv3G+bVx+X7enzpNYHFbR+7XfLKYhAXXiKH+6difPVeKQU/P+JA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8MAAADfAAAADwAAAAAAAAAAAAAAAACYAgAAZHJzL2Rv&#10;d25yZXYueG1sUEsFBgAAAAAEAAQA9QAAAIgDAAAAAA==&#10;" filled="f" stroked="f">
                  <v:textbox inset="0,0,0,0">
                    <w:txbxContent>
                      <w:p w:rsidR="00EE13F6" w:rsidRDefault="002E5BC4">
                        <w:r>
                          <w:rPr>
                            <w:color w:val="585858"/>
                            <w:sz w:val="11"/>
                          </w:rPr>
                          <w:t>,</w:t>
                        </w:r>
                      </w:p>
                    </w:txbxContent>
                  </v:textbox>
                </v:rect>
                <v:rect id="Rectangle 19035" o:spid="_x0000_s1080" style="position:absolute;left:40375;top:6462;width:100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jfsQA&#10;AADeAAAADwAAAGRycy9kb3ducmV2LnhtbERPS2vCQBC+F/oflil4qxsrFRNdRaqix/oA9TZkxySY&#10;nQ3Z1aT+ercgeJuP7znjaWtKcaPaFZYV9LoRCOLU6oIzBfvd8nMIwnlkjaVlUvBHDqaT97cxJto2&#10;vKHb1mcihLBLUEHufZVI6dKcDLqurYgDd7a1QR9gnUldYxPCTSm/omggDRYcGnKs6Cen9LK9GgWr&#10;YTU7ru29ycrFaXX4PcTzXeyV6ny0sxEIT61/iZ/utQ7z46j/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lo37EAAAA3gAAAA8AAAAAAAAAAAAAAAAAmAIAAGRycy9k&#10;b3ducmV2LnhtbFBLBQYAAAAABAAEAPUAAACJAwAAAAA=&#10;" filled="f" stroked="f">
                  <v:textbox inset="0,0,0,0">
                    <w:txbxContent>
                      <w:p w:rsidR="00EE13F6" w:rsidRDefault="002E5BC4">
                        <w:r>
                          <w:rPr>
                            <w:color w:val="585858"/>
                            <w:sz w:val="11"/>
                          </w:rPr>
                          <w:t>10</w:t>
                        </w:r>
                      </w:p>
                    </w:txbxContent>
                  </v:textbox>
                </v:rect>
                <v:rect id="Rectangle 19036" o:spid="_x0000_s1081" style="position:absolute;left:19517;top:28782;width:9215;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9CcQA&#10;AADeAAAADwAAAGRycy9kb3ducmV2LnhtbERPS4vCMBC+C/sfwix401QFsdUosuuiRx8L6m1oxrbY&#10;TEqTtdVfbwRhb/PxPWe2aE0pblS7wrKCQT8CQZxaXXCm4Pfw05uAcB5ZY2mZFNzJwWL+0Zlhom3D&#10;O7rtfSZCCLsEFeTeV4mULs3JoOvbijhwF1sb9AHWmdQ1NiHclHIYRWNpsODQkGNFXzml1/2fUbCe&#10;VMvTxj6arFyd18ftMf4+xF6p7me7nILw1Pp/8du90WF+HI3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3PQnEAAAA3gAAAA8AAAAAAAAAAAAAAAAAmAIAAGRycy9k&#10;b3ducmV2LnhtbFBLBQYAAAAABAAEAPUAAACJAwAAAAA=&#10;" filled="f" stroked="f">
                  <v:textbox inset="0,0,0,0">
                    <w:txbxContent>
                      <w:p w:rsidR="00EE13F6" w:rsidRDefault="002E5BC4">
                        <w:r>
                          <w:rPr>
                            <w:b/>
                            <w:color w:val="585858"/>
                            <w:sz w:val="18"/>
                          </w:rPr>
                          <w:t>Firms'</w:t>
                        </w:r>
                        <w:r>
                          <w:rPr>
                            <w:b/>
                            <w:color w:val="585858"/>
                            <w:sz w:val="18"/>
                          </w:rPr>
                          <w:tab/>
                          <w:t>leverage</w:t>
                        </w:r>
                      </w:p>
                    </w:txbxContent>
                  </v:textbox>
                </v:rect>
                <v:rect id="Rectangle 19037" o:spid="_x0000_s1082" style="position:absolute;left:5413;top:666;width:53596;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YksQA&#10;AADeAAAADwAAAGRycy9kb3ducmV2LnhtbERPS2vCQBC+F/oflil4qxsrVBNdRaqix/oA9TZkxySY&#10;nQ3Z1aT+ercgeJuP7znjaWtKcaPaFZYV9LoRCOLU6oIzBfvd8nMIwnlkjaVlUvBHDqaT97cxJto2&#10;vKHb1mcihLBLUEHufZVI6dKcDLqurYgDd7a1QR9gnUldYxPCTSm/ouhbGiw4NORY0U9O6WV7NQpW&#10;w2p2XNt7k5WL0+rwe4jnu9gr1floZyMQnlr/Ej/dax3mx1F/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7mJLEAAAA3gAAAA8AAAAAAAAAAAAAAAAAmAIAAGRycy9k&#10;b3ducmV2LnhtbFBLBQYAAAAABAAEAPUAAACJAwAAAAA=&#10;" filled="f" stroked="f">
                  <v:textbox inset="0,0,0,0">
                    <w:txbxContent>
                      <w:p w:rsidR="00EE13F6" w:rsidRDefault="002E5BC4">
                        <w:r>
                          <w:rPr>
                            <w:b/>
                            <w:color w:val="585858"/>
                            <w:sz w:val="18"/>
                          </w:rPr>
                          <w:t>Short</w:t>
                        </w:r>
                        <w:r>
                          <w:rPr>
                            <w:b/>
                            <w:color w:val="585858"/>
                            <w:sz w:val="18"/>
                          </w:rPr>
                          <w:tab/>
                          <w:t>term</w:t>
                        </w:r>
                        <w:r>
                          <w:rPr>
                            <w:b/>
                            <w:color w:val="585858"/>
                            <w:sz w:val="18"/>
                          </w:rPr>
                          <w:tab/>
                          <w:t>Equity</w:t>
                        </w:r>
                        <w:r>
                          <w:rPr>
                            <w:b/>
                            <w:color w:val="585858"/>
                            <w:sz w:val="18"/>
                          </w:rPr>
                          <w:tab/>
                          <w:t>price</w:t>
                        </w:r>
                        <w:r>
                          <w:rPr>
                            <w:b/>
                            <w:color w:val="585858"/>
                            <w:sz w:val="18"/>
                          </w:rPr>
                          <w:tab/>
                          <w:t>variation</w:t>
                        </w:r>
                        <w:r>
                          <w:rPr>
                            <w:b/>
                            <w:color w:val="585858"/>
                            <w:sz w:val="18"/>
                          </w:rPr>
                          <w:tab/>
                          <w:t>following</w:t>
                        </w:r>
                        <w:r>
                          <w:rPr>
                            <w:b/>
                            <w:color w:val="585858"/>
                            <w:sz w:val="18"/>
                          </w:rPr>
                          <w:tab/>
                          <w:t>the</w:t>
                        </w:r>
                        <w:r>
                          <w:rPr>
                            <w:b/>
                            <w:color w:val="585858"/>
                            <w:sz w:val="18"/>
                          </w:rPr>
                          <w:tab/>
                          <w:t>Introduction</w:t>
                        </w:r>
                        <w:r>
                          <w:rPr>
                            <w:b/>
                            <w:color w:val="585858"/>
                            <w:sz w:val="18"/>
                          </w:rPr>
                          <w:tab/>
                          <w:t>of</w:t>
                        </w:r>
                        <w:r>
                          <w:rPr>
                            <w:b/>
                            <w:color w:val="585858"/>
                            <w:sz w:val="18"/>
                          </w:rPr>
                          <w:tab/>
                          <w:t>the</w:t>
                        </w:r>
                        <w:r>
                          <w:rPr>
                            <w:b/>
                            <w:color w:val="585858"/>
                            <w:sz w:val="18"/>
                          </w:rPr>
                          <w:tab/>
                          <w:t>FTT</w:t>
                        </w:r>
                        <w:r>
                          <w:rPr>
                            <w:b/>
                            <w:color w:val="585858"/>
                            <w:sz w:val="18"/>
                          </w:rPr>
                          <w:tab/>
                          <w:t>for</w:t>
                        </w:r>
                        <w:r>
                          <w:rPr>
                            <w:b/>
                            <w:color w:val="585858"/>
                            <w:sz w:val="18"/>
                          </w:rPr>
                          <w:tab/>
                          <w:t>a</w:t>
                        </w:r>
                        <w:r>
                          <w:rPr>
                            <w:b/>
                            <w:color w:val="585858"/>
                            <w:sz w:val="18"/>
                          </w:rPr>
                          <w:tab/>
                          <w:t>firm</w:t>
                        </w:r>
                        <w:r>
                          <w:rPr>
                            <w:b/>
                            <w:color w:val="585858"/>
                            <w:sz w:val="18"/>
                          </w:rPr>
                          <w:tab/>
                          <w:t>funded</w:t>
                        </w:r>
                        <w:r>
                          <w:rPr>
                            <w:b/>
                            <w:color w:val="585858"/>
                            <w:sz w:val="18"/>
                          </w:rPr>
                          <w:tab/>
                        </w:r>
                      </w:p>
                    </w:txbxContent>
                  </v:textbox>
                </v:rect>
                <v:rect id="Rectangle 19038" o:spid="_x0000_s1083" style="position:absolute;left:5886;top:2015;width:52356;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M4McA&#10;AADeAAAADwAAAGRycy9kb3ducmV2LnhtbESPQWvCQBCF74L/YZlCb7pphWJSVxGr6NGqoL0N2WkS&#10;mp0N2dWk/fXOoeBthvfmvW9mi97V6kZtqDwbeBknoIhzbysuDJyOm9EUVIjIFmvPZOCXAizmw8EM&#10;M+s7/qTbIRZKQjhkaKCMscm0DnlJDsPYN8SiffvWYZS1LbRtsZNwV+vXJHnTDiuWhhIbWpWU/xyu&#10;zsB22iwvO//XFfX6a3ven9OPYxqNeX7ql++gIvXxYf6/3lnBT5O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kDODHAAAA3gAAAA8AAAAAAAAAAAAAAAAAmAIAAGRy&#10;cy9kb3ducmV2LnhtbFBLBQYAAAAABAAEAPUAAACMAwAAAAA=&#10;" filled="f" stroked="f">
                  <v:textbox inset="0,0,0,0">
                    <w:txbxContent>
                      <w:p w:rsidR="00EE13F6" w:rsidRDefault="002E5BC4">
                        <w:r>
                          <w:rPr>
                            <w:b/>
                            <w:color w:val="585858"/>
                            <w:sz w:val="18"/>
                          </w:rPr>
                          <w:t>through</w:t>
                        </w:r>
                        <w:r>
                          <w:rPr>
                            <w:b/>
                            <w:color w:val="585858"/>
                            <w:sz w:val="18"/>
                          </w:rPr>
                          <w:tab/>
                          <w:t>fixed</w:t>
                        </w:r>
                        <w:r>
                          <w:rPr>
                            <w:b/>
                            <w:color w:val="585858"/>
                            <w:sz w:val="18"/>
                          </w:rPr>
                          <w:tab/>
                          <w:t>term</w:t>
                        </w:r>
                        <w:r>
                          <w:rPr>
                            <w:b/>
                            <w:color w:val="585858"/>
                            <w:sz w:val="18"/>
                          </w:rPr>
                          <w:tab/>
                          <w:t>debt</w:t>
                        </w:r>
                        <w:r>
                          <w:rPr>
                            <w:b/>
                            <w:color w:val="585858"/>
                            <w:sz w:val="18"/>
                          </w:rPr>
                          <w:tab/>
                          <w:t>maturity</w:t>
                        </w:r>
                        <w:r>
                          <w:rPr>
                            <w:b/>
                            <w:color w:val="585858"/>
                            <w:sz w:val="18"/>
                          </w:rPr>
                          <w:tab/>
                          <w:t>and</w:t>
                        </w:r>
                        <w:r>
                          <w:rPr>
                            <w:b/>
                            <w:color w:val="585858"/>
                            <w:sz w:val="18"/>
                          </w:rPr>
                          <w:tab/>
                          <w:t>equity(T=5</w:t>
                        </w:r>
                        <w:r>
                          <w:rPr>
                            <w:b/>
                            <w:color w:val="585858"/>
                            <w:sz w:val="18"/>
                          </w:rPr>
                          <w:tab/>
                          <w:t>years;ROA=3%;r=1%;sigma=20%;Tax</w:t>
                        </w:r>
                        <w:r>
                          <w:rPr>
                            <w:b/>
                            <w:color w:val="585858"/>
                            <w:sz w:val="18"/>
                          </w:rPr>
                          <w:tab/>
                        </w:r>
                      </w:p>
                    </w:txbxContent>
                  </v:textbox>
                </v:rect>
                <v:rect id="Rectangle 19039" o:spid="_x0000_s1084" style="position:absolute;left:17376;top:3444;width:21496;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pe8QA&#10;AADeAAAADwAAAGRycy9kb3ducmV2LnhtbERPS4vCMBC+L/gfwgh7W1MVxFajiK7ocX2AehuasS02&#10;k9JkbddfvxEEb/PxPWc6b00p7lS7wrKCfi8CQZxaXXCm4HhYf41BOI+ssbRMCv7IwXzW+Zhiom3D&#10;O7rvfSZCCLsEFeTeV4mULs3JoOvZijhwV1sb9AHWmdQ1NiHclHIQRSNpsODQkGNFy5zS2/7XKNiM&#10;q8V5ax9NVn5fNqefU7w6xF6pz267mIDw1Pq3+OXe6jA/joY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oqXvEAAAA3gAAAA8AAAAAAAAAAAAAAAAAmAIAAGRycy9k&#10;b3ducmV2LnhtbFBLBQYAAAAABAAEAPUAAACJAwAAAAA=&#10;" filled="f" stroked="f">
                  <v:textbox inset="0,0,0,0">
                    <w:txbxContent>
                      <w:p w:rsidR="00EE13F6" w:rsidRDefault="002E5BC4">
                        <w:r>
                          <w:rPr>
                            <w:b/>
                            <w:color w:val="585858"/>
                            <w:sz w:val="18"/>
                          </w:rPr>
                          <w:t>rate=35%;FTT</w:t>
                        </w:r>
                        <w:r>
                          <w:rPr>
                            <w:b/>
                            <w:color w:val="585858"/>
                            <w:sz w:val="18"/>
                          </w:rPr>
                          <w:tab/>
                          <w:t>roundtrip</w:t>
                        </w:r>
                        <w:r>
                          <w:rPr>
                            <w:b/>
                            <w:color w:val="585858"/>
                            <w:sz w:val="18"/>
                          </w:rPr>
                          <w:tab/>
                          <w:t>rate=0,2%)</w:t>
                        </w:r>
                      </w:p>
                    </w:txbxContent>
                  </v:textbox>
                </v:rect>
                <v:shape id="Shape 19040" o:spid="_x0000_s1085" style="position:absolute;left:44224;top:15122;width:1496;height:0;visibility:visible;mso-wrap-style:square;v-text-anchor:top" coordsize="149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asgA&#10;AADeAAAADwAAAGRycy9kb3ducmV2LnhtbESPQU8CMRCF7yb+h2ZMvEmrQQILhRAIiR48uBAjt2Y7&#10;bDdup+t2hPXfOwcTbjOZN++9b7EaYqvO2OcmkYXHkQGFVCXfUG3hsN89TEFlduRdmwgt/GKG1fL2&#10;ZuEKny70jueSayUmlAtnITB3hda5ChhdHqUOSW6n1EfHsva19r27iHls9ZMxEx1dQ5IQXIebgNVX&#10;+RMtfB9KCuaDd9sxH1+3k+fZ5/HNW3t/N6znoBgHvor/v1+81J+Zs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8+NqyAAAAN4AAAAPAAAAAAAAAAAAAAAAAJgCAABk&#10;cnMvZG93bnJldi54bWxQSwUGAAAAAAQABAD1AAAAjQMAAAAA&#10;" path="m,l149539,1e" filled="f" strokecolor="#5e5e5e" strokeweight=".43725mm">
                  <v:stroke endcap="round"/>
                  <v:path arrowok="t" textboxrect="0,0,149539,1"/>
                </v:shape>
                <v:rect id="Rectangle 19041" o:spid="_x0000_s1086" style="position:absolute;left:45853;top:14731;width:4023;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AMUA&#10;AADeAAAADwAAAGRycy9kb3ducmV2LnhtbERPTWvCQBC9F/oflil4azZKEROzitSWeKxasL0N2TEJ&#10;zc6G7DaJ/vquIPQ2j/c52Xo0jeipc7VlBdMoBkFcWF1zqeDz+P68AOE8ssbGMim4kIP16vEhw1Tb&#10;gffUH3wpQgi7FBVU3replK6oyKCLbEscuLPtDPoAu1LqDocQbho5i+O5NFhzaKiwpdeKip/Dr1GQ&#10;L9rN185eh7J5+85PH6dke0y8UpOncbME4Wn0/+K7e6fD/CR+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NYAxQAAAN4AAAAPAAAAAAAAAAAAAAAAAJgCAABkcnMv&#10;ZG93bnJldi54bWxQSwUGAAAAAAQABAD1AAAAigMAAAAA&#10;" filled="f" stroked="f">
                  <v:textbox inset="0,0,0,0">
                    <w:txbxContent>
                      <w:p w:rsidR="00EE13F6" w:rsidRDefault="002E5BC4">
                        <w:r>
                          <w:rPr>
                            <w:color w:val="585858"/>
                            <w:sz w:val="11"/>
                          </w:rPr>
                          <w:t>spread</w:t>
                        </w:r>
                        <w:r>
                          <w:rPr>
                            <w:color w:val="585858"/>
                            <w:sz w:val="11"/>
                          </w:rPr>
                          <w:tab/>
                          <w:t>1%</w:t>
                        </w:r>
                      </w:p>
                    </w:txbxContent>
                  </v:textbox>
                </v:rect>
                <v:shape id="Shape 19042" o:spid="_x0000_s1087" style="position:absolute;left:44224;top:16630;width:1496;height:0;visibility:visible;mso-wrap-style:square;v-text-anchor:top" coordsize="149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3RMMA&#10;AADeAAAADwAAAGRycy9kb3ducmV2LnhtbERPzWoCMRC+C75DGKEX0URri65GKWJB8LTqAwybcTe6&#10;mSybVNe3bwoFb/Px/c5q07la3KkN1rOGyViBIC68sVxqOJ++R3MQISIbrD2ThicF2Kz7vRVmxj84&#10;p/sxliKFcMhQQxVjk0kZioochrFviBN38a3DmGBbStPiI4W7Wk6V+pQOLaeGChvaVlTcjj9Ow/aQ&#10;W/n+ke+GcX892ac6H7pmp/XboPtagojUxZf43703af5Czabw906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23RMMAAADeAAAADwAAAAAAAAAAAAAAAACYAgAAZHJzL2Rv&#10;d25yZXYueG1sUEsFBgAAAAAEAAQA9QAAAIgDAAAAAA==&#10;" path="m,l149539,1e" filled="f" strokecolor="#b3b3b3" strokeweight=".43725mm">
                  <v:stroke endcap="round"/>
                  <v:path arrowok="t" textboxrect="0,0,149539,1"/>
                </v:shape>
                <v:rect id="Rectangle 19043" o:spid="_x0000_s1088" style="position:absolute;left:45853;top:16229;width:496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t7MQA&#10;AADeAAAADwAAAGRycy9kb3ducmV2LnhtbERPS2vCQBC+F/oflil4qxtrERNdRaqix/oA9TZkxySY&#10;nQ3Z1aT+ercgeJuP7znjaWtKcaPaFZYV9LoRCOLU6oIzBfvd8nMIwnlkjaVlUvBHDqaT97cxJto2&#10;vKHb1mcihLBLUEHufZVI6dKcDLqurYgDd7a1QR9gnUldYxPCTSm/omggDRYcGnKs6Cen9LK9GgWr&#10;YTU7ru29ycrFaXX4PcTzXeyV6ny0sxEIT61/iZ/utQ7z4+i7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G7ezEAAAA3gAAAA8AAAAAAAAAAAAAAAAAmAIAAGRycy9k&#10;b3ducmV2LnhtbFBLBQYAAAAABAAEAPUAAACJAwAAAAA=&#10;" filled="f" stroked="f">
                  <v:textbox inset="0,0,0,0">
                    <w:txbxContent>
                      <w:p w:rsidR="00EE13F6" w:rsidRDefault="002E5BC4">
                        <w:r>
                          <w:rPr>
                            <w:color w:val="585858"/>
                            <w:sz w:val="11"/>
                          </w:rPr>
                          <w:t>spread</w:t>
                        </w:r>
                        <w:r>
                          <w:rPr>
                            <w:color w:val="585858"/>
                            <w:sz w:val="11"/>
                          </w:rPr>
                          <w:tab/>
                        </w:r>
                        <w:r>
                          <w:rPr>
                            <w:color w:val="585858"/>
                            <w:sz w:val="11"/>
                          </w:rPr>
                          <w:tab/>
                          <w:t>1.5%</w:t>
                        </w:r>
                      </w:p>
                    </w:txbxContent>
                  </v:textbox>
                </v:rect>
                <v:shape id="Shape 19044" o:spid="_x0000_s1089" style="position:absolute;left:44224;top:18139;width:1496;height:0;visibility:visible;mso-wrap-style:square;v-text-anchor:top" coordsize="149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M0sUA&#10;AADeAAAADwAAAGRycy9kb3ducmV2LnhtbERPTWsCMRC9F/ofwhR6q4llKe3WKCoUZMGDsRdv0824&#10;Wd1Mlk2q679vCoXe5vE+Z7YYfScuNMQ2sIbpRIEgroNtudHwuf94egURE7LFLjBpuFGExfz+boal&#10;DVfe0cWkRuQQjiVqcCn1pZSxduQxTkJPnLljGDymDIdG2gGvOdx38lmpF+mx5dzgsKe1o/psvr2G&#10;qqnIrE5bsz2ozaHYVbfplzNaPz6My3cQicb0L/5zb2ye/6aKAn7fy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zSxQAAAN4AAAAPAAAAAAAAAAAAAAAAAJgCAABkcnMv&#10;ZG93bnJldi54bWxQSwUGAAAAAAQABAD1AAAAigMAAAAA&#10;" path="m,l149539,1e" filled="f" strokecolor="#898989" strokeweight=".43725mm">
                  <v:stroke endcap="round"/>
                  <v:path arrowok="t" textboxrect="0,0,149539,1"/>
                </v:shape>
                <v:rect id="Rectangle 19045" o:spid="_x0000_s1090" style="position:absolute;left:45853;top:17728;width:4023;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QA8QA&#10;AADeAAAADwAAAGRycy9kb3ducmV2LnhtbERPS2vCQBC+F/oflil4qxuLFRNdRaqix/oA9TZkxySY&#10;nQ3Z1aT+ercgeJuP7znjaWtKcaPaFZYV9LoRCOLU6oIzBfvd8nMIwnlkjaVlUvBHDqaT97cxJto2&#10;vKHb1mcihLBLUEHufZVI6dKcDLqurYgDd7a1QR9gnUldYxPCTSm/omggDRYcGnKs6Cen9LK9GgWr&#10;YTU7ru29ycrFaXX4PcTzXeyV6ny0sxEIT61/iZ/utQ7z46j/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j0APEAAAA3gAAAA8AAAAAAAAAAAAAAAAAmAIAAGRycy9k&#10;b3ducmV2LnhtbFBLBQYAAAAABAAEAPUAAACJAwAAAAA=&#10;" filled="f" stroked="f">
                  <v:textbox inset="0,0,0,0">
                    <w:txbxContent>
                      <w:p w:rsidR="00EE13F6" w:rsidRDefault="002E5BC4">
                        <w:r>
                          <w:rPr>
                            <w:color w:val="585858"/>
                            <w:sz w:val="11"/>
                          </w:rPr>
                          <w:t>spread</w:t>
                        </w:r>
                        <w:r>
                          <w:rPr>
                            <w:color w:val="585858"/>
                            <w:sz w:val="11"/>
                          </w:rPr>
                          <w:tab/>
                          <w:t>2%</w:t>
                        </w:r>
                      </w:p>
                    </w:txbxContent>
                  </v:textbox>
                </v:rect>
                <v:shape id="Shape 19046" o:spid="_x0000_s1091" style="position:absolute;left:44224;top:19647;width:1496;height:0;visibility:visible;mso-wrap-style:square;v-text-anchor:top" coordsize="149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42gsQA&#10;AADeAAAADwAAAGRycy9kb3ducmV2LnhtbERPzWrCQBC+C77DMkJvdaOWmKZuQiqUCj0ZfYBpdpoE&#10;s7Mxu43p23cLBW/z8f3OLp9MJ0YaXGtZwWoZgSCurG65VnA+vT0mIJxH1thZJgU/5CDP5rMdptre&#10;+Ehj6WsRQtilqKDxvk+ldFVDBt3S9sSB+7KDQR/gUEs94C2Em06uoyiWBlsODQ32tG+oupTfRsHn&#10;4UruAzdxud1U7+NrkUzFPlHqYTEVLyA8Tf4u/ncfdJj/HD3F8PdOu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oLEAAAA3gAAAA8AAAAAAAAAAAAAAAAAmAIAAGRycy9k&#10;b3ducmV2LnhtbFBLBQYAAAAABAAEAPUAAACJAwAAAAA=&#10;" path="m,l149539,1e" filled="f" strokecolor="#212121" strokeweight=".43725mm">
                  <v:stroke endcap="round"/>
                  <v:path arrowok="t" textboxrect="0,0,149539,1"/>
                </v:shape>
                <v:rect id="Rectangle 19047" o:spid="_x0000_s1092" style="position:absolute;left:45853;top:19226;width:4756;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r78QA&#10;AADeAAAADwAAAGRycy9kb3ducmV2LnhtbERPS2vCQBC+F/oflil4qxuLVBNdRaqix/oA9TZkxySY&#10;nQ3Z1aT+ercgeJuP7znjaWtKcaPaFZYV9LoRCOLU6oIzBfvd8nMIwnlkjaVlUvBHDqaT97cxJto2&#10;vKHb1mcihLBLUEHufZVI6dKcDLqurYgDd7a1QR9gnUldYxPCTSm/ouhbGiw4NORY0U9O6WV7NQpW&#10;w2p2XNt7k5WL0+rwe4jnu9gr1floZyMQnlr/Ej/dax3mx1F/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96+/EAAAA3gAAAA8AAAAAAAAAAAAAAAAAmAIAAGRycy9k&#10;b3ducmV2LnhtbFBLBQYAAAAABAAEAPUAAACJAwAAAAA=&#10;" filled="f" stroked="f">
                  <v:textbox inset="0,0,0,0">
                    <w:txbxContent>
                      <w:p w:rsidR="00EE13F6" w:rsidRDefault="002E5BC4">
                        <w:r>
                          <w:rPr>
                            <w:color w:val="585858"/>
                            <w:sz w:val="11"/>
                          </w:rPr>
                          <w:t>spread</w:t>
                        </w:r>
                        <w:r>
                          <w:rPr>
                            <w:color w:val="585858"/>
                            <w:sz w:val="11"/>
                          </w:rPr>
                          <w:tab/>
                          <w:t>2.5%</w:t>
                        </w:r>
                      </w:p>
                    </w:txbxContent>
                  </v:textbox>
                </v:rect>
                <v:shape id="Shape 19048" o:spid="_x0000_s1093" style="position:absolute;left:44224;top:21155;width:1496;height:0;visibility:visible;mso-wrap-style:square;v-text-anchor:top" coordsize="149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GjcYA&#10;AADeAAAADwAAAGRycy9kb3ducmV2LnhtbESPQWvCQBCF7wX/wzIFb3UTEampqxShxYOFVgWvQ3bM&#10;pmZnQ3aN8d93DkJvM7w3732zXA++UT11sQ5sIJ9koIjLYGuuDBwPHy+voGJCttgEJgN3irBejZ6W&#10;WNhw4x/q96lSEsKxQAMupbbQOpaOPMZJaIlFO4fOY5K1q7Tt8CbhvtHTLJtrjzVLg8OWNo7Ky/7q&#10;DXx9u0N+2qHrL9Xx153t55Dz1Jjx8/D+BirRkP7Nj+utFfxFNhNeeUd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jGjcYAAADeAAAADwAAAAAAAAAAAAAAAACYAgAAZHJz&#10;L2Rvd25yZXYueG1sUEsFBgAAAAAEAAQA9QAAAIsDAAAAAA==&#10;" path="m,l149539,1e" filled="f" strokecolor="#dadada" strokeweight=".43725mm">
                  <v:stroke endcap="round"/>
                  <v:path arrowok="t" textboxrect="0,0,149539,1"/>
                </v:shape>
                <v:rect id="Rectangle 19049" o:spid="_x0000_s1094" style="position:absolute;left:45853;top:20724;width:4023;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aBsQA&#10;AADeAAAADwAAAGRycy9kb3ducmV2LnhtbERPS4vCMBC+L/gfwgh7W1NFxFajiK7ocX2AehuasS02&#10;k9JkbddfvxEEb/PxPWc6b00p7lS7wrKCfi8CQZxaXXCm4HhYf41BOI+ssbRMCv7IwXzW+Zhiom3D&#10;O7rvfSZCCLsEFeTeV4mULs3JoOvZijhwV1sb9AHWmdQ1NiHclHIQRSNpsODQkGNFy5zS2/7XKNiM&#10;q8V5ax9NVn5fNqefU7w6xF6pz267mIDw1Pq3+OXe6jA/joY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u2gbEAAAA3gAAAA8AAAAAAAAAAAAAAAAAmAIAAGRycy9k&#10;b3ducmV2LnhtbFBLBQYAAAAABAAEAPUAAACJAwAAAAA=&#10;" filled="f" stroked="f">
                  <v:textbox inset="0,0,0,0">
                    <w:txbxContent>
                      <w:p w:rsidR="00EE13F6" w:rsidRDefault="002E5BC4">
                        <w:r>
                          <w:rPr>
                            <w:color w:val="585858"/>
                            <w:sz w:val="11"/>
                          </w:rPr>
                          <w:t>spread</w:t>
                        </w:r>
                        <w:r>
                          <w:rPr>
                            <w:color w:val="585858"/>
                            <w:sz w:val="11"/>
                          </w:rPr>
                          <w:tab/>
                          <w:t>3%</w:t>
                        </w:r>
                      </w:p>
                    </w:txbxContent>
                  </v:textbox>
                </v:rect>
                <v:shape id="Shape 19050" o:spid="_x0000_s1095" style="position:absolute;width:50560;height:31276;visibility:visible;mso-wrap-style:square;v-text-anchor:top" coordsize="5056039,3127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CK8YA&#10;AADeAAAADwAAAGRycy9kb3ducmV2LnhtbESPT0vDQBDF74LfYRnBm90oKG3sthTBPyfFNPQ8ZqdJ&#10;aHY27Gzb9Ns7B8HbDPPmvfdbrqcwmBMl6SM7uJ8VYIib6HtuHdTb17s5GMnIHofI5OBCAuvV9dUS&#10;Sx/P/E2nKrdGTVhKdNDlPJbWStNRQJnFkVhv+5gCZl1Ta33Cs5qHwT4UxZMN2LMmdDjSS0fNoToG&#10;B3PZfdXHdoH7n9349lnV8n5J4tztzbR5BpNpyv/iv+8Pr/UXxaMCKI7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xCK8YAAADeAAAADwAAAAAAAAAAAAAAAACYAgAAZHJz&#10;L2Rvd25yZXYueG1sUEsFBgAAAAAEAAQA9QAAAIsDAAAAAA==&#10;" path="m,l5056039,r,3127698l,3127698e" filled="f" strokecolor="#d9d9d9" strokeweight=".21861mm">
                  <v:path arrowok="t" textboxrect="0,0,5056039,3127698"/>
                </v:shape>
                <v:rect id="Rectangle 19051" o:spid="_x0000_s1096" style="position:absolute;left:1740;top:16499;width:3295;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A3cUA&#10;AADeAAAADwAAAGRycy9kb3ducmV2LnhtbERPTWvCQBC9F/oflil4azYKFROzitSWeKxasL0N2TEJ&#10;zc6G7DaJ/vquIPQ2j/c52Xo0jeipc7VlBdMoBkFcWF1zqeDz+P68AOE8ssbGMim4kIP16vEhw1Tb&#10;gffUH3wpQgi7FBVU3replK6oyKCLbEscuLPtDPoAu1LqDocQbho5i+O5NFhzaKiwpdeKip/Dr1GQ&#10;L9rN185eh7J5+85PH6dke0y8UpOncbME4Wn0/+K7e6fD/CR+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UDdxQAAAN4AAAAPAAAAAAAAAAAAAAAAAJgCAABkcnMv&#10;ZG93bnJldi54bWxQSwUGAAAAAAQABAD1AAAAigMAAAAA&#10;" filled="f" stroked="f">
                  <v:textbox inset="0,0,0,0">
                    <w:txbxContent>
                      <w:p w:rsidR="00EE13F6" w:rsidRDefault="002E5BC4">
                        <w:r>
                          <w:rPr>
                            <w:b/>
                            <w:sz w:val="14"/>
                          </w:rPr>
                          <w:t>Equity</w:t>
                        </w:r>
                        <w:r>
                          <w:rPr>
                            <w:b/>
                            <w:sz w:val="14"/>
                          </w:rPr>
                          <w:tab/>
                        </w:r>
                      </w:p>
                    </w:txbxContent>
                  </v:textbox>
                </v:rect>
                <v:rect id="Rectangle 19052" o:spid="_x0000_s1097" style="position:absolute;left:1267;top:17531;width:4281;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eqsQA&#10;AADeAAAADwAAAGRycy9kb3ducmV2LnhtbERPS4vCMBC+C/sfwix401RhxVajyK6LHn0sqLehGdti&#10;MylNtNVfbwRhb/PxPWc6b00pblS7wrKCQT8CQZxaXXCm4G//2xuDcB5ZY2mZFNzJwXz20Zliom3D&#10;W7rtfCZCCLsEFeTeV4mULs3JoOvbijhwZ1sb9AHWmdQ1NiHclHIYRSNpsODQkGNF3zmll93VKFiN&#10;q8VxbR9NVi5Pq8PmEP/sY69U97NdTEB4av2/+O1e6zA/jr6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T3qrEAAAA3gAAAA8AAAAAAAAAAAAAAAAAmAIAAGRycy9k&#10;b3ducmV2LnhtbFBLBQYAAAAABAAEAPUAAACJAwAAAAA=&#10;" filled="f" stroked="f">
                  <v:textbox inset="0,0,0,0">
                    <w:txbxContent>
                      <w:p w:rsidR="00EE13F6" w:rsidRDefault="002E5BC4">
                        <w:r>
                          <w:rPr>
                            <w:b/>
                            <w:sz w:val="14"/>
                          </w:rPr>
                          <w:t>variation</w:t>
                        </w:r>
                      </w:p>
                    </w:txbxContent>
                  </v:textbox>
                </v:rect>
                <v:rect id="Rectangle 19054" o:spid="_x0000_s1098" style="position:absolute;left:2212;top:18563;width:1991;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jRcQA&#10;AADeAAAADwAAAGRycy9kb3ducmV2LnhtbERPS2vCQBC+F/oflil4qxuLFRNdRaqix/oA9TZkxySY&#10;nQ3Z1aT+ercgeJuP7znjaWtKcaPaFZYV9LoRCOLU6oIzBfvd8nMIwnlkjaVlUvBHDqaT97cxJto2&#10;vKHb1mcihLBLUEHufZVI6dKcDLqurYgDd7a1QR9gnUldYxPCTSm/omggDRYcGnKs6Cen9LK9GgWr&#10;YTU7ru29ycrFaXX4PcTzXeyV6ny0sxEIT61/iZ/utQ7z4+i7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240XEAAAA3gAAAA8AAAAAAAAAAAAAAAAAmAIAAGRycy9k&#10;b3ducmV2LnhtbFBLBQYAAAAABAAEAPUAAACJAwAAAAA=&#10;" filled="f" stroked="f">
                  <v:textbox inset="0,0,0,0">
                    <w:txbxContent>
                      <w:p w:rsidR="00EE13F6" w:rsidRDefault="002E5BC4">
                        <w:r>
                          <w:rPr>
                            <w:b/>
                            <w:sz w:val="14"/>
                          </w:rPr>
                          <w:t>in</w:t>
                        </w:r>
                        <w:r>
                          <w:rPr>
                            <w:b/>
                            <w:sz w:val="14"/>
                          </w:rPr>
                          <w:tab/>
                          <w:t>%</w:t>
                        </w:r>
                      </w:p>
                    </w:txbxContent>
                  </v:textbox>
                </v:rect>
                <w10:anchorlock/>
              </v:group>
            </w:pict>
          </mc:Fallback>
        </mc:AlternateContent>
      </w:r>
    </w:p>
    <w:p w:rsidR="00EE13F6" w:rsidRDefault="002E5BC4">
      <w:pPr>
        <w:spacing w:after="0"/>
        <w:ind w:left="227"/>
        <w:jc w:val="center"/>
      </w:pPr>
      <w:r>
        <w:rPr>
          <w:rFonts w:ascii="Arial" w:eastAsia="Arial" w:hAnsi="Arial" w:cs="Arial"/>
          <w:b/>
          <w:sz w:val="16"/>
        </w:rPr>
        <w:t xml:space="preserve"> </w:t>
      </w:r>
    </w:p>
    <w:p w:rsidR="00EE13F6" w:rsidRDefault="002E5BC4">
      <w:pPr>
        <w:spacing w:after="0"/>
        <w:ind w:left="879"/>
      </w:pPr>
      <w:r>
        <w:rPr>
          <w:noProof/>
        </w:rPr>
        <mc:AlternateContent>
          <mc:Choice Requires="wpg">
            <w:drawing>
              <wp:inline distT="0" distB="0" distL="0" distR="0">
                <wp:extent cx="4970843" cy="2887076"/>
                <wp:effectExtent l="0" t="0" r="0" b="0"/>
                <wp:docPr id="195557" name="Group 195557"/>
                <wp:cNvGraphicFramePr/>
                <a:graphic xmlns:a="http://schemas.openxmlformats.org/drawingml/2006/main">
                  <a:graphicData uri="http://schemas.microsoft.com/office/word/2010/wordprocessingGroup">
                    <wpg:wgp>
                      <wpg:cNvGrpSpPr/>
                      <wpg:grpSpPr>
                        <a:xfrm>
                          <a:off x="0" y="0"/>
                          <a:ext cx="4970843" cy="2887076"/>
                          <a:chOff x="0" y="0"/>
                          <a:chExt cx="4970843" cy="2887076"/>
                        </a:xfrm>
                      </wpg:grpSpPr>
                      <wps:wsp>
                        <wps:cNvPr id="19058" name="Shape 19058"/>
                        <wps:cNvSpPr/>
                        <wps:spPr>
                          <a:xfrm>
                            <a:off x="261516" y="2742723"/>
                            <a:ext cx="4707290" cy="0"/>
                          </a:xfrm>
                          <a:custGeom>
                            <a:avLst/>
                            <a:gdLst/>
                            <a:ahLst/>
                            <a:cxnLst/>
                            <a:rect l="0" t="0" r="0" b="0"/>
                            <a:pathLst>
                              <a:path w="4707290">
                                <a:moveTo>
                                  <a:pt x="0" y="0"/>
                                </a:moveTo>
                                <a:lnTo>
                                  <a:pt x="4707290" y="0"/>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59" name="Shape 19059"/>
                        <wps:cNvSpPr/>
                        <wps:spPr>
                          <a:xfrm>
                            <a:off x="261516" y="2293622"/>
                            <a:ext cx="4707290" cy="0"/>
                          </a:xfrm>
                          <a:custGeom>
                            <a:avLst/>
                            <a:gdLst/>
                            <a:ahLst/>
                            <a:cxnLst/>
                            <a:rect l="0" t="0" r="0" b="0"/>
                            <a:pathLst>
                              <a:path w="4707290">
                                <a:moveTo>
                                  <a:pt x="0" y="0"/>
                                </a:moveTo>
                                <a:lnTo>
                                  <a:pt x="4707290" y="0"/>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60" name="Shape 19060"/>
                        <wps:cNvSpPr/>
                        <wps:spPr>
                          <a:xfrm>
                            <a:off x="261516" y="1844522"/>
                            <a:ext cx="4707290" cy="0"/>
                          </a:xfrm>
                          <a:custGeom>
                            <a:avLst/>
                            <a:gdLst/>
                            <a:ahLst/>
                            <a:cxnLst/>
                            <a:rect l="0" t="0" r="0" b="0"/>
                            <a:pathLst>
                              <a:path w="4707290">
                                <a:moveTo>
                                  <a:pt x="0" y="0"/>
                                </a:moveTo>
                                <a:lnTo>
                                  <a:pt x="4707290" y="0"/>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61" name="Shape 19061"/>
                        <wps:cNvSpPr/>
                        <wps:spPr>
                          <a:xfrm>
                            <a:off x="261516" y="1403441"/>
                            <a:ext cx="4707290" cy="0"/>
                          </a:xfrm>
                          <a:custGeom>
                            <a:avLst/>
                            <a:gdLst/>
                            <a:ahLst/>
                            <a:cxnLst/>
                            <a:rect l="0" t="0" r="0" b="0"/>
                            <a:pathLst>
                              <a:path w="4707290">
                                <a:moveTo>
                                  <a:pt x="0" y="0"/>
                                </a:moveTo>
                                <a:lnTo>
                                  <a:pt x="4707290" y="0"/>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62" name="Shape 19062"/>
                        <wps:cNvSpPr/>
                        <wps:spPr>
                          <a:xfrm>
                            <a:off x="261516" y="954339"/>
                            <a:ext cx="4707290" cy="0"/>
                          </a:xfrm>
                          <a:custGeom>
                            <a:avLst/>
                            <a:gdLst/>
                            <a:ahLst/>
                            <a:cxnLst/>
                            <a:rect l="0" t="0" r="0" b="0"/>
                            <a:pathLst>
                              <a:path w="4707290">
                                <a:moveTo>
                                  <a:pt x="0" y="0"/>
                                </a:moveTo>
                                <a:lnTo>
                                  <a:pt x="4707290" y="0"/>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63" name="Shape 19063"/>
                        <wps:cNvSpPr/>
                        <wps:spPr>
                          <a:xfrm>
                            <a:off x="784548" y="505239"/>
                            <a:ext cx="0" cy="2237484"/>
                          </a:xfrm>
                          <a:custGeom>
                            <a:avLst/>
                            <a:gdLst/>
                            <a:ahLst/>
                            <a:cxnLst/>
                            <a:rect l="0" t="0" r="0" b="0"/>
                            <a:pathLst>
                              <a:path h="2237484">
                                <a:moveTo>
                                  <a:pt x="0" y="0"/>
                                </a:moveTo>
                                <a:lnTo>
                                  <a:pt x="0" y="2237484"/>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64" name="Shape 19064"/>
                        <wps:cNvSpPr/>
                        <wps:spPr>
                          <a:xfrm>
                            <a:off x="1307581" y="505239"/>
                            <a:ext cx="0" cy="2237484"/>
                          </a:xfrm>
                          <a:custGeom>
                            <a:avLst/>
                            <a:gdLst/>
                            <a:ahLst/>
                            <a:cxnLst/>
                            <a:rect l="0" t="0" r="0" b="0"/>
                            <a:pathLst>
                              <a:path h="2237484">
                                <a:moveTo>
                                  <a:pt x="0" y="0"/>
                                </a:moveTo>
                                <a:lnTo>
                                  <a:pt x="0" y="2237484"/>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65" name="Shape 19065"/>
                        <wps:cNvSpPr/>
                        <wps:spPr>
                          <a:xfrm>
                            <a:off x="1830613" y="505239"/>
                            <a:ext cx="0" cy="2237484"/>
                          </a:xfrm>
                          <a:custGeom>
                            <a:avLst/>
                            <a:gdLst/>
                            <a:ahLst/>
                            <a:cxnLst/>
                            <a:rect l="0" t="0" r="0" b="0"/>
                            <a:pathLst>
                              <a:path h="2237484">
                                <a:moveTo>
                                  <a:pt x="0" y="0"/>
                                </a:moveTo>
                                <a:lnTo>
                                  <a:pt x="0" y="2237484"/>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66" name="Shape 19066"/>
                        <wps:cNvSpPr/>
                        <wps:spPr>
                          <a:xfrm>
                            <a:off x="2353645" y="505239"/>
                            <a:ext cx="0" cy="2237484"/>
                          </a:xfrm>
                          <a:custGeom>
                            <a:avLst/>
                            <a:gdLst/>
                            <a:ahLst/>
                            <a:cxnLst/>
                            <a:rect l="0" t="0" r="0" b="0"/>
                            <a:pathLst>
                              <a:path h="2237484">
                                <a:moveTo>
                                  <a:pt x="0" y="0"/>
                                </a:moveTo>
                                <a:lnTo>
                                  <a:pt x="0" y="2237484"/>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67" name="Shape 19067"/>
                        <wps:cNvSpPr/>
                        <wps:spPr>
                          <a:xfrm>
                            <a:off x="2876677" y="505239"/>
                            <a:ext cx="0" cy="2237484"/>
                          </a:xfrm>
                          <a:custGeom>
                            <a:avLst/>
                            <a:gdLst/>
                            <a:ahLst/>
                            <a:cxnLst/>
                            <a:rect l="0" t="0" r="0" b="0"/>
                            <a:pathLst>
                              <a:path h="2237484">
                                <a:moveTo>
                                  <a:pt x="0" y="0"/>
                                </a:moveTo>
                                <a:lnTo>
                                  <a:pt x="0" y="2237484"/>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68" name="Shape 19068"/>
                        <wps:cNvSpPr/>
                        <wps:spPr>
                          <a:xfrm>
                            <a:off x="3399709" y="505239"/>
                            <a:ext cx="0" cy="2237484"/>
                          </a:xfrm>
                          <a:custGeom>
                            <a:avLst/>
                            <a:gdLst/>
                            <a:ahLst/>
                            <a:cxnLst/>
                            <a:rect l="0" t="0" r="0" b="0"/>
                            <a:pathLst>
                              <a:path h="2237484">
                                <a:moveTo>
                                  <a:pt x="0" y="0"/>
                                </a:moveTo>
                                <a:lnTo>
                                  <a:pt x="0" y="2237484"/>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69" name="Shape 19069"/>
                        <wps:cNvSpPr/>
                        <wps:spPr>
                          <a:xfrm>
                            <a:off x="3922741" y="505239"/>
                            <a:ext cx="0" cy="2237484"/>
                          </a:xfrm>
                          <a:custGeom>
                            <a:avLst/>
                            <a:gdLst/>
                            <a:ahLst/>
                            <a:cxnLst/>
                            <a:rect l="0" t="0" r="0" b="0"/>
                            <a:pathLst>
                              <a:path h="2237484">
                                <a:moveTo>
                                  <a:pt x="0" y="0"/>
                                </a:moveTo>
                                <a:lnTo>
                                  <a:pt x="0" y="2237484"/>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70" name="Shape 19070"/>
                        <wps:cNvSpPr/>
                        <wps:spPr>
                          <a:xfrm>
                            <a:off x="4445774" y="505239"/>
                            <a:ext cx="0" cy="2237484"/>
                          </a:xfrm>
                          <a:custGeom>
                            <a:avLst/>
                            <a:gdLst/>
                            <a:ahLst/>
                            <a:cxnLst/>
                            <a:rect l="0" t="0" r="0" b="0"/>
                            <a:pathLst>
                              <a:path h="2237484">
                                <a:moveTo>
                                  <a:pt x="0" y="0"/>
                                </a:moveTo>
                                <a:lnTo>
                                  <a:pt x="0" y="2237484"/>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71" name="Shape 19071"/>
                        <wps:cNvSpPr/>
                        <wps:spPr>
                          <a:xfrm>
                            <a:off x="4968806" y="505239"/>
                            <a:ext cx="0" cy="2237484"/>
                          </a:xfrm>
                          <a:custGeom>
                            <a:avLst/>
                            <a:gdLst/>
                            <a:ahLst/>
                            <a:cxnLst/>
                            <a:rect l="0" t="0" r="0" b="0"/>
                            <a:pathLst>
                              <a:path h="2237484">
                                <a:moveTo>
                                  <a:pt x="0" y="0"/>
                                </a:moveTo>
                                <a:lnTo>
                                  <a:pt x="0" y="2237484"/>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19072" name="Shape 19072"/>
                        <wps:cNvSpPr/>
                        <wps:spPr>
                          <a:xfrm>
                            <a:off x="261516" y="505239"/>
                            <a:ext cx="1" cy="2237484"/>
                          </a:xfrm>
                          <a:custGeom>
                            <a:avLst/>
                            <a:gdLst/>
                            <a:ahLst/>
                            <a:cxnLst/>
                            <a:rect l="0" t="0" r="0" b="0"/>
                            <a:pathLst>
                              <a:path w="1" h="2237484">
                                <a:moveTo>
                                  <a:pt x="0" y="2237484"/>
                                </a:moveTo>
                                <a:lnTo>
                                  <a:pt x="1" y="0"/>
                                </a:lnTo>
                              </a:path>
                            </a:pathLst>
                          </a:custGeom>
                          <a:ln w="7925" cap="flat">
                            <a:round/>
                          </a:ln>
                        </wps:spPr>
                        <wps:style>
                          <a:lnRef idx="1">
                            <a:srgbClr val="BFBFBF"/>
                          </a:lnRef>
                          <a:fillRef idx="0">
                            <a:srgbClr val="000000">
                              <a:alpha val="0"/>
                            </a:srgbClr>
                          </a:fillRef>
                          <a:effectRef idx="0">
                            <a:scrgbClr r="0" g="0" b="0"/>
                          </a:effectRef>
                          <a:fontRef idx="none"/>
                        </wps:style>
                        <wps:bodyPr/>
                      </wps:wsp>
                      <wps:wsp>
                        <wps:cNvPr id="19073" name="Shape 19073"/>
                        <wps:cNvSpPr/>
                        <wps:spPr>
                          <a:xfrm>
                            <a:off x="261516" y="505239"/>
                            <a:ext cx="4707290" cy="1"/>
                          </a:xfrm>
                          <a:custGeom>
                            <a:avLst/>
                            <a:gdLst/>
                            <a:ahLst/>
                            <a:cxnLst/>
                            <a:rect l="0" t="0" r="0" b="0"/>
                            <a:pathLst>
                              <a:path w="4707290" h="1">
                                <a:moveTo>
                                  <a:pt x="0" y="0"/>
                                </a:moveTo>
                                <a:lnTo>
                                  <a:pt x="4707290" y="1"/>
                                </a:lnTo>
                              </a:path>
                            </a:pathLst>
                          </a:custGeom>
                          <a:ln w="7925" cap="flat">
                            <a:round/>
                          </a:ln>
                        </wps:spPr>
                        <wps:style>
                          <a:lnRef idx="1">
                            <a:srgbClr val="BFBFBF"/>
                          </a:lnRef>
                          <a:fillRef idx="0">
                            <a:srgbClr val="000000">
                              <a:alpha val="0"/>
                            </a:srgbClr>
                          </a:fillRef>
                          <a:effectRef idx="0">
                            <a:scrgbClr r="0" g="0" b="0"/>
                          </a:effectRef>
                          <a:fontRef idx="none"/>
                        </wps:style>
                        <wps:bodyPr/>
                      </wps:wsp>
                      <wps:wsp>
                        <wps:cNvPr id="19075" name="Shape 19075"/>
                        <wps:cNvSpPr/>
                        <wps:spPr>
                          <a:xfrm>
                            <a:off x="526995" y="509248"/>
                            <a:ext cx="4184258" cy="1780363"/>
                          </a:xfrm>
                          <a:custGeom>
                            <a:avLst/>
                            <a:gdLst/>
                            <a:ahLst/>
                            <a:cxnLst/>
                            <a:rect l="0" t="0" r="0" b="0"/>
                            <a:pathLst>
                              <a:path w="4184258" h="1780363">
                                <a:moveTo>
                                  <a:pt x="0" y="0"/>
                                </a:moveTo>
                                <a:lnTo>
                                  <a:pt x="523032" y="80197"/>
                                </a:lnTo>
                                <a:lnTo>
                                  <a:pt x="1046064" y="112275"/>
                                </a:lnTo>
                                <a:lnTo>
                                  <a:pt x="1569097" y="168413"/>
                                </a:lnTo>
                                <a:lnTo>
                                  <a:pt x="2092129" y="248609"/>
                                </a:lnTo>
                                <a:lnTo>
                                  <a:pt x="2615161" y="400983"/>
                                </a:lnTo>
                                <a:lnTo>
                                  <a:pt x="3138193" y="553356"/>
                                </a:lnTo>
                                <a:lnTo>
                                  <a:pt x="3661225" y="850084"/>
                                </a:lnTo>
                                <a:lnTo>
                                  <a:pt x="4184258" y="1780363"/>
                                </a:lnTo>
                              </a:path>
                            </a:pathLst>
                          </a:custGeom>
                          <a:ln w="15849" cap="rnd">
                            <a:round/>
                          </a:ln>
                        </wps:spPr>
                        <wps:style>
                          <a:lnRef idx="1">
                            <a:srgbClr val="5E5E5E"/>
                          </a:lnRef>
                          <a:fillRef idx="0">
                            <a:srgbClr val="000000">
                              <a:alpha val="0"/>
                            </a:srgbClr>
                          </a:fillRef>
                          <a:effectRef idx="0">
                            <a:scrgbClr r="0" g="0" b="0"/>
                          </a:effectRef>
                          <a:fontRef idx="none"/>
                        </wps:style>
                        <wps:bodyPr/>
                      </wps:wsp>
                      <wps:wsp>
                        <wps:cNvPr id="19077" name="Shape 19077"/>
                        <wps:cNvSpPr/>
                        <wps:spPr>
                          <a:xfrm>
                            <a:off x="526995" y="509248"/>
                            <a:ext cx="4184258" cy="1146811"/>
                          </a:xfrm>
                          <a:custGeom>
                            <a:avLst/>
                            <a:gdLst/>
                            <a:ahLst/>
                            <a:cxnLst/>
                            <a:rect l="0" t="0" r="0" b="0"/>
                            <a:pathLst>
                              <a:path w="4184258" h="1146811">
                                <a:moveTo>
                                  <a:pt x="0" y="0"/>
                                </a:moveTo>
                                <a:lnTo>
                                  <a:pt x="523032" y="104256"/>
                                </a:lnTo>
                                <a:lnTo>
                                  <a:pt x="1046064" y="144354"/>
                                </a:lnTo>
                                <a:lnTo>
                                  <a:pt x="1569097" y="216531"/>
                                </a:lnTo>
                                <a:lnTo>
                                  <a:pt x="2092129" y="304747"/>
                                </a:lnTo>
                                <a:lnTo>
                                  <a:pt x="2615161" y="449101"/>
                                </a:lnTo>
                                <a:lnTo>
                                  <a:pt x="3138193" y="577415"/>
                                </a:lnTo>
                                <a:lnTo>
                                  <a:pt x="3661225" y="769887"/>
                                </a:lnTo>
                                <a:lnTo>
                                  <a:pt x="4184258" y="1146811"/>
                                </a:lnTo>
                              </a:path>
                            </a:pathLst>
                          </a:custGeom>
                          <a:ln w="15849" cap="rnd">
                            <a:round/>
                          </a:ln>
                        </wps:spPr>
                        <wps:style>
                          <a:lnRef idx="1">
                            <a:srgbClr val="B3B3B3"/>
                          </a:lnRef>
                          <a:fillRef idx="0">
                            <a:srgbClr val="000000">
                              <a:alpha val="0"/>
                            </a:srgbClr>
                          </a:fillRef>
                          <a:effectRef idx="0">
                            <a:scrgbClr r="0" g="0" b="0"/>
                          </a:effectRef>
                          <a:fontRef idx="none"/>
                        </wps:style>
                        <wps:bodyPr/>
                      </wps:wsp>
                      <wps:wsp>
                        <wps:cNvPr id="19079" name="Shape 19079"/>
                        <wps:cNvSpPr/>
                        <wps:spPr>
                          <a:xfrm>
                            <a:off x="526995" y="509248"/>
                            <a:ext cx="4184258" cy="962358"/>
                          </a:xfrm>
                          <a:custGeom>
                            <a:avLst/>
                            <a:gdLst/>
                            <a:ahLst/>
                            <a:cxnLst/>
                            <a:rect l="0" t="0" r="0" b="0"/>
                            <a:pathLst>
                              <a:path w="4184258" h="962358">
                                <a:moveTo>
                                  <a:pt x="0" y="0"/>
                                </a:moveTo>
                                <a:lnTo>
                                  <a:pt x="523032" y="128315"/>
                                </a:lnTo>
                                <a:lnTo>
                                  <a:pt x="1046064" y="176432"/>
                                </a:lnTo>
                                <a:lnTo>
                                  <a:pt x="1569097" y="256629"/>
                                </a:lnTo>
                                <a:lnTo>
                                  <a:pt x="2092129" y="344845"/>
                                </a:lnTo>
                                <a:lnTo>
                                  <a:pt x="2615161" y="481179"/>
                                </a:lnTo>
                                <a:lnTo>
                                  <a:pt x="3138193" y="585435"/>
                                </a:lnTo>
                                <a:lnTo>
                                  <a:pt x="3661225" y="729789"/>
                                </a:lnTo>
                                <a:lnTo>
                                  <a:pt x="4184258" y="962358"/>
                                </a:lnTo>
                              </a:path>
                            </a:pathLst>
                          </a:custGeom>
                          <a:ln w="15849" cap="rnd">
                            <a:round/>
                          </a:ln>
                        </wps:spPr>
                        <wps:style>
                          <a:lnRef idx="1">
                            <a:srgbClr val="898989"/>
                          </a:lnRef>
                          <a:fillRef idx="0">
                            <a:srgbClr val="000000">
                              <a:alpha val="0"/>
                            </a:srgbClr>
                          </a:fillRef>
                          <a:effectRef idx="0">
                            <a:scrgbClr r="0" g="0" b="0"/>
                          </a:effectRef>
                          <a:fontRef idx="none"/>
                        </wps:style>
                        <wps:bodyPr/>
                      </wps:wsp>
                      <wps:wsp>
                        <wps:cNvPr id="19081" name="Rectangle 19081"/>
                        <wps:cNvSpPr/>
                        <wps:spPr>
                          <a:xfrm>
                            <a:off x="2918" y="2700645"/>
                            <a:ext cx="29027" cy="117181"/>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36" name="Rectangle 195336"/>
                        <wps:cNvSpPr/>
                        <wps:spPr>
                          <a:xfrm>
                            <a:off x="121823" y="2700644"/>
                            <a:ext cx="100797" cy="117182"/>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195337" name="Rectangle 195337"/>
                        <wps:cNvSpPr/>
                        <wps:spPr>
                          <a:xfrm>
                            <a:off x="105946" y="2700644"/>
                            <a:ext cx="23715" cy="117182"/>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35" name="Rectangle 195335"/>
                        <wps:cNvSpPr/>
                        <wps:spPr>
                          <a:xfrm>
                            <a:off x="26693" y="2700644"/>
                            <a:ext cx="100797" cy="117182"/>
                          </a:xfrm>
                          <a:prstGeom prst="rect">
                            <a:avLst/>
                          </a:prstGeom>
                          <a:ln>
                            <a:noFill/>
                          </a:ln>
                        </wps:spPr>
                        <wps:txbx>
                          <w:txbxContent>
                            <w:p w:rsidR="00EE13F6" w:rsidRDefault="002E5BC4">
                              <w:r>
                                <w:rPr>
                                  <w:color w:val="585858"/>
                                  <w:sz w:val="11"/>
                                </w:rPr>
                                <w:t>25</w:t>
                              </w:r>
                            </w:p>
                          </w:txbxContent>
                        </wps:txbx>
                        <wps:bodyPr horzOverflow="overflow" vert="horz" lIns="0" tIns="0" rIns="0" bIns="0" rtlCol="0">
                          <a:noAutofit/>
                        </wps:bodyPr>
                      </wps:wsp>
                      <wps:wsp>
                        <wps:cNvPr id="19083" name="Rectangle 19083"/>
                        <wps:cNvSpPr/>
                        <wps:spPr>
                          <a:xfrm>
                            <a:off x="2918" y="2253970"/>
                            <a:ext cx="29027" cy="117181"/>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34" name="Rectangle 195334"/>
                        <wps:cNvSpPr/>
                        <wps:spPr>
                          <a:xfrm>
                            <a:off x="105946" y="2253970"/>
                            <a:ext cx="23715" cy="117182"/>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33" name="Rectangle 195333"/>
                        <wps:cNvSpPr/>
                        <wps:spPr>
                          <a:xfrm>
                            <a:off x="121823" y="2253970"/>
                            <a:ext cx="100797" cy="117182"/>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195332" name="Rectangle 195332"/>
                        <wps:cNvSpPr/>
                        <wps:spPr>
                          <a:xfrm>
                            <a:off x="26693" y="2253970"/>
                            <a:ext cx="100797" cy="117182"/>
                          </a:xfrm>
                          <a:prstGeom prst="rect">
                            <a:avLst/>
                          </a:prstGeom>
                          <a:ln>
                            <a:noFill/>
                          </a:ln>
                        </wps:spPr>
                        <wps:txbx>
                          <w:txbxContent>
                            <w:p w:rsidR="00EE13F6" w:rsidRDefault="002E5BC4">
                              <w:r>
                                <w:rPr>
                                  <w:color w:val="585858"/>
                                  <w:sz w:val="11"/>
                                </w:rPr>
                                <w:t>20</w:t>
                              </w:r>
                            </w:p>
                          </w:txbxContent>
                        </wps:txbx>
                        <wps:bodyPr horzOverflow="overflow" vert="horz" lIns="0" tIns="0" rIns="0" bIns="0" rtlCol="0">
                          <a:noAutofit/>
                        </wps:bodyPr>
                      </wps:wsp>
                      <wps:wsp>
                        <wps:cNvPr id="19085" name="Rectangle 19085"/>
                        <wps:cNvSpPr/>
                        <wps:spPr>
                          <a:xfrm>
                            <a:off x="2919" y="1806247"/>
                            <a:ext cx="31588" cy="106307"/>
                          </a:xfrm>
                          <a:prstGeom prst="rect">
                            <a:avLst/>
                          </a:prstGeom>
                          <a:ln>
                            <a:noFill/>
                          </a:ln>
                        </wps:spPr>
                        <wps:txbx>
                          <w:txbxContent>
                            <w:p w:rsidR="00EE13F6" w:rsidRDefault="002E5BC4">
                              <w:r>
                                <w:rPr>
                                  <w:rFonts w:ascii="Times New Roman" w:eastAsia="Times New Roman" w:hAnsi="Times New Roman" w:cs="Times New Roman"/>
                                  <w:color w:val="585858"/>
                                  <w:sz w:val="11"/>
                                </w:rPr>
                                <w:t>-</w:t>
                              </w:r>
                            </w:p>
                          </w:txbxContent>
                        </wps:txbx>
                        <wps:bodyPr horzOverflow="overflow" vert="horz" lIns="0" tIns="0" rIns="0" bIns="0" rtlCol="0">
                          <a:noAutofit/>
                        </wps:bodyPr>
                      </wps:wsp>
                      <wps:wsp>
                        <wps:cNvPr id="19086" name="Rectangle 19086"/>
                        <wps:cNvSpPr/>
                        <wps:spPr>
                          <a:xfrm>
                            <a:off x="26693" y="1806247"/>
                            <a:ext cx="47430" cy="106307"/>
                          </a:xfrm>
                          <a:prstGeom prst="rect">
                            <a:avLst/>
                          </a:prstGeom>
                          <a:ln>
                            <a:noFill/>
                          </a:ln>
                        </wps:spPr>
                        <wps:txbx>
                          <w:txbxContent>
                            <w:p w:rsidR="00EE13F6" w:rsidRDefault="002E5BC4">
                              <w:r>
                                <w:rPr>
                                  <w:rFonts w:ascii="Times New Roman" w:eastAsia="Times New Roman" w:hAnsi="Times New Roman" w:cs="Times New Roman"/>
                                  <w:color w:val="585858"/>
                                  <w:sz w:val="11"/>
                                </w:rPr>
                                <w:t>1</w:t>
                              </w:r>
                            </w:p>
                          </w:txbxContent>
                        </wps:txbx>
                        <wps:bodyPr horzOverflow="overflow" vert="horz" lIns="0" tIns="0" rIns="0" bIns="0" rtlCol="0">
                          <a:noAutofit/>
                        </wps:bodyPr>
                      </wps:wsp>
                      <wps:wsp>
                        <wps:cNvPr id="19087" name="Rectangle 19087"/>
                        <wps:cNvSpPr/>
                        <wps:spPr>
                          <a:xfrm>
                            <a:off x="66317" y="1806247"/>
                            <a:ext cx="47430" cy="106307"/>
                          </a:xfrm>
                          <a:prstGeom prst="rect">
                            <a:avLst/>
                          </a:prstGeom>
                          <a:ln>
                            <a:noFill/>
                          </a:ln>
                        </wps:spPr>
                        <wps:txbx>
                          <w:txbxContent>
                            <w:p w:rsidR="00EE13F6" w:rsidRDefault="002E5BC4">
                              <w:r>
                                <w:rPr>
                                  <w:rFonts w:ascii="Times New Roman" w:eastAsia="Times New Roman" w:hAnsi="Times New Roman" w:cs="Times New Roman"/>
                                  <w:color w:val="585858"/>
                                  <w:sz w:val="11"/>
                                </w:rPr>
                                <w:t>5</w:t>
                              </w:r>
                            </w:p>
                          </w:txbxContent>
                        </wps:txbx>
                        <wps:bodyPr horzOverflow="overflow" vert="horz" lIns="0" tIns="0" rIns="0" bIns="0" rtlCol="0">
                          <a:noAutofit/>
                        </wps:bodyPr>
                      </wps:wsp>
                      <wps:wsp>
                        <wps:cNvPr id="19088" name="Rectangle 19088"/>
                        <wps:cNvSpPr/>
                        <wps:spPr>
                          <a:xfrm>
                            <a:off x="105940" y="1806247"/>
                            <a:ext cx="23715" cy="106307"/>
                          </a:xfrm>
                          <a:prstGeom prst="rect">
                            <a:avLst/>
                          </a:prstGeom>
                          <a:ln>
                            <a:noFill/>
                          </a:ln>
                        </wps:spPr>
                        <wps:txbx>
                          <w:txbxContent>
                            <w:p w:rsidR="00EE13F6" w:rsidRDefault="002E5BC4">
                              <w:r>
                                <w:rPr>
                                  <w:rFonts w:ascii="Times New Roman" w:eastAsia="Times New Roman" w:hAnsi="Times New Roman" w:cs="Times New Roman"/>
                                  <w:color w:val="585858"/>
                                  <w:sz w:val="11"/>
                                </w:rPr>
                                <w:t>,</w:t>
                              </w:r>
                            </w:p>
                          </w:txbxContent>
                        </wps:txbx>
                        <wps:bodyPr horzOverflow="overflow" vert="horz" lIns="0" tIns="0" rIns="0" bIns="0" rtlCol="0">
                          <a:noAutofit/>
                        </wps:bodyPr>
                      </wps:wsp>
                      <wps:wsp>
                        <wps:cNvPr id="19089" name="Rectangle 19089"/>
                        <wps:cNvSpPr/>
                        <wps:spPr>
                          <a:xfrm>
                            <a:off x="121790" y="1806247"/>
                            <a:ext cx="47429" cy="106307"/>
                          </a:xfrm>
                          <a:prstGeom prst="rect">
                            <a:avLst/>
                          </a:prstGeom>
                          <a:ln>
                            <a:noFill/>
                          </a:ln>
                        </wps:spPr>
                        <wps:txbx>
                          <w:txbxContent>
                            <w:p w:rsidR="00EE13F6" w:rsidRDefault="002E5BC4">
                              <w:r>
                                <w:rPr>
                                  <w:rFonts w:ascii="Times New Roman" w:eastAsia="Times New Roman" w:hAnsi="Times New Roman" w:cs="Times New Roman"/>
                                  <w:color w:val="585858"/>
                                  <w:sz w:val="11"/>
                                </w:rPr>
                                <w:t>0</w:t>
                              </w:r>
                            </w:p>
                          </w:txbxContent>
                        </wps:txbx>
                        <wps:bodyPr horzOverflow="overflow" vert="horz" lIns="0" tIns="0" rIns="0" bIns="0" rtlCol="0">
                          <a:noAutofit/>
                        </wps:bodyPr>
                      </wps:wsp>
                      <wps:wsp>
                        <wps:cNvPr id="19090" name="Rectangle 19090"/>
                        <wps:cNvSpPr/>
                        <wps:spPr>
                          <a:xfrm>
                            <a:off x="161413" y="1806247"/>
                            <a:ext cx="47429" cy="106307"/>
                          </a:xfrm>
                          <a:prstGeom prst="rect">
                            <a:avLst/>
                          </a:prstGeom>
                          <a:ln>
                            <a:noFill/>
                          </a:ln>
                        </wps:spPr>
                        <wps:txbx>
                          <w:txbxContent>
                            <w:p w:rsidR="00EE13F6" w:rsidRDefault="002E5BC4">
                              <w:r>
                                <w:rPr>
                                  <w:rFonts w:ascii="Times New Roman" w:eastAsia="Times New Roman" w:hAnsi="Times New Roman" w:cs="Times New Roman"/>
                                  <w:color w:val="585858"/>
                                  <w:sz w:val="11"/>
                                </w:rPr>
                                <w:t>0</w:t>
                              </w:r>
                            </w:p>
                          </w:txbxContent>
                        </wps:txbx>
                        <wps:bodyPr horzOverflow="overflow" vert="horz" lIns="0" tIns="0" rIns="0" bIns="0" rtlCol="0">
                          <a:noAutofit/>
                        </wps:bodyPr>
                      </wps:wsp>
                      <wps:wsp>
                        <wps:cNvPr id="19091" name="Rectangle 19091"/>
                        <wps:cNvSpPr/>
                        <wps:spPr>
                          <a:xfrm>
                            <a:off x="2918" y="1360621"/>
                            <a:ext cx="29027" cy="117181"/>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29" name="Rectangle 195329"/>
                        <wps:cNvSpPr/>
                        <wps:spPr>
                          <a:xfrm>
                            <a:off x="26693" y="1360620"/>
                            <a:ext cx="100797" cy="117182"/>
                          </a:xfrm>
                          <a:prstGeom prst="rect">
                            <a:avLst/>
                          </a:prstGeom>
                          <a:ln>
                            <a:noFill/>
                          </a:ln>
                        </wps:spPr>
                        <wps:txbx>
                          <w:txbxContent>
                            <w:p w:rsidR="00EE13F6" w:rsidRDefault="002E5BC4">
                              <w:r>
                                <w:rPr>
                                  <w:color w:val="585858"/>
                                  <w:sz w:val="11"/>
                                </w:rPr>
                                <w:t>10</w:t>
                              </w:r>
                            </w:p>
                          </w:txbxContent>
                        </wps:txbx>
                        <wps:bodyPr horzOverflow="overflow" vert="horz" lIns="0" tIns="0" rIns="0" bIns="0" rtlCol="0">
                          <a:noAutofit/>
                        </wps:bodyPr>
                      </wps:wsp>
                      <wps:wsp>
                        <wps:cNvPr id="195330" name="Rectangle 195330"/>
                        <wps:cNvSpPr/>
                        <wps:spPr>
                          <a:xfrm>
                            <a:off x="121823" y="1360620"/>
                            <a:ext cx="100797" cy="117182"/>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195331" name="Rectangle 195331"/>
                        <wps:cNvSpPr/>
                        <wps:spPr>
                          <a:xfrm>
                            <a:off x="105946" y="1360620"/>
                            <a:ext cx="23715" cy="117182"/>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093" name="Rectangle 19093"/>
                        <wps:cNvSpPr/>
                        <wps:spPr>
                          <a:xfrm>
                            <a:off x="44524" y="912898"/>
                            <a:ext cx="31588" cy="106307"/>
                          </a:xfrm>
                          <a:prstGeom prst="rect">
                            <a:avLst/>
                          </a:prstGeom>
                          <a:ln>
                            <a:noFill/>
                          </a:ln>
                        </wps:spPr>
                        <wps:txbx>
                          <w:txbxContent>
                            <w:p w:rsidR="00EE13F6" w:rsidRDefault="002E5BC4">
                              <w:r>
                                <w:rPr>
                                  <w:rFonts w:ascii="Times New Roman" w:eastAsia="Times New Roman" w:hAnsi="Times New Roman" w:cs="Times New Roman"/>
                                  <w:color w:val="585858"/>
                                  <w:sz w:val="11"/>
                                </w:rPr>
                                <w:t>-</w:t>
                              </w:r>
                            </w:p>
                          </w:txbxContent>
                        </wps:txbx>
                        <wps:bodyPr horzOverflow="overflow" vert="horz" lIns="0" tIns="0" rIns="0" bIns="0" rtlCol="0">
                          <a:noAutofit/>
                        </wps:bodyPr>
                      </wps:wsp>
                      <wps:wsp>
                        <wps:cNvPr id="19094" name="Rectangle 19094"/>
                        <wps:cNvSpPr/>
                        <wps:spPr>
                          <a:xfrm>
                            <a:off x="68298" y="912898"/>
                            <a:ext cx="47430" cy="106307"/>
                          </a:xfrm>
                          <a:prstGeom prst="rect">
                            <a:avLst/>
                          </a:prstGeom>
                          <a:ln>
                            <a:noFill/>
                          </a:ln>
                        </wps:spPr>
                        <wps:txbx>
                          <w:txbxContent>
                            <w:p w:rsidR="00EE13F6" w:rsidRDefault="002E5BC4">
                              <w:r>
                                <w:rPr>
                                  <w:rFonts w:ascii="Times New Roman" w:eastAsia="Times New Roman" w:hAnsi="Times New Roman" w:cs="Times New Roman"/>
                                  <w:color w:val="585858"/>
                                  <w:sz w:val="11"/>
                                </w:rPr>
                                <w:t>5</w:t>
                              </w:r>
                            </w:p>
                          </w:txbxContent>
                        </wps:txbx>
                        <wps:bodyPr horzOverflow="overflow" vert="horz" lIns="0" tIns="0" rIns="0" bIns="0" rtlCol="0">
                          <a:noAutofit/>
                        </wps:bodyPr>
                      </wps:wsp>
                      <wps:wsp>
                        <wps:cNvPr id="19095" name="Rectangle 19095"/>
                        <wps:cNvSpPr/>
                        <wps:spPr>
                          <a:xfrm>
                            <a:off x="107921" y="912898"/>
                            <a:ext cx="23715" cy="106307"/>
                          </a:xfrm>
                          <a:prstGeom prst="rect">
                            <a:avLst/>
                          </a:prstGeom>
                          <a:ln>
                            <a:noFill/>
                          </a:ln>
                        </wps:spPr>
                        <wps:txbx>
                          <w:txbxContent>
                            <w:p w:rsidR="00EE13F6" w:rsidRDefault="002E5BC4">
                              <w:r>
                                <w:rPr>
                                  <w:rFonts w:ascii="Times New Roman" w:eastAsia="Times New Roman" w:hAnsi="Times New Roman" w:cs="Times New Roman"/>
                                  <w:color w:val="585858"/>
                                  <w:sz w:val="11"/>
                                </w:rPr>
                                <w:t>,</w:t>
                              </w:r>
                            </w:p>
                          </w:txbxContent>
                        </wps:txbx>
                        <wps:bodyPr horzOverflow="overflow" vert="horz" lIns="0" tIns="0" rIns="0" bIns="0" rtlCol="0">
                          <a:noAutofit/>
                        </wps:bodyPr>
                      </wps:wsp>
                      <wps:wsp>
                        <wps:cNvPr id="19096" name="Rectangle 19096"/>
                        <wps:cNvSpPr/>
                        <wps:spPr>
                          <a:xfrm>
                            <a:off x="123771" y="912898"/>
                            <a:ext cx="47429" cy="106307"/>
                          </a:xfrm>
                          <a:prstGeom prst="rect">
                            <a:avLst/>
                          </a:prstGeom>
                          <a:ln>
                            <a:noFill/>
                          </a:ln>
                        </wps:spPr>
                        <wps:txbx>
                          <w:txbxContent>
                            <w:p w:rsidR="00EE13F6" w:rsidRDefault="002E5BC4">
                              <w:r>
                                <w:rPr>
                                  <w:rFonts w:ascii="Times New Roman" w:eastAsia="Times New Roman" w:hAnsi="Times New Roman" w:cs="Times New Roman"/>
                                  <w:color w:val="585858"/>
                                  <w:sz w:val="11"/>
                                </w:rPr>
                                <w:t>0</w:t>
                              </w:r>
                            </w:p>
                          </w:txbxContent>
                        </wps:txbx>
                        <wps:bodyPr horzOverflow="overflow" vert="horz" lIns="0" tIns="0" rIns="0" bIns="0" rtlCol="0">
                          <a:noAutofit/>
                        </wps:bodyPr>
                      </wps:wsp>
                      <wps:wsp>
                        <wps:cNvPr id="19097" name="Rectangle 19097"/>
                        <wps:cNvSpPr/>
                        <wps:spPr>
                          <a:xfrm>
                            <a:off x="163394" y="912898"/>
                            <a:ext cx="47429" cy="106307"/>
                          </a:xfrm>
                          <a:prstGeom prst="rect">
                            <a:avLst/>
                          </a:prstGeom>
                          <a:ln>
                            <a:noFill/>
                          </a:ln>
                        </wps:spPr>
                        <wps:txbx>
                          <w:txbxContent>
                            <w:p w:rsidR="00EE13F6" w:rsidRDefault="002E5BC4">
                              <w:r>
                                <w:rPr>
                                  <w:rFonts w:ascii="Times New Roman" w:eastAsia="Times New Roman" w:hAnsi="Times New Roman" w:cs="Times New Roman"/>
                                  <w:color w:val="585858"/>
                                  <w:sz w:val="11"/>
                                </w:rPr>
                                <w:t>0</w:t>
                              </w:r>
                            </w:p>
                          </w:txbxContent>
                        </wps:txbx>
                        <wps:bodyPr horzOverflow="overflow" vert="horz" lIns="0" tIns="0" rIns="0" bIns="0" rtlCol="0">
                          <a:noAutofit/>
                        </wps:bodyPr>
                      </wps:wsp>
                      <wps:wsp>
                        <wps:cNvPr id="195302" name="Rectangle 195302"/>
                        <wps:cNvSpPr/>
                        <wps:spPr>
                          <a:xfrm>
                            <a:off x="63622" y="467271"/>
                            <a:ext cx="48094" cy="117181"/>
                          </a:xfrm>
                          <a:prstGeom prst="rect">
                            <a:avLst/>
                          </a:prstGeom>
                          <a:ln>
                            <a:noFill/>
                          </a:ln>
                        </wps:spPr>
                        <wps:txbx>
                          <w:txbxContent>
                            <w:p w:rsidR="00EE13F6" w:rsidRDefault="002E5BC4">
                              <w:r>
                                <w:rPr>
                                  <w:color w:val="585858"/>
                                  <w:sz w:val="11"/>
                                </w:rPr>
                                <w:t>0</w:t>
                              </w:r>
                            </w:p>
                          </w:txbxContent>
                        </wps:txbx>
                        <wps:bodyPr horzOverflow="overflow" vert="horz" lIns="0" tIns="0" rIns="0" bIns="0" rtlCol="0">
                          <a:noAutofit/>
                        </wps:bodyPr>
                      </wps:wsp>
                      <wps:wsp>
                        <wps:cNvPr id="195304" name="Rectangle 195304"/>
                        <wps:cNvSpPr/>
                        <wps:spPr>
                          <a:xfrm>
                            <a:off x="103249" y="467271"/>
                            <a:ext cx="23715" cy="117181"/>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03" name="Rectangle 195303"/>
                        <wps:cNvSpPr/>
                        <wps:spPr>
                          <a:xfrm>
                            <a:off x="119125" y="467271"/>
                            <a:ext cx="100797" cy="117181"/>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195306" name="Rectangle 195306"/>
                        <wps:cNvSpPr/>
                        <wps:spPr>
                          <a:xfrm>
                            <a:off x="509886" y="557136"/>
                            <a:ext cx="100797" cy="117181"/>
                          </a:xfrm>
                          <a:prstGeom prst="rect">
                            <a:avLst/>
                          </a:prstGeom>
                          <a:ln>
                            <a:noFill/>
                          </a:ln>
                        </wps:spPr>
                        <wps:txbx>
                          <w:txbxContent>
                            <w:p w:rsidR="00EE13F6" w:rsidRDefault="002E5BC4">
                              <w:r>
                                <w:rPr>
                                  <w:color w:val="585858"/>
                                  <w:sz w:val="11"/>
                                </w:rPr>
                                <w:t>25</w:t>
                              </w:r>
                            </w:p>
                          </w:txbxContent>
                        </wps:txbx>
                        <wps:bodyPr horzOverflow="overflow" vert="horz" lIns="0" tIns="0" rIns="0" bIns="0" rtlCol="0">
                          <a:noAutofit/>
                        </wps:bodyPr>
                      </wps:wsp>
                      <wps:wsp>
                        <wps:cNvPr id="195305" name="Rectangle 195305"/>
                        <wps:cNvSpPr/>
                        <wps:spPr>
                          <a:xfrm>
                            <a:off x="454383" y="557136"/>
                            <a:ext cx="48094" cy="117181"/>
                          </a:xfrm>
                          <a:prstGeom prst="rect">
                            <a:avLst/>
                          </a:prstGeom>
                          <a:ln>
                            <a:noFill/>
                          </a:ln>
                        </wps:spPr>
                        <wps:txbx>
                          <w:txbxContent>
                            <w:p w:rsidR="00EE13F6" w:rsidRDefault="002E5BC4">
                              <w:r>
                                <w:rPr>
                                  <w:color w:val="585858"/>
                                  <w:sz w:val="11"/>
                                </w:rPr>
                                <w:t>1</w:t>
                              </w:r>
                            </w:p>
                          </w:txbxContent>
                        </wps:txbx>
                        <wps:bodyPr horzOverflow="overflow" vert="horz" lIns="0" tIns="0" rIns="0" bIns="0" rtlCol="0">
                          <a:noAutofit/>
                        </wps:bodyPr>
                      </wps:wsp>
                      <wps:wsp>
                        <wps:cNvPr id="195307" name="Rectangle 195307"/>
                        <wps:cNvSpPr/>
                        <wps:spPr>
                          <a:xfrm>
                            <a:off x="494010" y="557136"/>
                            <a:ext cx="23715" cy="117181"/>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08" name="Rectangle 195308"/>
                        <wps:cNvSpPr/>
                        <wps:spPr>
                          <a:xfrm>
                            <a:off x="977216" y="557136"/>
                            <a:ext cx="48094" cy="117181"/>
                          </a:xfrm>
                          <a:prstGeom prst="rect">
                            <a:avLst/>
                          </a:prstGeom>
                          <a:ln>
                            <a:noFill/>
                          </a:ln>
                        </wps:spPr>
                        <wps:txbx>
                          <w:txbxContent>
                            <w:p w:rsidR="00EE13F6" w:rsidRDefault="002E5BC4">
                              <w:r>
                                <w:rPr>
                                  <w:color w:val="585858"/>
                                  <w:sz w:val="11"/>
                                </w:rPr>
                                <w:t>1</w:t>
                              </w:r>
                            </w:p>
                          </w:txbxContent>
                        </wps:txbx>
                        <wps:bodyPr horzOverflow="overflow" vert="horz" lIns="0" tIns="0" rIns="0" bIns="0" rtlCol="0">
                          <a:noAutofit/>
                        </wps:bodyPr>
                      </wps:wsp>
                      <wps:wsp>
                        <wps:cNvPr id="195310" name="Rectangle 195310"/>
                        <wps:cNvSpPr/>
                        <wps:spPr>
                          <a:xfrm>
                            <a:off x="1016842" y="557136"/>
                            <a:ext cx="23715" cy="117181"/>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09" name="Rectangle 195309"/>
                        <wps:cNvSpPr/>
                        <wps:spPr>
                          <a:xfrm>
                            <a:off x="1032719" y="557136"/>
                            <a:ext cx="100797" cy="117181"/>
                          </a:xfrm>
                          <a:prstGeom prst="rect">
                            <a:avLst/>
                          </a:prstGeom>
                          <a:ln>
                            <a:noFill/>
                          </a:ln>
                        </wps:spPr>
                        <wps:txbx>
                          <w:txbxContent>
                            <w:p w:rsidR="00EE13F6" w:rsidRDefault="002E5BC4">
                              <w:r>
                                <w:rPr>
                                  <w:color w:val="585858"/>
                                  <w:sz w:val="11"/>
                                </w:rPr>
                                <w:t>43</w:t>
                              </w:r>
                            </w:p>
                          </w:txbxContent>
                        </wps:txbx>
                        <wps:bodyPr horzOverflow="overflow" vert="horz" lIns="0" tIns="0" rIns="0" bIns="0" rtlCol="0">
                          <a:noAutofit/>
                        </wps:bodyPr>
                      </wps:wsp>
                      <wps:wsp>
                        <wps:cNvPr id="195312" name="Rectangle 195312"/>
                        <wps:cNvSpPr/>
                        <wps:spPr>
                          <a:xfrm>
                            <a:off x="1555552" y="557136"/>
                            <a:ext cx="100797" cy="117181"/>
                          </a:xfrm>
                          <a:prstGeom prst="rect">
                            <a:avLst/>
                          </a:prstGeom>
                          <a:ln>
                            <a:noFill/>
                          </a:ln>
                        </wps:spPr>
                        <wps:txbx>
                          <w:txbxContent>
                            <w:p w:rsidR="00EE13F6" w:rsidRDefault="002E5BC4">
                              <w:r>
                                <w:rPr>
                                  <w:color w:val="585858"/>
                                  <w:sz w:val="11"/>
                                </w:rPr>
                                <w:t>67</w:t>
                              </w:r>
                            </w:p>
                          </w:txbxContent>
                        </wps:txbx>
                        <wps:bodyPr horzOverflow="overflow" vert="horz" lIns="0" tIns="0" rIns="0" bIns="0" rtlCol="0">
                          <a:noAutofit/>
                        </wps:bodyPr>
                      </wps:wsp>
                      <wps:wsp>
                        <wps:cNvPr id="195313" name="Rectangle 195313"/>
                        <wps:cNvSpPr/>
                        <wps:spPr>
                          <a:xfrm>
                            <a:off x="1539675" y="557136"/>
                            <a:ext cx="23715" cy="117181"/>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11" name="Rectangle 195311"/>
                        <wps:cNvSpPr/>
                        <wps:spPr>
                          <a:xfrm>
                            <a:off x="1500048" y="557136"/>
                            <a:ext cx="48094" cy="117181"/>
                          </a:xfrm>
                          <a:prstGeom prst="rect">
                            <a:avLst/>
                          </a:prstGeom>
                          <a:ln>
                            <a:noFill/>
                          </a:ln>
                        </wps:spPr>
                        <wps:txbx>
                          <w:txbxContent>
                            <w:p w:rsidR="00EE13F6" w:rsidRDefault="002E5BC4">
                              <w:r>
                                <w:rPr>
                                  <w:color w:val="585858"/>
                                  <w:sz w:val="11"/>
                                </w:rPr>
                                <w:t>1</w:t>
                              </w:r>
                            </w:p>
                          </w:txbxContent>
                        </wps:txbx>
                        <wps:bodyPr horzOverflow="overflow" vert="horz" lIns="0" tIns="0" rIns="0" bIns="0" rtlCol="0">
                          <a:noAutofit/>
                        </wps:bodyPr>
                      </wps:wsp>
                      <wps:wsp>
                        <wps:cNvPr id="195314" name="Rectangle 195314"/>
                        <wps:cNvSpPr/>
                        <wps:spPr>
                          <a:xfrm>
                            <a:off x="2022882" y="557136"/>
                            <a:ext cx="48094" cy="117181"/>
                          </a:xfrm>
                          <a:prstGeom prst="rect">
                            <a:avLst/>
                          </a:prstGeom>
                          <a:ln>
                            <a:noFill/>
                          </a:ln>
                        </wps:spPr>
                        <wps:txbx>
                          <w:txbxContent>
                            <w:p w:rsidR="00EE13F6" w:rsidRDefault="002E5BC4">
                              <w:r>
                                <w:rPr>
                                  <w:color w:val="585858"/>
                                  <w:sz w:val="11"/>
                                </w:rPr>
                                <w:t>2</w:t>
                              </w:r>
                            </w:p>
                          </w:txbxContent>
                        </wps:txbx>
                        <wps:bodyPr horzOverflow="overflow" vert="horz" lIns="0" tIns="0" rIns="0" bIns="0" rtlCol="0">
                          <a:noAutofit/>
                        </wps:bodyPr>
                      </wps:wsp>
                      <wps:wsp>
                        <wps:cNvPr id="195316" name="Rectangle 195316"/>
                        <wps:cNvSpPr/>
                        <wps:spPr>
                          <a:xfrm>
                            <a:off x="2062509" y="557136"/>
                            <a:ext cx="23715" cy="117181"/>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15" name="Rectangle 195315"/>
                        <wps:cNvSpPr/>
                        <wps:spPr>
                          <a:xfrm>
                            <a:off x="2078385" y="557136"/>
                            <a:ext cx="100797" cy="117181"/>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195319" name="Rectangle 195319"/>
                        <wps:cNvSpPr/>
                        <wps:spPr>
                          <a:xfrm>
                            <a:off x="2585343" y="557136"/>
                            <a:ext cx="23715" cy="117181"/>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17" name="Rectangle 195317"/>
                        <wps:cNvSpPr/>
                        <wps:spPr>
                          <a:xfrm>
                            <a:off x="2545716" y="557136"/>
                            <a:ext cx="48094" cy="117181"/>
                          </a:xfrm>
                          <a:prstGeom prst="rect">
                            <a:avLst/>
                          </a:prstGeom>
                          <a:ln>
                            <a:noFill/>
                          </a:ln>
                        </wps:spPr>
                        <wps:txbx>
                          <w:txbxContent>
                            <w:p w:rsidR="00EE13F6" w:rsidRDefault="002E5BC4">
                              <w:r>
                                <w:rPr>
                                  <w:color w:val="585858"/>
                                  <w:sz w:val="11"/>
                                </w:rPr>
                                <w:t>2</w:t>
                              </w:r>
                            </w:p>
                          </w:txbxContent>
                        </wps:txbx>
                        <wps:bodyPr horzOverflow="overflow" vert="horz" lIns="0" tIns="0" rIns="0" bIns="0" rtlCol="0">
                          <a:noAutofit/>
                        </wps:bodyPr>
                      </wps:wsp>
                      <wps:wsp>
                        <wps:cNvPr id="195318" name="Rectangle 195318"/>
                        <wps:cNvSpPr/>
                        <wps:spPr>
                          <a:xfrm>
                            <a:off x="2601219" y="557136"/>
                            <a:ext cx="100797" cy="117181"/>
                          </a:xfrm>
                          <a:prstGeom prst="rect">
                            <a:avLst/>
                          </a:prstGeom>
                          <a:ln>
                            <a:noFill/>
                          </a:ln>
                        </wps:spPr>
                        <wps:txbx>
                          <w:txbxContent>
                            <w:p w:rsidR="00EE13F6" w:rsidRDefault="002E5BC4">
                              <w:r>
                                <w:rPr>
                                  <w:color w:val="585858"/>
                                  <w:sz w:val="11"/>
                                </w:rPr>
                                <w:t>50</w:t>
                              </w:r>
                            </w:p>
                          </w:txbxContent>
                        </wps:txbx>
                        <wps:bodyPr horzOverflow="overflow" vert="horz" lIns="0" tIns="0" rIns="0" bIns="0" rtlCol="0">
                          <a:noAutofit/>
                        </wps:bodyPr>
                      </wps:wsp>
                      <wps:wsp>
                        <wps:cNvPr id="195322" name="Rectangle 195322"/>
                        <wps:cNvSpPr/>
                        <wps:spPr>
                          <a:xfrm>
                            <a:off x="3108175" y="557136"/>
                            <a:ext cx="23715" cy="117181"/>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21" name="Rectangle 195321"/>
                        <wps:cNvSpPr/>
                        <wps:spPr>
                          <a:xfrm>
                            <a:off x="3124052" y="557136"/>
                            <a:ext cx="100797" cy="117181"/>
                          </a:xfrm>
                          <a:prstGeom prst="rect">
                            <a:avLst/>
                          </a:prstGeom>
                          <a:ln>
                            <a:noFill/>
                          </a:ln>
                        </wps:spPr>
                        <wps:txbx>
                          <w:txbxContent>
                            <w:p w:rsidR="00EE13F6" w:rsidRDefault="002E5BC4">
                              <w:r>
                                <w:rPr>
                                  <w:color w:val="585858"/>
                                  <w:sz w:val="11"/>
                                </w:rPr>
                                <w:t>33</w:t>
                              </w:r>
                            </w:p>
                          </w:txbxContent>
                        </wps:txbx>
                        <wps:bodyPr horzOverflow="overflow" vert="horz" lIns="0" tIns="0" rIns="0" bIns="0" rtlCol="0">
                          <a:noAutofit/>
                        </wps:bodyPr>
                      </wps:wsp>
                      <wps:wsp>
                        <wps:cNvPr id="195320" name="Rectangle 195320"/>
                        <wps:cNvSpPr/>
                        <wps:spPr>
                          <a:xfrm>
                            <a:off x="3068549" y="557136"/>
                            <a:ext cx="48094" cy="117181"/>
                          </a:xfrm>
                          <a:prstGeom prst="rect">
                            <a:avLst/>
                          </a:prstGeom>
                          <a:ln>
                            <a:noFill/>
                          </a:ln>
                        </wps:spPr>
                        <wps:txbx>
                          <w:txbxContent>
                            <w:p w:rsidR="00EE13F6" w:rsidRDefault="002E5BC4">
                              <w:r>
                                <w:rPr>
                                  <w:color w:val="585858"/>
                                  <w:sz w:val="11"/>
                                </w:rPr>
                                <w:t>3</w:t>
                              </w:r>
                            </w:p>
                          </w:txbxContent>
                        </wps:txbx>
                        <wps:bodyPr horzOverflow="overflow" vert="horz" lIns="0" tIns="0" rIns="0" bIns="0" rtlCol="0">
                          <a:noAutofit/>
                        </wps:bodyPr>
                      </wps:wsp>
                      <wps:wsp>
                        <wps:cNvPr id="195324" name="Rectangle 195324"/>
                        <wps:cNvSpPr/>
                        <wps:spPr>
                          <a:xfrm>
                            <a:off x="3646885" y="557136"/>
                            <a:ext cx="100797" cy="117181"/>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195325" name="Rectangle 195325"/>
                        <wps:cNvSpPr/>
                        <wps:spPr>
                          <a:xfrm>
                            <a:off x="3631008" y="557136"/>
                            <a:ext cx="23715" cy="117181"/>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23" name="Rectangle 195323"/>
                        <wps:cNvSpPr/>
                        <wps:spPr>
                          <a:xfrm>
                            <a:off x="3591382" y="557136"/>
                            <a:ext cx="48094" cy="117181"/>
                          </a:xfrm>
                          <a:prstGeom prst="rect">
                            <a:avLst/>
                          </a:prstGeom>
                          <a:ln>
                            <a:noFill/>
                          </a:ln>
                        </wps:spPr>
                        <wps:txbx>
                          <w:txbxContent>
                            <w:p w:rsidR="00EE13F6" w:rsidRDefault="002E5BC4">
                              <w:r>
                                <w:rPr>
                                  <w:color w:val="585858"/>
                                  <w:sz w:val="11"/>
                                </w:rPr>
                                <w:t>4</w:t>
                              </w:r>
                            </w:p>
                          </w:txbxContent>
                        </wps:txbx>
                        <wps:bodyPr horzOverflow="overflow" vert="horz" lIns="0" tIns="0" rIns="0" bIns="0" rtlCol="0">
                          <a:noAutofit/>
                        </wps:bodyPr>
                      </wps:wsp>
                      <wps:wsp>
                        <wps:cNvPr id="19106" name="Rectangle 19106"/>
                        <wps:cNvSpPr/>
                        <wps:spPr>
                          <a:xfrm>
                            <a:off x="4161783" y="557137"/>
                            <a:ext cx="48094" cy="117181"/>
                          </a:xfrm>
                          <a:prstGeom prst="rect">
                            <a:avLst/>
                          </a:prstGeom>
                          <a:ln>
                            <a:noFill/>
                          </a:ln>
                        </wps:spPr>
                        <wps:txbx>
                          <w:txbxContent>
                            <w:p w:rsidR="00EE13F6" w:rsidRDefault="002E5BC4">
                              <w:r>
                                <w:rPr>
                                  <w:color w:val="585858"/>
                                  <w:sz w:val="11"/>
                                </w:rPr>
                                <w:t>5</w:t>
                              </w:r>
                            </w:p>
                          </w:txbxContent>
                        </wps:txbx>
                        <wps:bodyPr horzOverflow="overflow" vert="horz" lIns="0" tIns="0" rIns="0" bIns="0" rtlCol="0">
                          <a:noAutofit/>
                        </wps:bodyPr>
                      </wps:wsp>
                      <wps:wsp>
                        <wps:cNvPr id="195328" name="Rectangle 195328"/>
                        <wps:cNvSpPr/>
                        <wps:spPr>
                          <a:xfrm>
                            <a:off x="4676675" y="557136"/>
                            <a:ext cx="23715" cy="117181"/>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195326" name="Rectangle 195326"/>
                        <wps:cNvSpPr/>
                        <wps:spPr>
                          <a:xfrm>
                            <a:off x="4637048" y="557136"/>
                            <a:ext cx="48094" cy="117181"/>
                          </a:xfrm>
                          <a:prstGeom prst="rect">
                            <a:avLst/>
                          </a:prstGeom>
                          <a:ln>
                            <a:noFill/>
                          </a:ln>
                        </wps:spPr>
                        <wps:txbx>
                          <w:txbxContent>
                            <w:p w:rsidR="00EE13F6" w:rsidRDefault="002E5BC4">
                              <w:r>
                                <w:rPr>
                                  <w:color w:val="585858"/>
                                  <w:sz w:val="11"/>
                                </w:rPr>
                                <w:t>6</w:t>
                              </w:r>
                            </w:p>
                          </w:txbxContent>
                        </wps:txbx>
                        <wps:bodyPr horzOverflow="overflow" vert="horz" lIns="0" tIns="0" rIns="0" bIns="0" rtlCol="0">
                          <a:noAutofit/>
                        </wps:bodyPr>
                      </wps:wsp>
                      <wps:wsp>
                        <wps:cNvPr id="195327" name="Rectangle 195327"/>
                        <wps:cNvSpPr/>
                        <wps:spPr>
                          <a:xfrm>
                            <a:off x="4692552" y="557136"/>
                            <a:ext cx="100797" cy="117181"/>
                          </a:xfrm>
                          <a:prstGeom prst="rect">
                            <a:avLst/>
                          </a:prstGeom>
                          <a:ln>
                            <a:noFill/>
                          </a:ln>
                        </wps:spPr>
                        <wps:txbx>
                          <w:txbxContent>
                            <w:p w:rsidR="00EE13F6" w:rsidRDefault="002E5BC4">
                              <w:r>
                                <w:rPr>
                                  <w:color w:val="585858"/>
                                  <w:sz w:val="11"/>
                                </w:rPr>
                                <w:t>67</w:t>
                              </w:r>
                            </w:p>
                          </w:txbxContent>
                        </wps:txbx>
                        <wps:bodyPr horzOverflow="overflow" vert="horz" lIns="0" tIns="0" rIns="0" bIns="0" rtlCol="0">
                          <a:noAutofit/>
                        </wps:bodyPr>
                      </wps:wsp>
                      <wps:wsp>
                        <wps:cNvPr id="19108" name="Rectangle 19108"/>
                        <wps:cNvSpPr/>
                        <wps:spPr>
                          <a:xfrm>
                            <a:off x="975738" y="59323"/>
                            <a:ext cx="5226965" cy="182283"/>
                          </a:xfrm>
                          <a:prstGeom prst="rect">
                            <a:avLst/>
                          </a:prstGeom>
                          <a:ln>
                            <a:noFill/>
                          </a:ln>
                        </wps:spPr>
                        <wps:txbx>
                          <w:txbxContent>
                            <w:p w:rsidR="00EE13F6" w:rsidRDefault="002E5BC4">
                              <w:r>
                                <w:rPr>
                                  <w:b/>
                                  <w:color w:val="585858"/>
                                  <w:sz w:val="18"/>
                                </w:rPr>
                                <w:t>Short</w:t>
                              </w:r>
                              <w:r>
                                <w:rPr>
                                  <w:b/>
                                  <w:color w:val="585858"/>
                                  <w:sz w:val="18"/>
                                </w:rPr>
                                <w:tab/>
                                <w:t>Term</w:t>
                              </w:r>
                              <w:r>
                                <w:rPr>
                                  <w:b/>
                                  <w:color w:val="585858"/>
                                  <w:sz w:val="18"/>
                                </w:rPr>
                                <w:tab/>
                                <w:t>Equity</w:t>
                              </w:r>
                              <w:r>
                                <w:rPr>
                                  <w:b/>
                                  <w:color w:val="585858"/>
                                  <w:sz w:val="18"/>
                                </w:rPr>
                                <w:tab/>
                                <w:t>Price</w:t>
                              </w:r>
                              <w:r>
                                <w:rPr>
                                  <w:b/>
                                  <w:color w:val="585858"/>
                                  <w:sz w:val="18"/>
                                </w:rPr>
                                <w:tab/>
                                <w:t>variation</w:t>
                              </w:r>
                              <w:r>
                                <w:rPr>
                                  <w:b/>
                                  <w:color w:val="585858"/>
                                  <w:sz w:val="18"/>
                                </w:rPr>
                                <w:tab/>
                                <w:t>in</w:t>
                              </w:r>
                              <w:r>
                                <w:rPr>
                                  <w:b/>
                                  <w:color w:val="585858"/>
                                  <w:sz w:val="18"/>
                                </w:rPr>
                                <w:tab/>
                                <w:t>%</w:t>
                              </w:r>
                              <w:r>
                                <w:rPr>
                                  <w:b/>
                                  <w:color w:val="585858"/>
                                  <w:sz w:val="18"/>
                                </w:rPr>
                                <w:tab/>
                                <w:t>as</w:t>
                              </w:r>
                              <w:r>
                                <w:rPr>
                                  <w:b/>
                                  <w:color w:val="585858"/>
                                  <w:sz w:val="18"/>
                                </w:rPr>
                                <w:tab/>
                                <w:t>a</w:t>
                              </w:r>
                              <w:r>
                                <w:rPr>
                                  <w:b/>
                                  <w:color w:val="585858"/>
                                  <w:sz w:val="18"/>
                                </w:rPr>
                                <w:tab/>
                                <w:t>function</w:t>
                              </w:r>
                              <w:r>
                                <w:rPr>
                                  <w:b/>
                                  <w:color w:val="585858"/>
                                  <w:sz w:val="18"/>
                                </w:rPr>
                                <w:tab/>
                                <w:t>of</w:t>
                              </w:r>
                              <w:r>
                                <w:rPr>
                                  <w:b/>
                                  <w:color w:val="585858"/>
                                  <w:sz w:val="18"/>
                                </w:rPr>
                                <w:tab/>
                                <w:t>corporate</w:t>
                              </w:r>
                              <w:r>
                                <w:rPr>
                                  <w:b/>
                                  <w:color w:val="585858"/>
                                  <w:sz w:val="18"/>
                                </w:rPr>
                                <w:tab/>
                                <w:t>tax</w:t>
                              </w:r>
                              <w:r>
                                <w:rPr>
                                  <w:b/>
                                  <w:color w:val="585858"/>
                                  <w:sz w:val="18"/>
                                </w:rPr>
                                <w:tab/>
                                <w:t>rate</w:t>
                              </w:r>
                              <w:r>
                                <w:rPr>
                                  <w:b/>
                                  <w:color w:val="585858"/>
                                  <w:sz w:val="18"/>
                                </w:rPr>
                                <w:tab/>
                                <w:t>and</w:t>
                              </w:r>
                              <w:r>
                                <w:rPr>
                                  <w:b/>
                                  <w:color w:val="585858"/>
                                  <w:sz w:val="18"/>
                                </w:rPr>
                                <w:tab/>
                                <w:t>leverage</w:t>
                              </w:r>
                            </w:p>
                          </w:txbxContent>
                        </wps:txbx>
                        <wps:bodyPr horzOverflow="overflow" vert="horz" lIns="0" tIns="0" rIns="0" bIns="0" rtlCol="0">
                          <a:noAutofit/>
                        </wps:bodyPr>
                      </wps:wsp>
                      <wps:wsp>
                        <wps:cNvPr id="195301" name="Rectangle 195301"/>
                        <wps:cNvSpPr/>
                        <wps:spPr>
                          <a:xfrm>
                            <a:off x="1387822" y="195657"/>
                            <a:ext cx="4217030" cy="182283"/>
                          </a:xfrm>
                          <a:prstGeom prst="rect">
                            <a:avLst/>
                          </a:prstGeom>
                          <a:ln>
                            <a:noFill/>
                          </a:ln>
                        </wps:spPr>
                        <wps:txbx>
                          <w:txbxContent>
                            <w:p w:rsidR="00EE13F6" w:rsidRDefault="002E5BC4">
                              <w:r>
                                <w:rPr>
                                  <w:b/>
                                  <w:color w:val="585858"/>
                                  <w:sz w:val="18"/>
                                </w:rPr>
                                <w:t>ROA=3%;r=1%;T=5;sigma=10%;spread=2%;FTT</w:t>
                              </w:r>
                              <w:r>
                                <w:rPr>
                                  <w:b/>
                                  <w:color w:val="585858"/>
                                  <w:sz w:val="18"/>
                                </w:rPr>
                                <w:tab/>
                                <w:t>roundtrip</w:t>
                              </w:r>
                              <w:r>
                                <w:rPr>
                                  <w:b/>
                                  <w:color w:val="585858"/>
                                  <w:sz w:val="18"/>
                                </w:rPr>
                                <w:tab/>
                                <w:t>rate=0,2%)</w:t>
                              </w:r>
                              <w:r>
                                <w:rPr>
                                  <w:b/>
                                  <w:color w:val="585858"/>
                                  <w:sz w:val="18"/>
                                </w:rPr>
                                <w:tab/>
                              </w:r>
                              <w:r>
                                <w:rPr>
                                  <w:b/>
                                  <w:color w:val="585858"/>
                                  <w:sz w:val="18"/>
                                </w:rPr>
                                <w:tab/>
                              </w:r>
                            </w:p>
                          </w:txbxContent>
                        </wps:txbx>
                        <wps:bodyPr horzOverflow="overflow" vert="horz" lIns="0" tIns="0" rIns="0" bIns="0" rtlCol="0">
                          <a:noAutofit/>
                        </wps:bodyPr>
                      </wps:wsp>
                      <wps:wsp>
                        <wps:cNvPr id="195300" name="Rectangle 195300"/>
                        <wps:cNvSpPr/>
                        <wps:spPr>
                          <a:xfrm>
                            <a:off x="1356124" y="195657"/>
                            <a:ext cx="46038" cy="182283"/>
                          </a:xfrm>
                          <a:prstGeom prst="rect">
                            <a:avLst/>
                          </a:prstGeom>
                          <a:ln>
                            <a:noFill/>
                          </a:ln>
                        </wps:spPr>
                        <wps:txbx>
                          <w:txbxContent>
                            <w:p w:rsidR="00EE13F6" w:rsidRDefault="002E5BC4">
                              <w:r>
                                <w:rPr>
                                  <w:b/>
                                  <w:color w:val="585858"/>
                                  <w:sz w:val="18"/>
                                </w:rPr>
                                <w:t>(</w:t>
                              </w:r>
                            </w:p>
                          </w:txbxContent>
                        </wps:txbx>
                        <wps:bodyPr horzOverflow="overflow" vert="horz" lIns="0" tIns="0" rIns="0" bIns="0" rtlCol="0">
                          <a:noAutofit/>
                        </wps:bodyPr>
                      </wps:wsp>
                      <wps:wsp>
                        <wps:cNvPr id="19110" name="Shape 19110"/>
                        <wps:cNvSpPr/>
                        <wps:spPr>
                          <a:xfrm>
                            <a:off x="1279844" y="2618418"/>
                            <a:ext cx="158495" cy="1"/>
                          </a:xfrm>
                          <a:custGeom>
                            <a:avLst/>
                            <a:gdLst/>
                            <a:ahLst/>
                            <a:cxnLst/>
                            <a:rect l="0" t="0" r="0" b="0"/>
                            <a:pathLst>
                              <a:path w="158495" h="1">
                                <a:moveTo>
                                  <a:pt x="0" y="0"/>
                                </a:moveTo>
                                <a:lnTo>
                                  <a:pt x="158495" y="1"/>
                                </a:lnTo>
                              </a:path>
                            </a:pathLst>
                          </a:custGeom>
                          <a:ln w="15849" cap="rnd">
                            <a:round/>
                          </a:ln>
                        </wps:spPr>
                        <wps:style>
                          <a:lnRef idx="1">
                            <a:srgbClr val="5E5E5E"/>
                          </a:lnRef>
                          <a:fillRef idx="0">
                            <a:srgbClr val="000000">
                              <a:alpha val="0"/>
                            </a:srgbClr>
                          </a:fillRef>
                          <a:effectRef idx="0">
                            <a:scrgbClr r="0" g="0" b="0"/>
                          </a:effectRef>
                          <a:fontRef idx="none"/>
                        </wps:style>
                        <wps:bodyPr/>
                      </wps:wsp>
                      <wps:wsp>
                        <wps:cNvPr id="19112" name="Rectangle 19112"/>
                        <wps:cNvSpPr/>
                        <wps:spPr>
                          <a:xfrm>
                            <a:off x="1450811" y="2580774"/>
                            <a:ext cx="299660" cy="117181"/>
                          </a:xfrm>
                          <a:prstGeom prst="rect">
                            <a:avLst/>
                          </a:prstGeom>
                          <a:ln>
                            <a:noFill/>
                          </a:ln>
                        </wps:spPr>
                        <wps:txbx>
                          <w:txbxContent>
                            <w:p w:rsidR="00EE13F6" w:rsidRDefault="002E5BC4">
                              <w:r>
                                <w:rPr>
                                  <w:color w:val="585858"/>
                                  <w:sz w:val="11"/>
                                </w:rPr>
                                <w:t>Tx=15%</w:t>
                              </w:r>
                            </w:p>
                          </w:txbxContent>
                        </wps:txbx>
                        <wps:bodyPr horzOverflow="overflow" vert="horz" lIns="0" tIns="0" rIns="0" bIns="0" rtlCol="0">
                          <a:noAutofit/>
                        </wps:bodyPr>
                      </wps:wsp>
                      <wps:wsp>
                        <wps:cNvPr id="19114" name="Shape 19114"/>
                        <wps:cNvSpPr/>
                        <wps:spPr>
                          <a:xfrm>
                            <a:off x="1755328" y="2618418"/>
                            <a:ext cx="150570" cy="1"/>
                          </a:xfrm>
                          <a:custGeom>
                            <a:avLst/>
                            <a:gdLst/>
                            <a:ahLst/>
                            <a:cxnLst/>
                            <a:rect l="0" t="0" r="0" b="0"/>
                            <a:pathLst>
                              <a:path w="150570" h="1">
                                <a:moveTo>
                                  <a:pt x="0" y="0"/>
                                </a:moveTo>
                                <a:lnTo>
                                  <a:pt x="150570" y="1"/>
                                </a:lnTo>
                              </a:path>
                            </a:pathLst>
                          </a:custGeom>
                          <a:ln w="15849" cap="rnd">
                            <a:round/>
                          </a:ln>
                        </wps:spPr>
                        <wps:style>
                          <a:lnRef idx="1">
                            <a:srgbClr val="B3B3B3"/>
                          </a:lnRef>
                          <a:fillRef idx="0">
                            <a:srgbClr val="000000">
                              <a:alpha val="0"/>
                            </a:srgbClr>
                          </a:fillRef>
                          <a:effectRef idx="0">
                            <a:scrgbClr r="0" g="0" b="0"/>
                          </a:effectRef>
                          <a:fontRef idx="none"/>
                        </wps:style>
                        <wps:bodyPr/>
                      </wps:wsp>
                      <wps:wsp>
                        <wps:cNvPr id="19116" name="Rectangle 19116"/>
                        <wps:cNvSpPr/>
                        <wps:spPr>
                          <a:xfrm>
                            <a:off x="1924116" y="2580774"/>
                            <a:ext cx="299660" cy="117181"/>
                          </a:xfrm>
                          <a:prstGeom prst="rect">
                            <a:avLst/>
                          </a:prstGeom>
                          <a:ln>
                            <a:noFill/>
                          </a:ln>
                        </wps:spPr>
                        <wps:txbx>
                          <w:txbxContent>
                            <w:p w:rsidR="00EE13F6" w:rsidRDefault="002E5BC4">
                              <w:r>
                                <w:rPr>
                                  <w:color w:val="585858"/>
                                  <w:sz w:val="11"/>
                                </w:rPr>
                                <w:t>Tx=25%</w:t>
                              </w:r>
                            </w:p>
                          </w:txbxContent>
                        </wps:txbx>
                        <wps:bodyPr horzOverflow="overflow" vert="horz" lIns="0" tIns="0" rIns="0" bIns="0" rtlCol="0">
                          <a:noAutofit/>
                        </wps:bodyPr>
                      </wps:wsp>
                      <wps:wsp>
                        <wps:cNvPr id="19118" name="Shape 19118"/>
                        <wps:cNvSpPr/>
                        <wps:spPr>
                          <a:xfrm>
                            <a:off x="2230812" y="2618418"/>
                            <a:ext cx="150570" cy="1"/>
                          </a:xfrm>
                          <a:custGeom>
                            <a:avLst/>
                            <a:gdLst/>
                            <a:ahLst/>
                            <a:cxnLst/>
                            <a:rect l="0" t="0" r="0" b="0"/>
                            <a:pathLst>
                              <a:path w="150570" h="1">
                                <a:moveTo>
                                  <a:pt x="0" y="0"/>
                                </a:moveTo>
                                <a:lnTo>
                                  <a:pt x="150570" y="1"/>
                                </a:lnTo>
                              </a:path>
                            </a:pathLst>
                          </a:custGeom>
                          <a:ln w="15849" cap="rnd">
                            <a:round/>
                          </a:ln>
                        </wps:spPr>
                        <wps:style>
                          <a:lnRef idx="1">
                            <a:srgbClr val="898989"/>
                          </a:lnRef>
                          <a:fillRef idx="0">
                            <a:srgbClr val="000000">
                              <a:alpha val="0"/>
                            </a:srgbClr>
                          </a:fillRef>
                          <a:effectRef idx="0">
                            <a:scrgbClr r="0" g="0" b="0"/>
                          </a:effectRef>
                          <a:fontRef idx="none"/>
                        </wps:style>
                        <wps:bodyPr/>
                      </wps:wsp>
                      <wps:wsp>
                        <wps:cNvPr id="19120" name="Rectangle 19120"/>
                        <wps:cNvSpPr/>
                        <wps:spPr>
                          <a:xfrm>
                            <a:off x="2397421" y="2580774"/>
                            <a:ext cx="299660" cy="117181"/>
                          </a:xfrm>
                          <a:prstGeom prst="rect">
                            <a:avLst/>
                          </a:prstGeom>
                          <a:ln>
                            <a:noFill/>
                          </a:ln>
                        </wps:spPr>
                        <wps:txbx>
                          <w:txbxContent>
                            <w:p w:rsidR="00EE13F6" w:rsidRDefault="002E5BC4">
                              <w:r>
                                <w:rPr>
                                  <w:color w:val="585858"/>
                                  <w:sz w:val="11"/>
                                </w:rPr>
                                <w:t>Tx=35%</w:t>
                              </w:r>
                            </w:p>
                          </w:txbxContent>
                        </wps:txbx>
                        <wps:bodyPr horzOverflow="overflow" vert="horz" lIns="0" tIns="0" rIns="0" bIns="0" rtlCol="0">
                          <a:noAutofit/>
                        </wps:bodyPr>
                      </wps:wsp>
                      <wps:wsp>
                        <wps:cNvPr id="19122" name="Shape 19122"/>
                        <wps:cNvSpPr/>
                        <wps:spPr>
                          <a:xfrm>
                            <a:off x="0" y="0"/>
                            <a:ext cx="4970843" cy="2887076"/>
                          </a:xfrm>
                          <a:custGeom>
                            <a:avLst/>
                            <a:gdLst/>
                            <a:ahLst/>
                            <a:cxnLst/>
                            <a:rect l="0" t="0" r="0" b="0"/>
                            <a:pathLst>
                              <a:path w="4970843" h="2887076">
                                <a:moveTo>
                                  <a:pt x="4970843" y="2887076"/>
                                </a:moveTo>
                                <a:lnTo>
                                  <a:pt x="0" y="2887076"/>
                                </a:lnTo>
                                <a:lnTo>
                                  <a:pt x="0" y="0"/>
                                </a:lnTo>
                                <a:lnTo>
                                  <a:pt x="4970843" y="0"/>
                                </a:lnTo>
                              </a:path>
                            </a:pathLst>
                          </a:custGeom>
                          <a:ln w="7925" cap="flat">
                            <a:round/>
                          </a:ln>
                        </wps:spPr>
                        <wps:style>
                          <a:lnRef idx="1">
                            <a:srgbClr val="D9D9D9"/>
                          </a:lnRef>
                          <a:fillRef idx="0">
                            <a:srgbClr val="000000">
                              <a:alpha val="0"/>
                            </a:srgbClr>
                          </a:fillRef>
                          <a:effectRef idx="0">
                            <a:scrgbClr r="0" g="0" b="0"/>
                          </a:effectRef>
                          <a:fontRef idx="none"/>
                        </wps:style>
                        <wps:bodyPr/>
                      </wps:wsp>
                      <wps:wsp>
                        <wps:cNvPr id="230831" name="Shape 230831"/>
                        <wps:cNvSpPr/>
                        <wps:spPr>
                          <a:xfrm>
                            <a:off x="1410602" y="2325701"/>
                            <a:ext cx="2448741" cy="232570"/>
                          </a:xfrm>
                          <a:custGeom>
                            <a:avLst/>
                            <a:gdLst/>
                            <a:ahLst/>
                            <a:cxnLst/>
                            <a:rect l="0" t="0" r="0" b="0"/>
                            <a:pathLst>
                              <a:path w="2448741" h="232570">
                                <a:moveTo>
                                  <a:pt x="0" y="0"/>
                                </a:moveTo>
                                <a:lnTo>
                                  <a:pt x="2448741" y="0"/>
                                </a:lnTo>
                                <a:lnTo>
                                  <a:pt x="2448741" y="232570"/>
                                </a:lnTo>
                                <a:lnTo>
                                  <a:pt x="0" y="23257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9124" name="Shape 19124"/>
                        <wps:cNvSpPr/>
                        <wps:spPr>
                          <a:xfrm>
                            <a:off x="1410602" y="2325701"/>
                            <a:ext cx="2448742" cy="232570"/>
                          </a:xfrm>
                          <a:custGeom>
                            <a:avLst/>
                            <a:gdLst/>
                            <a:ahLst/>
                            <a:cxnLst/>
                            <a:rect l="0" t="0" r="0" b="0"/>
                            <a:pathLst>
                              <a:path w="2448742" h="232570">
                                <a:moveTo>
                                  <a:pt x="0" y="0"/>
                                </a:moveTo>
                                <a:lnTo>
                                  <a:pt x="2448742" y="0"/>
                                </a:lnTo>
                                <a:lnTo>
                                  <a:pt x="2448742" y="232570"/>
                                </a:lnTo>
                                <a:lnTo>
                                  <a:pt x="0" y="232570"/>
                                </a:lnTo>
                                <a:close/>
                              </a:path>
                            </a:pathLst>
                          </a:custGeom>
                          <a:ln w="7925" cap="flat">
                            <a:round/>
                          </a:ln>
                        </wps:spPr>
                        <wps:style>
                          <a:lnRef idx="1">
                            <a:srgbClr val="BCBCBC"/>
                          </a:lnRef>
                          <a:fillRef idx="0">
                            <a:srgbClr val="000000">
                              <a:alpha val="0"/>
                            </a:srgbClr>
                          </a:fillRef>
                          <a:effectRef idx="0">
                            <a:scrgbClr r="0" g="0" b="0"/>
                          </a:effectRef>
                          <a:fontRef idx="none"/>
                        </wps:style>
                        <wps:bodyPr/>
                      </wps:wsp>
                      <wps:wsp>
                        <wps:cNvPr id="19125" name="Rectangle 19125"/>
                        <wps:cNvSpPr/>
                        <wps:spPr>
                          <a:xfrm>
                            <a:off x="2350115" y="2381367"/>
                            <a:ext cx="763863" cy="143222"/>
                          </a:xfrm>
                          <a:prstGeom prst="rect">
                            <a:avLst/>
                          </a:prstGeom>
                          <a:ln>
                            <a:noFill/>
                          </a:ln>
                        </wps:spPr>
                        <wps:txbx>
                          <w:txbxContent>
                            <w:p w:rsidR="00EE13F6" w:rsidRDefault="002E5BC4">
                              <w:r>
                                <w:rPr>
                                  <w:b/>
                                  <w:sz w:val="14"/>
                                </w:rPr>
                                <w:t>Firm's</w:t>
                              </w:r>
                              <w:r>
                                <w:rPr>
                                  <w:b/>
                                  <w:sz w:val="14"/>
                                </w:rPr>
                                <w:tab/>
                                <w:t>leverage</w:t>
                              </w:r>
                              <w:r>
                                <w:rPr>
                                  <w:b/>
                                  <w:sz w:val="14"/>
                                </w:rPr>
                                <w:tab/>
                              </w:r>
                            </w:p>
                          </w:txbxContent>
                        </wps:txbx>
                        <wps:bodyPr horzOverflow="overflow" vert="horz" lIns="0" tIns="0" rIns="0" bIns="0" rtlCol="0">
                          <a:noAutofit/>
                        </wps:bodyPr>
                      </wps:wsp>
                    </wpg:wgp>
                  </a:graphicData>
                </a:graphic>
              </wp:inline>
            </w:drawing>
          </mc:Choice>
          <mc:Fallback>
            <w:pict>
              <v:group id="Group 195557" o:spid="_x0000_s1099" style="width:391.4pt;height:227.35pt;mso-position-horizontal-relative:char;mso-position-vertical-relative:line" coordsize="49708,2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">
                <v:shape id="Shape 19058" o:spid="_x0000_s1100" style="position:absolute;left:2615;top:27427;width:47073;height:0;visibility:visible;mso-wrap-style:square;v-text-anchor:top" coordsize="4707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NcYA&#10;AADeAAAADwAAAGRycy9kb3ducmV2LnhtbESPQWvDMAyF74P9B6PCbqvdrSldWreMwmDHLhtsRzXW&#10;ktBYDrGXJv++OhR2k3hP733a7kffqoH62AS2sJgbUMRlcA1XFr4+3x7XoGJCdtgGJgsTRdjv7u+2&#10;mLtw4Q8ailQpCeGYo4U6pS7XOpY1eYzz0BGL9ht6j0nWvtKux4uE+1Y/GbPSHhuWhho7OtRUnos/&#10;b2HQeMyW0/ewes6oMD+Hqe1OhbUPs/F1AyrRmP7Nt+t3J/gvJhNeeUdm0L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d+NcYAAADeAAAADwAAAAAAAAAAAAAAAACYAgAAZHJz&#10;L2Rvd25yZXYueG1sUEsFBgAAAAAEAAQA9QAAAIsDAAAAAA==&#10;" path="m,l4707290,e" filled="f" strokecolor="#d9d9d9" strokeweight=".22014mm">
                  <v:path arrowok="t" textboxrect="0,0,4707290,0"/>
                </v:shape>
                <v:shape id="Shape 19059" o:spid="_x0000_s1101" style="position:absolute;left:2615;top:22936;width:47073;height:0;visibility:visible;mso-wrap-style:square;v-text-anchor:top" coordsize="4707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brsIA&#10;AADeAAAADwAAAGRycy9kb3ducmV2LnhtbERPTWvCQBC9F/wPywje6q7aSE1dRQTBYxsFPU6z0ySY&#10;nQ3ZNSb/3i0UepvH+5z1tre16Kj1lWMNs6kCQZw7U3Gh4Xw6vL6D8AHZYO2YNAzkYbsZvawxNe7B&#10;X9RloRAxhH2KGsoQmlRKn5dk0U9dQxy5H9daDBG2hTQtPmK4reVcqaW0WHFsKLGhfUn5LbtbDZ3E&#10;z+RtuHTLRUKZuu6HuvnOtJ6M+90HiEB9+Bf/uY8mzl+pZAW/78Qb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9uuwgAAAN4AAAAPAAAAAAAAAAAAAAAAAJgCAABkcnMvZG93&#10;bnJldi54bWxQSwUGAAAAAAQABAD1AAAAhwMAAAAA&#10;" path="m,l4707290,e" filled="f" strokecolor="#d9d9d9" strokeweight=".22014mm">
                  <v:path arrowok="t" textboxrect="0,0,4707290,0"/>
                </v:shape>
                <v:shape id="Shape 19060" o:spid="_x0000_s1102" style="position:absolute;left:2615;top:18445;width:47073;height:0;visibility:visible;mso-wrap-style:square;v-text-anchor:top" coordsize="4707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4jsYA&#10;AADeAAAADwAAAGRycy9kb3ducmV2LnhtbESPT2vDMAzF74N9B6NBb4u9Pw1dVreMwqDHLi1sRzXW&#10;krBYDrGXJt++Ogx2k9DTe++33k6+UyMNsQ1s4SEzoIir4FquLZyO7/crUDEhO+wCk4WZImw3tzdr&#10;LFy48AeNZaqVmHAs0EKTUl9oHauGPMYs9MRy+w6DxyTrUGs34EXMfacfjcm1x5YlocGedg1VP+Wv&#10;tzBqPCyf588xf1pSab52c9efS2sXd9PbK6hEU/oX/33vndR/MbkACI7Mo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24jsYAAADeAAAADwAAAAAAAAAAAAAAAACYAgAAZHJz&#10;L2Rvd25yZXYueG1sUEsFBgAAAAAEAAQA9QAAAIsDAAAAAA==&#10;" path="m,l4707290,e" filled="f" strokecolor="#d9d9d9" strokeweight=".22014mm">
                  <v:path arrowok="t" textboxrect="0,0,4707290,0"/>
                </v:shape>
                <v:shape id="Shape 19061" o:spid="_x0000_s1103" style="position:absolute;left:2615;top:14034;width:47073;height:0;visibility:visible;mso-wrap-style:square;v-text-anchor:top" coordsize="4707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dFcMA&#10;AADeAAAADwAAAGRycy9kb3ducmV2LnhtbERPyWrDMBC9F/IPYgK5NZKzmNaNHEKgkGPqBNrj1Jra&#10;ptbIWKpj/31UKPQ2j7fObj/aVgzU+8axhmSpQBCXzjRcabheXh+fQPiAbLB1TBom8rDPZw87zIy7&#10;8RsNRahEDGGfoYY6hC6T0pc1WfRL1xFH7sv1FkOEfSVNj7cYblu5UiqVFhuODTV2dKyp/C5+rIZB&#10;4nm7md6HdL2lQn0cp7b7LLRezMfDC4hAY/gX/7lPJs5/VmkCv+/EG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EdFcMAAADeAAAADwAAAAAAAAAAAAAAAACYAgAAZHJzL2Rv&#10;d25yZXYueG1sUEsFBgAAAAAEAAQA9QAAAIgDAAAAAA==&#10;" path="m,l4707290,e" filled="f" strokecolor="#d9d9d9" strokeweight=".22014mm">
                  <v:path arrowok="t" textboxrect="0,0,4707290,0"/>
                </v:shape>
                <v:shape id="Shape 19062" o:spid="_x0000_s1104" style="position:absolute;left:2615;top:9543;width:47073;height:0;visibility:visible;mso-wrap-style:square;v-text-anchor:top" coordsize="4707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DYsMA&#10;AADeAAAADwAAAGRycy9kb3ducmV2LnhtbERPTWvCQBC9C/0PyxR6093aGtroJhRB6LGmBT1Os9Mk&#10;mJ0N2TUm/74rCN7m8T5nk4+2FQP1vnGs4XmhQBCXzjRcafj53s3fQPiAbLB1TBom8pBnD7MNpsZd&#10;eE9DESoRQ9inqKEOoUul9GVNFv3CdcSR+3O9xRBhX0nT4yWG21YulUqkxYZjQ40dbWsqT8XZahgk&#10;fq1ep8OQvKyoUMft1Ha/hdZPj+PHGkSgMdzFN/enifPfVbKE6zvxB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ODYsMAAADeAAAADwAAAAAAAAAAAAAAAACYAgAAZHJzL2Rv&#10;d25yZXYueG1sUEsFBgAAAAAEAAQA9QAAAIgDAAAAAA==&#10;" path="m,l4707290,e" filled="f" strokecolor="#d9d9d9" strokeweight=".22014mm">
                  <v:path arrowok="t" textboxrect="0,0,4707290,0"/>
                </v:shape>
                <v:shape id="Shape 19063" o:spid="_x0000_s1105" style="position:absolute;left:7845;top:5052;width:0;height:22375;visibility:visible;mso-wrap-style:square;v-text-anchor:top" coordsize="0,223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chsYA&#10;AADeAAAADwAAAGRycy9kb3ducmV2LnhtbERPTWsCMRC9F/ofwgi91cS2bHU1SpEKHkql6sXbuBl3&#10;124m203U1V9vhIK3ebzPGU1aW4kjNb50rKHXVSCIM2dKzjWsV7PnPggfkA1WjknDmTxMxo8PI0yN&#10;O/EPHZchFzGEfYoaihDqVEqfFWTRd11NHLmdayyGCJtcmgZPMdxW8kWpRFosOTYUWNO0oOx3ebAa&#10;8vP0LTGfwV32s7/t9+Z9ofzXQuunTvsxBBGoDXfxv3tu4vyBSl7h9k68QY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mchsYAAADeAAAADwAAAAAAAAAAAAAAAACYAgAAZHJz&#10;L2Rvd25yZXYueG1sUEsFBgAAAAAEAAQA9QAAAIsDAAAAAA==&#10;" path="m,l,2237484e" filled="f" strokecolor="#d9d9d9" strokeweight=".22014mm">
                  <v:path arrowok="t" textboxrect="0,0,0,2237484"/>
                </v:shape>
                <v:shape id="Shape 19064" o:spid="_x0000_s1106" style="position:absolute;left:13075;top:5052;width:0;height:22375;visibility:visible;mso-wrap-style:square;v-text-anchor:top" coordsize="0,223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E8sYA&#10;AADeAAAADwAAAGRycy9kb3ducmV2LnhtbERPS2vCQBC+C/6HZQRvZrdFok1dpUgFD1Lxceltmp0m&#10;abOzaXbV2F/fLQje5uN7zmzR2VqcqfWVYw0PiQJBnDtTcaHheFiNpiB8QDZYOyYNV/KwmPd7M8yM&#10;u/COzvtQiBjCPkMNZQhNJqXPS7LoE9cQR+7TtRZDhG0hTYuXGG5r+ahUKi1WHBtKbGhZUv69P1kN&#10;xXU5Ts1rcL9fq5+Pt/fJVvnNVuvhoHt5BhGoC3fxzb02cf6TSsfw/06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AE8sYAAADeAAAADwAAAAAAAAAAAAAAAACYAgAAZHJz&#10;L2Rvd25yZXYueG1sUEsFBgAAAAAEAAQA9QAAAIsDAAAAAA==&#10;" path="m,l,2237484e" filled="f" strokecolor="#d9d9d9" strokeweight=".22014mm">
                  <v:path arrowok="t" textboxrect="0,0,0,2237484"/>
                </v:shape>
                <v:shape id="Shape 19065" o:spid="_x0000_s1107" style="position:absolute;left:18306;top:5052;width:0;height:22375;visibility:visible;mso-wrap-style:square;v-text-anchor:top" coordsize="0,223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hacYA&#10;AADeAAAADwAAAGRycy9kb3ducmV2LnhtbERPTWsCMRC9F/ofwgi91cTSbnU1SpEKHkql6sXbuBl3&#10;124m203U1V9vhIK3ebzPGU1aW4kjNb50rKHXVSCIM2dKzjWsV7PnPggfkA1WjknDmTxMxo8PI0yN&#10;O/EPHZchFzGEfYoaihDqVEqfFWTRd11NHLmdayyGCJtcmgZPMdxW8kWpRFosOTYUWNO0oOx3ebAa&#10;8vP0NTGfwV32s7/t9+Z9ofzXQuunTvsxBBGoDXfxv3tu4vyBSt7g9k68QY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yhacYAAADeAAAADwAAAAAAAAAAAAAAAACYAgAAZHJz&#10;L2Rvd25yZXYueG1sUEsFBgAAAAAEAAQA9QAAAIsDAAAAAA==&#10;" path="m,l,2237484e" filled="f" strokecolor="#d9d9d9" strokeweight=".22014mm">
                  <v:path arrowok="t" textboxrect="0,0,0,2237484"/>
                </v:shape>
                <v:shape id="Shape 19066" o:spid="_x0000_s1108" style="position:absolute;left:23536;top:5052;width:0;height:22375;visibility:visible;mso-wrap-style:square;v-text-anchor:top" coordsize="0,223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HsUA&#10;AADeAAAADwAAAGRycy9kb3ducmV2LnhtbERPTWsCMRC9F/wPYQRvNbHI1m6NIqLgQSrVXryNm+nu&#10;6may3URd++uNUOhtHu9zxtPWVuJCjS8daxj0FQjizJmScw1fu+XzCIQPyAYrx6ThRh6mk87TGFPj&#10;rvxJl23IRQxhn6KGIoQ6ldJnBVn0fVcTR+7bNRZDhE0uTYPXGG4r+aJUIi2WHBsKrGleUHbanq2G&#10;/DYfJmYR3O9x+XP42L9ulF9vtO5129k7iEBt+Bf/uVcmzn9TSQKPd+IN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j8exQAAAN4AAAAPAAAAAAAAAAAAAAAAAJgCAABkcnMv&#10;ZG93bnJldi54bWxQSwUGAAAAAAQABAD1AAAAigMAAAAA&#10;" path="m,l,2237484e" filled="f" strokecolor="#d9d9d9" strokeweight=".22014mm">
                  <v:path arrowok="t" textboxrect="0,0,0,2237484"/>
                </v:shape>
                <v:shape id="Shape 19067" o:spid="_x0000_s1109" style="position:absolute;left:28766;top:5052;width:0;height:22375;visibility:visible;mso-wrap-style:square;v-text-anchor:top" coordsize="0,223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hcYA&#10;AADeAAAADwAAAGRycy9kb3ducmV2LnhtbERPS2sCMRC+F/wPYQRvNVFktVujiFTooVR8XHqbbsbd&#10;1c1ku0l17a83BcHbfHzPmc5bW4kzNb50rGHQVyCIM2dKzjXsd6vnCQgfkA1WjknDlTzMZ52nKabG&#10;XXhD523IRQxhn6KGIoQ6ldJnBVn0fVcTR+7gGoshwiaXpsFLDLeVHCqVSIslx4YCa1oWlJ22v1ZD&#10;fl2OEvMW3N9x9fP9+TVeK/+x1rrXbRevIAK14SG+u99NnP+ikjH8vxN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ahcYAAADeAAAADwAAAAAAAAAAAAAAAACYAgAAZHJz&#10;L2Rvd25yZXYueG1sUEsFBgAAAAAEAAQA9QAAAIsDAAAAAA==&#10;" path="m,l,2237484e" filled="f" strokecolor="#d9d9d9" strokeweight=".22014mm">
                  <v:path arrowok="t" textboxrect="0,0,0,2237484"/>
                </v:shape>
                <v:shape id="Shape 19068" o:spid="_x0000_s1110" style="position:absolute;left:33997;top:5052;width:0;height:22375;visibility:visible;mso-wrap-style:square;v-text-anchor:top" coordsize="0,223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O98gA&#10;AADeAAAADwAAAGRycy9kb3ducmV2LnhtbESPQU/CQBCF7yb+h82YeJNdiSlSWQghknggENALt7E7&#10;ttXubO2uUPj1zIHE20zem/e+mcx636gDdbEObOFxYEARF8HVXFr4eF8+PIOKCdlhE5gsnCjCbHp7&#10;M8HchSNv6bBLpZIQjjlaqFJqc61jUZHHOAgtsWhfofOYZO1K7To8Srhv9NCYTHusWRoqbGlRUfGz&#10;+/MWytPiKXOvKZy/l7+f6/1oY+JqY+39XT9/AZWoT//m6/WbE/yxyYRX3pEZ9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3Q73yAAAAN4AAAAPAAAAAAAAAAAAAAAAAJgCAABk&#10;cnMvZG93bnJldi54bWxQSwUGAAAAAAQABAD1AAAAjQMAAAAA&#10;" path="m,l,2237484e" filled="f" strokecolor="#d9d9d9" strokeweight=".22014mm">
                  <v:path arrowok="t" textboxrect="0,0,0,2237484"/>
                </v:shape>
                <v:shape id="Shape 19069" o:spid="_x0000_s1111" style="position:absolute;left:39227;top:5052;width:0;height:22375;visibility:visible;mso-wrap-style:square;v-text-anchor:top" coordsize="0,223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rbMYA&#10;AADeAAAADwAAAGRycy9kb3ducmV2LnhtbERPTWvCQBC9F/wPywjeml1LiTW6ikgFD1LR9tLbNDsm&#10;0exsml019td3C0Jv83ifM513thYXan3lWMMwUSCIc2cqLjR8vK8eX0D4gGywdkwabuRhPus9TDEz&#10;7so7uuxDIWII+ww1lCE0mZQ+L8miT1xDHLmDay2GCNtCmhavMdzW8kmpVFqsODaU2NCypPy0P1sN&#10;xW35nJrX4H6Oq++vt8/RVvnNVutBv1tMQATqwr/47l6bOH+s0jH8vRNv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GrbMYAAADeAAAADwAAAAAAAAAAAAAAAACYAgAAZHJz&#10;L2Rvd25yZXYueG1sUEsFBgAAAAAEAAQA9QAAAIsDAAAAAA==&#10;" path="m,l,2237484e" filled="f" strokecolor="#d9d9d9" strokeweight=".22014mm">
                  <v:path arrowok="t" textboxrect="0,0,0,2237484"/>
                </v:shape>
                <v:shape id="Shape 19070" o:spid="_x0000_s1112" style="position:absolute;left:44457;top:5052;width:0;height:22375;visibility:visible;mso-wrap-style:square;v-text-anchor:top" coordsize="0,223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ULMgA&#10;AADeAAAADwAAAGRycy9kb3ducmV2LnhtbESPQW/CMAyF75P2HyIjcRsJE4KtI6AJgcQBDY3tspvX&#10;eG2hcbomQNmvxwek3Wz5+b33Teedr9WJ2lgFtjAcGFDEeXAVFxY+P1YPT6BiQnZYByYLF4own93f&#10;TTFz4czvdNqlQokJxwwtlCk1mdYxL8ljHISGWG4/ofWYZG0L7Vo8i7mv9aMxY+2xYkkosaFFSflh&#10;d/QWistiNHbLFP72q9/vt6/J1sTN1tp+r3t9AZWoS//i2/faSf1nMxEAwZEZ9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cpQsyAAAAN4AAAAPAAAAAAAAAAAAAAAAAJgCAABk&#10;cnMvZG93bnJldi54bWxQSwUGAAAAAAQABAD1AAAAjQMAAAAA&#10;" path="m,l,2237484e" filled="f" strokecolor="#d9d9d9" strokeweight=".22014mm">
                  <v:path arrowok="t" textboxrect="0,0,0,2237484"/>
                </v:shape>
                <v:shape id="Shape 19071" o:spid="_x0000_s1113" style="position:absolute;left:49688;top:5052;width:0;height:22375;visibility:visible;mso-wrap-style:square;v-text-anchor:top" coordsize="0,223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xt8UA&#10;AADeAAAADwAAAGRycy9kb3ducmV2LnhtbERPTWsCMRC9F/ofwhS81UQRratRRBR6EEXrxdu4GXe3&#10;3UzWTaqrv74RCt7m8T5nPG1sKS5U+8Kxhk5bgSBOnSk407D/Wr5/gPAB2WDpmDTcyMN08voyxsS4&#10;K2/psguZiCHsE9SQh1AlUvo0J4u+7SriyJ1cbTFEWGfS1HiN4baUXaX60mLBsSHHiuY5pT+7X6sh&#10;u817fbMI7v69PB/Xh8FG+dVG69ZbMxuBCNSEp/jf/Wni/KEadODxTrxB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jG3xQAAAN4AAAAPAAAAAAAAAAAAAAAAAJgCAABkcnMv&#10;ZG93bnJldi54bWxQSwUGAAAAAAQABAD1AAAAigMAAAAA&#10;" path="m,l,2237484e" filled="f" strokecolor="#d9d9d9" strokeweight=".22014mm">
                  <v:path arrowok="t" textboxrect="0,0,0,2237484"/>
                </v:shape>
                <v:shape id="Shape 19072" o:spid="_x0000_s1114" style="position:absolute;left:2615;top:5052;width:0;height:22375;visibility:visible;mso-wrap-style:square;v-text-anchor:top" coordsize="1,223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oDcIA&#10;AADeAAAADwAAAGRycy9kb3ducmV2LnhtbERPTWvCQBC9F/wPywi9FLOJSE2iaygBpXhr1PuQHZNg&#10;djZkt5r+e7dQ6G0e73O2xWR6cafRdZYVJFEMgri2uuNGwfm0X6QgnEfW2FsmBT/koNjNXraYa/vg&#10;L7pXvhEhhF2OClrvh1xKV7dk0EV2IA7c1Y4GfYBjI/WIjxBuermM43dpsOPQ0OJAZUv1rfo2ClZU&#10;HqWx6eqij1l5yN72aJJeqdf59LEB4Wny/+I/96cO87N4vYTfd8IN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egNwgAAAN4AAAAPAAAAAAAAAAAAAAAAAJgCAABkcnMvZG93&#10;bnJldi54bWxQSwUGAAAAAAQABAD1AAAAhwMAAAAA&#10;" path="m,2237484l1,e" filled="f" strokecolor="#bfbfbf" strokeweight=".22014mm">
                  <v:path arrowok="t" textboxrect="0,0,1,2237484"/>
                </v:shape>
                <v:shape id="Shape 19073" o:spid="_x0000_s1115" style="position:absolute;left:2615;top:5052;width:47073;height:0;visibility:visible;mso-wrap-style:square;v-text-anchor:top" coordsize="4707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ZPq8MA&#10;AADeAAAADwAAAGRycy9kb3ducmV2LnhtbERP22oCMRB9L/QfwhR8q0lrL7oaRYRCQYt4ex824+62&#10;m8mSpLvr3xuh0Lc5nOvMFr2tRUs+VI41PA0VCOLcmYoLDcfDx+MYRIjIBmvHpOFCARbz+7sZZsZ1&#10;vKN2HwuRQjhkqKGMscmkDHlJFsPQNcSJOztvMSboC2k8dinc1vJZqTdpseLUUGJDq5Lyn/2v1eB5&#10;031VL+vtN76ux6fW97RVO60HD/1yCiJSH//Ff+5Pk+ZP1PsIbu+kG+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ZPq8MAAADeAAAADwAAAAAAAAAAAAAAAACYAgAAZHJzL2Rv&#10;d25yZXYueG1sUEsFBgAAAAAEAAQA9QAAAIgDAAAAAA==&#10;" path="m,l4707290,1e" filled="f" strokecolor="#bfbfbf" strokeweight=".22014mm">
                  <v:path arrowok="t" textboxrect="0,0,4707290,1"/>
                </v:shape>
                <v:shape id="Shape 19075" o:spid="_x0000_s1116" style="position:absolute;left:5269;top:5092;width:41843;height:17804;visibility:visible;mso-wrap-style:square;v-text-anchor:top" coordsize="4184258,178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ip8UA&#10;AADeAAAADwAAAGRycy9kb3ducmV2LnhtbERPS2vCQBC+F/oflin0Vnfb+oyuUkqFHnIxrXgdsmMS&#10;zM6G7DaJ/nq3IHibj+85q81ga9FR6yvHGl5HCgRx7kzFhYbfn+3LHIQPyAZrx6ThTB4268eHFSbG&#10;9byjLguFiCHsE9RQhtAkUvq8JIt+5BriyB1dazFE2BbStNjHcFvLN6Wm0mLFsaHEhj5Lyk/Zn9Vw&#10;cpfDe71P02I3tvl5vP9y6VZp/fw0fCxBBBrCXXxzf5s4f6FmE/h/J94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mKnxQAAAN4AAAAPAAAAAAAAAAAAAAAAAJgCAABkcnMv&#10;ZG93bnJldi54bWxQSwUGAAAAAAQABAD1AAAAigMAAAAA&#10;" path="m,l523032,80197r523032,32078l1569097,168413r523032,80196l2615161,400983r523032,152373l3661225,850084r523033,930279e" filled="f" strokecolor="#5e5e5e" strokeweight=".44025mm">
                  <v:stroke endcap="round"/>
                  <v:path arrowok="t" textboxrect="0,0,4184258,1780363"/>
                </v:shape>
                <v:shape id="Shape 19077" o:spid="_x0000_s1117" style="position:absolute;left:5269;top:5092;width:41843;height:11468;visibility:visible;mso-wrap-style:square;v-text-anchor:top" coordsize="4184258,114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n98UA&#10;AADeAAAADwAAAGRycy9kb3ducmV2LnhtbERP3WrCMBS+F/YO4Qx2p6kdWq1G2QaDwRCm6wOcNsem&#10;2JyUJtru7ZfBwLvz8f2e7X60rbhR7xvHCuazBARx5XTDtYLi+326AuEDssbWMSn4IQ/73cNki7l2&#10;Ax/pdgq1iCHsc1RgQuhyKX1lyKKfuY44cmfXWwwR9rXUPQ4x3LYyTZKltNhwbDDY0Zuh6nK6WgVl&#10;UR7NBcvP6/MiPWSLYli/pl9KPT2OLxsQgcZwF/+7P3Scv06yDP7eiT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Gf3xQAAAN4AAAAPAAAAAAAAAAAAAAAAAJgCAABkcnMv&#10;ZG93bnJldi54bWxQSwUGAAAAAAQABAD1AAAAigMAAAAA&#10;" path="m,l523032,104256r523032,40098l1569097,216531r523032,88216l2615161,449101r523032,128314l3661225,769887r523033,376924e" filled="f" strokecolor="#b3b3b3" strokeweight=".44025mm">
                  <v:stroke endcap="round"/>
                  <v:path arrowok="t" textboxrect="0,0,4184258,1146811"/>
                </v:shape>
                <v:shape id="Shape 19079" o:spid="_x0000_s1118" style="position:absolute;left:5269;top:5092;width:41843;height:9624;visibility:visible;mso-wrap-style:square;v-text-anchor:top" coordsize="4184258,96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yUnMMA&#10;AADeAAAADwAAAGRycy9kb3ducmV2LnhtbERPTWsCMRC9F/wPYYReSk3qQetqFBHEetQu9Dpsxt3V&#10;zWRN0t3tv2+EQm/zeJ+z2gy2ER35UDvW8DZRIIgLZ2ouNeSf+9d3ECEiG2wck4YfCrBZj55WmBnX&#10;84m6cyxFCuGQoYYqxjaTMhQVWQwT1xIn7uK8xZigL6Xx2Kdw28ipUjNpsebUUGFLu4qK2/nbapjm&#10;Tdze++Ph5fC19/m1U3M55Fo/j4ftEkSkIf6L/9wfJs1fqPkCHu+k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yUnMMAAADeAAAADwAAAAAAAAAAAAAAAACYAgAAZHJzL2Rv&#10;d25yZXYueG1sUEsFBgAAAAAEAAQA9QAAAIgDAAAAAA==&#10;" path="m,l523032,128315r523032,48117l1569097,256629r523032,88216l2615161,481179r523032,104256l3661225,729789r523033,232569e" filled="f" strokecolor="#898989" strokeweight=".44025mm">
                  <v:stroke endcap="round"/>
                  <v:path arrowok="t" textboxrect="0,0,4184258,962358"/>
                </v:shape>
                <v:rect id="Rectangle 19081" o:spid="_x0000_s1119" style="position:absolute;left:29;top:27006;width:290;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smsUA&#10;AADeAAAADwAAAGRycy9kb3ducmV2LnhtbERPS2vCQBC+C/0PyxS8mY09lCR1FekDPdZESHsbstMk&#10;NDsbslsT++tdQfA2H99zVpvJdOJEg2stK1hGMQjiyuqWawXH4mORgHAeWWNnmRScycFm/TBbYabt&#10;yAc65b4WIYRdhgoa7/tMSlc1ZNBFticO3I8dDPoAh1rqAccQbjr5FMfP0mDLoaHBnl4bqn7zP6Ng&#10;l/Tbr739H+vu/XtXfpbpW5F6peaP0/YFhKfJ38U3916H+WmcLOH6Trh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WyaxQAAAN4AAAAPAAAAAAAAAAAAAAAAAJgCAABkcnMv&#10;ZG93bnJldi54bWxQSwUGAAAAAAQABAD1AAAAigMAAAAA&#10;" filled="f" stroked="f">
                  <v:textbox inset="0,0,0,0">
                    <w:txbxContent>
                      <w:p w:rsidR="00EE13F6" w:rsidRDefault="002E5BC4">
                        <w:r>
                          <w:rPr>
                            <w:color w:val="585858"/>
                            <w:sz w:val="11"/>
                          </w:rPr>
                          <w:t>-</w:t>
                        </w:r>
                      </w:p>
                    </w:txbxContent>
                  </v:textbox>
                </v:rect>
                <v:rect id="Rectangle 195336" o:spid="_x0000_s1120" style="position:absolute;left:1218;top:27006;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LsUA&#10;AADfAAAADwAAAGRycy9kb3ducmV2LnhtbERPy2rCQBTdF/oPwy24q5NWKiY6CVItuqwPUHeXzDUJ&#10;zdwJmdFEv75TKLg8nPcs600trtS6yrKCt2EEgji3uuJCwX739ToB4TyyxtoyKbiRgyx9fpphom3H&#10;G7pufSFCCLsEFZTeN4mULi/JoBvahjhwZ9sa9AG2hdQtdiHc1PI9isbSYMWhocSGPkvKf7YXo2A1&#10;aebHtb13Rb08rQ7fh3ixi71Sg5d+PgXhqfcP8b97rcP8+GM0Gs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XouxQAAAN8AAAAPAAAAAAAAAAAAAAAAAJgCAABkcnMv&#10;ZG93bnJldi54bWxQSwUGAAAAAAQABAD1AAAAigMAAAAA&#10;" filled="f" stroked="f">
                  <v:textbox inset="0,0,0,0">
                    <w:txbxContent>
                      <w:p w:rsidR="00EE13F6" w:rsidRDefault="002E5BC4">
                        <w:r>
                          <w:rPr>
                            <w:color w:val="585858"/>
                            <w:sz w:val="11"/>
                          </w:rPr>
                          <w:t>00</w:t>
                        </w:r>
                      </w:p>
                    </w:txbxContent>
                  </v:textbox>
                </v:rect>
                <v:rect id="Rectangle 195337" o:spid="_x0000_s1121" style="position:absolute;left:1059;top:27006;width:237;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ftcUA&#10;AADfAAAADwAAAGRycy9kb3ducmV2LnhtbERPy2rCQBTdF/oPwy24q5MqPpI6ivhAl1YFdXfJ3Cah&#10;mTshM5ro13cKQpeH857MWlOKG9WusKzgoxuBIE6tLjhTcDys38cgnEfWWFomBXdyMJu+vkww0bbh&#10;L7rtfSZCCLsEFeTeV4mULs3JoOvaijhw37Y26AOsM6lrbEK4KWUviobSYMGhIceKFjmlP/urUbAZ&#10;V/Pz1j6arFxdNqfdKV4eYq9U562df4Lw1Pp/8dO91WF+POj3R/D3JwC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d+1xQAAAN8AAAAPAAAAAAAAAAAAAAAAAJgCAABkcnMv&#10;ZG93bnJldi54bWxQSwUGAAAAAAQABAD1AAAAigMAAAAA&#10;" filled="f" stroked="f">
                  <v:textbox inset="0,0,0,0">
                    <w:txbxContent>
                      <w:p w:rsidR="00EE13F6" w:rsidRDefault="002E5BC4">
                        <w:r>
                          <w:rPr>
                            <w:color w:val="585858"/>
                            <w:sz w:val="11"/>
                          </w:rPr>
                          <w:t>,</w:t>
                        </w:r>
                      </w:p>
                    </w:txbxContent>
                  </v:textbox>
                </v:rect>
                <v:rect id="Rectangle 195335" o:spid="_x0000_s1122" style="position:absolute;left:266;top:27006;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kWcQA&#10;AADfAAAADwAAAGRycy9kb3ducmV2LnhtbERPy2rCQBTdC/2H4Rbc6aQVxcRMRPpAl1UL6u6SuSah&#10;mTshM5rUr3cKQpeH806XvanFlVpXWVbwMo5AEOdWV1wo+N5/juYgnEfWWFsmBb/kYJk9DVJMtO14&#10;S9edL0QIYZeggtL7JpHS5SUZdGPbEAfubFuDPsC2kLrFLoSbWr5G0UwarDg0lNjQW0n5z+5iFKzn&#10;zeq4sbeuqD9O68PXIX7fx16p4XO/WoDw1Pt/8cO90WF+PJ1MpvD3JwC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75FnEAAAA3wAAAA8AAAAAAAAAAAAAAAAAmAIAAGRycy9k&#10;b3ducmV2LnhtbFBLBQYAAAAABAAEAPUAAACJAwAAAAA=&#10;" filled="f" stroked="f">
                  <v:textbox inset="0,0,0,0">
                    <w:txbxContent>
                      <w:p w:rsidR="00EE13F6" w:rsidRDefault="002E5BC4">
                        <w:r>
                          <w:rPr>
                            <w:color w:val="585858"/>
                            <w:sz w:val="11"/>
                          </w:rPr>
                          <w:t>25</w:t>
                        </w:r>
                      </w:p>
                    </w:txbxContent>
                  </v:textbox>
                </v:rect>
                <v:rect id="Rectangle 19083" o:spid="_x0000_s1123" style="position:absolute;left:29;top:22539;width:290;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XdsUA&#10;AADeAAAADwAAAGRycy9kb3ducmV2LnhtbERPS2vCQBC+F/oflin0VjdtQZKYjUgf6LEaQb0N2TEJ&#10;ZmdDdmtSf31XELzNx/ecbD6aVpypd41lBa+TCARxaXXDlYJt8f0Sg3AeWWNrmRT8kYN5/viQYart&#10;wGs6b3wlQgi7FBXU3neplK6syaCb2I44cEfbG/QB9pXUPQ4h3LTyLYqm0mDDoaHGjj5qKk+bX6Ng&#10;GXeL/cpehqr9Oix3P7vks0i8Us9P42IGwtPo7+Kbe6XD/CSK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1d2xQAAAN4AAAAPAAAAAAAAAAAAAAAAAJgCAABkcnMv&#10;ZG93bnJldi54bWxQSwUGAAAAAAQABAD1AAAAigMAAAAA&#10;" filled="f" stroked="f">
                  <v:textbox inset="0,0,0,0">
                    <w:txbxContent>
                      <w:p w:rsidR="00EE13F6" w:rsidRDefault="002E5BC4">
                        <w:r>
                          <w:rPr>
                            <w:color w:val="585858"/>
                            <w:sz w:val="11"/>
                          </w:rPr>
                          <w:t>-</w:t>
                        </w:r>
                      </w:p>
                    </w:txbxContent>
                  </v:textbox>
                </v:rect>
                <v:rect id="Rectangle 195334" o:spid="_x0000_s1124" style="position:absolute;left:1059;top:22539;width:237;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BwsQA&#10;AADfAAAADwAAAGRycy9kb3ducmV2LnhtbERPy2rCQBTdF/oPwy24q5P6wqSOIj7QpVVB3V0yt0lo&#10;5k7IjCb69Z2C0OXhvCez1pTiRrUrLCv46EYgiFOrC84UHA/r9zEI55E1lpZJwZ0czKavLxNMtG34&#10;i257n4kQwi5BBbn3VSKlS3My6Lq2Ig7ct60N+gDrTOoamxBuStmLopE0WHBoyLGiRU7pz/5qFGzG&#10;1fy8tY8mK1eXzWl3ipeH2CvVeWvnnyA8tf5f/HRvdZgfD/v9Afz9CQD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3QcLEAAAA3wAAAA8AAAAAAAAAAAAAAAAAmAIAAGRycy9k&#10;b3ducmV2LnhtbFBLBQYAAAAABAAEAPUAAACJAwAAAAA=&#10;" filled="f" stroked="f">
                  <v:textbox inset="0,0,0,0">
                    <w:txbxContent>
                      <w:p w:rsidR="00EE13F6" w:rsidRDefault="002E5BC4">
                        <w:r>
                          <w:rPr>
                            <w:color w:val="585858"/>
                            <w:sz w:val="11"/>
                          </w:rPr>
                          <w:t>,</w:t>
                        </w:r>
                      </w:p>
                    </w:txbxContent>
                  </v:textbox>
                </v:rect>
                <v:rect id="Rectangle 195333" o:spid="_x0000_s1125" style="position:absolute;left:1218;top:22539;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ZtsUA&#10;AADfAAAADwAAAGRycy9kb3ducmV2LnhtbERPy2rCQBTdC/2H4Rbc6aQGi0kzEakWXfoo2O4umdsk&#10;NHMnZKYm9us7QsHl4byz5WAacaHO1ZYVPE0jEMSF1TWXCt5Pb5MFCOeRNTaWScGVHCzzh1GGqbY9&#10;H+hy9KUIIexSVFB536ZSuqIig25qW+LAfdnOoA+wK6XusA/hppGzKHqWBmsODRW29FpR8X38MQq2&#10;i3b1sbO/fdlsPrfn/TlZnxKv1PhxWL2A8DT4u/jfvdNhfjKP4xhufwI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tm2xQAAAN8AAAAPAAAAAAAAAAAAAAAAAJgCAABkcnMv&#10;ZG93bnJldi54bWxQSwUGAAAAAAQABAD1AAAAigMAAAAA&#10;" filled="f" stroked="f">
                  <v:textbox inset="0,0,0,0">
                    <w:txbxContent>
                      <w:p w:rsidR="00EE13F6" w:rsidRDefault="002E5BC4">
                        <w:r>
                          <w:rPr>
                            <w:color w:val="585858"/>
                            <w:sz w:val="11"/>
                          </w:rPr>
                          <w:t>00</w:t>
                        </w:r>
                      </w:p>
                    </w:txbxContent>
                  </v:textbox>
                </v:rect>
                <v:rect id="Rectangle 195332" o:spid="_x0000_s1126" style="position:absolute;left:266;top:22539;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8LcUA&#10;AADfAAAADwAAAGRycy9kb3ducmV2LnhtbERPTWvCQBC9F/wPywi91Y1KxaSuIlpJjlULtrchO02C&#10;2dmQXU3qr3cLQo+P971Y9aYWV2pdZVnBeBSBIM6trrhQ8HncvcxBOI+ssbZMCn7JwWo5eFpgom3H&#10;e7oefCFCCLsEFZTeN4mULi/JoBvZhjhwP7Y16ANsC6lb7EK4qeUkimbSYMWhocSGNiXl58PFKEjn&#10;zfors7euqN+/09PHKd4eY6/U87Bfv4Hw1Pt/8cOd6TA/fp1OJ/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nwtxQAAAN8AAAAPAAAAAAAAAAAAAAAAAJgCAABkcnMv&#10;ZG93bnJldi54bWxQSwUGAAAAAAQABAD1AAAAigMAAAAA&#10;" filled="f" stroked="f">
                  <v:textbox inset="0,0,0,0">
                    <w:txbxContent>
                      <w:p w:rsidR="00EE13F6" w:rsidRDefault="002E5BC4">
                        <w:r>
                          <w:rPr>
                            <w:color w:val="585858"/>
                            <w:sz w:val="11"/>
                          </w:rPr>
                          <w:t>20</w:t>
                        </w:r>
                      </w:p>
                    </w:txbxContent>
                  </v:textbox>
                </v:rect>
                <v:rect id="Rectangle 19085" o:spid="_x0000_s1127" style="position:absolute;left:29;top:18062;width:316;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qmcUA&#10;AADeAAAADwAAAGRycy9kb3ducmV2LnhtbERPS2vCQBC+F/oflin0VjctVJKYjUgf6LEaQb0N2TEJ&#10;ZmdDdmtSf31XELzNx/ecbD6aVpypd41lBa+TCARxaXXDlYJt8f0Sg3AeWWNrmRT8kYN5/viQYart&#10;wGs6b3wlQgi7FBXU3neplK6syaCb2I44cEfbG/QB9pXUPQ4h3LTyLYqm0mDDoaHGjj5qKk+bX6Ng&#10;GXeL/cpehqr9Oix3P7vks0i8Us9P42IGwtPo7+Kbe6XD/CSK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mqZ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1"/>
                          </w:rPr>
                          <w:t>-</w:t>
                        </w:r>
                      </w:p>
                    </w:txbxContent>
                  </v:textbox>
                </v:rect>
                <v:rect id="Rectangle 19086" o:spid="_x0000_s1128" style="position:absolute;left:266;top:18062;width:47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07sUA&#10;AADeAAAADwAAAGRycy9kb3ducmV2LnhtbERPTWvCQBC9C/0PyxR60009hCR1FWktybFVwXobsmMS&#10;mp0N2W2S9td3BcHbPN7nrDaTacVAvWssK3heRCCIS6sbrhQcD+/zBITzyBpby6Tglxxs1g+zFWba&#10;jvxJw95XIoSwy1BB7X2XSenKmgy6he2IA3exvUEfYF9J3eMYwk0rl1EUS4MNh4YaO3qtqfze/xgF&#10;edJtvwr7N1bt7pyfPk7p2yH1Sj09TtsXEJ4mfxff3IUO89MoieH6Tr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PTu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1"/>
                          </w:rPr>
                          <w:t>1</w:t>
                        </w:r>
                      </w:p>
                    </w:txbxContent>
                  </v:textbox>
                </v:rect>
                <v:rect id="Rectangle 19087" o:spid="_x0000_s1129" style="position:absolute;left:663;top:18062;width:474;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RdcUA&#10;AADeAAAADwAAAGRycy9kb3ducmV2LnhtbERPS2vCQBC+F/oflin0VjftoSYxG5E+0GM1gnobsmMS&#10;zM6G7Nak/vquIHibj+852Xw0rThT7xrLCl4nEQji0uqGKwXb4vslBuE8ssbWMin4Iwfz/PEhw1Tb&#10;gdd03vhKhBB2KSqove9SKV1Zk0E3sR1x4I62N+gD7CupexxCuGnlWxS9S4MNh4YaO/qoqTxtfo2C&#10;Zdwt9it7Gar267Dc/eySzyLxSj0/jYsZCE+jv4tv7pUO85MonsL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FF1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1"/>
                          </w:rPr>
                          <w:t>5</w:t>
                        </w:r>
                      </w:p>
                    </w:txbxContent>
                  </v:textbox>
                </v:rect>
                <v:rect id="Rectangle 19088" o:spid="_x0000_s1130" style="position:absolute;left:1059;top:18062;width:237;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FB8cA&#10;AADeAAAADwAAAGRycy9kb3ducmV2LnhtbESPQW/CMAyF75P4D5GRuI2UHVDbERACJjgymMR2sxqv&#10;rdY4VRNo4dfPh0m72XrP731erAbXqBt1ofZsYDZNQBEX3tZcGvg4vz2noEJEtth4JgN3CrBajp4W&#10;mFvf8zvdTrFUEsIhRwNVjG2udSgqchimviUW7dt3DqOsXalth72Eu0a/JMlcO6xZGipsaVNR8XO6&#10;OgP7tF1/HvyjL5vd1/5yvGTbcxaNmYyH9SuoSEP8N/9dH6zgZ0kq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bxQf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1"/>
                          </w:rPr>
                          <w:t>,</w:t>
                        </w:r>
                      </w:p>
                    </w:txbxContent>
                  </v:textbox>
                </v:rect>
                <v:rect id="Rectangle 19089" o:spid="_x0000_s1131" style="position:absolute;left:1217;top:18062;width:47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gnMUA&#10;AADeAAAADwAAAGRycy9kb3ducmV2LnhtbERPS2vCQBC+F/oflil4q5v2UJLoKtIHydEaQb0N2TEJ&#10;ZmdDdptEf323UPA2H99zluvJtGKg3jWWFbzMIxDEpdUNVwr2xddzDMJ5ZI2tZVJwJQfr1ePDElNt&#10;R/6mYecrEULYpaig9r5LpXRlTQbd3HbEgTvb3qAPsK+k7nEM4aaVr1H0Jg02HBpq7Oi9pvKy+zEK&#10;srjbHHN7G6v285Qdtofko0i8UrOnabMA4Wnyd/G/O9dhfhLF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2Cc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1"/>
                          </w:rPr>
                          <w:t>0</w:t>
                        </w:r>
                      </w:p>
                    </w:txbxContent>
                  </v:textbox>
                </v:rect>
                <v:rect id="Rectangle 19090" o:spid="_x0000_s1132" style="position:absolute;left:1614;top:18062;width:474;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f3MYA&#10;AADeAAAADwAAAGRycy9kb3ducmV2LnhtbESPQW/CMAyF75P2HyJP4jZSdkC0EBBim+DIYBLjZjWm&#10;rWicqgm08OvnAxI3W35+732zRe9qdaU2VJ4NjIYJKOLc24oLA7/77/cJqBCRLdaeycCNAizmry8z&#10;zKzv+Ieuu1goMeGQoYEyxibTOuQlOQxD3xDL7eRbh1HWttC2xU7MXa0/kmSsHVYsCSU2tCopP+8u&#10;zsB60iz/Nv7eFfXXcX3YHtLPfRqNGbz1yymoSH18ih/fGyv10yQVAMGRG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Rf3M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1"/>
                          </w:rPr>
                          <w:t>0</w:t>
                        </w:r>
                      </w:p>
                    </w:txbxContent>
                  </v:textbox>
                </v:rect>
                <v:rect id="Rectangle 19091" o:spid="_x0000_s1133" style="position:absolute;left:29;top:13606;width:290;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6R8MA&#10;AADeAAAADwAAAGRycy9kb3ducmV2LnhtbERPS4vCMBC+L/gfwgh7W1M9iK1GER/o0Rfo3oZmti02&#10;k9JE2/XXG0HwNh/fcyaz1pTiTrUrLCvo9yIQxKnVBWcKTsf1zwiE88gaS8uk4J8czKadrwkm2ja8&#10;p/vBZyKEsEtQQe59lUjp0pwMup6tiAP3Z2uDPsA6k7rGJoSbUg6iaCgNFhwacqxokVN6PdyMgs2o&#10;ml+29tFk5ep3c96d4+Ux9kp9d9v5GISn1n/Eb/dWh/lxFPfh9U6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j6R8MAAADeAAAADwAAAAAAAAAAAAAAAACYAgAAZHJzL2Rv&#10;d25yZXYueG1sUEsFBgAAAAAEAAQA9QAAAIgDAAAAAA==&#10;" filled="f" stroked="f">
                  <v:textbox inset="0,0,0,0">
                    <w:txbxContent>
                      <w:p w:rsidR="00EE13F6" w:rsidRDefault="002E5BC4">
                        <w:r>
                          <w:rPr>
                            <w:color w:val="585858"/>
                            <w:sz w:val="11"/>
                          </w:rPr>
                          <w:t>-</w:t>
                        </w:r>
                      </w:p>
                    </w:txbxContent>
                  </v:textbox>
                </v:rect>
                <v:rect id="Rectangle 195329" o:spid="_x0000_s1134" style="position:absolute;left:266;top:13606;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94gcQA&#10;AADfAAAADwAAAGRycy9kb3ducmV2LnhtbERPy2rCQBTdC/7DcAvudFLFYqKjiG3RpS9Qd5fMNQlm&#10;7oTM1MR+fUcouDyc92zRmlLcqXaFZQXvgwgEcWp1wZmC4+G7PwHhPLLG0jIpeJCDxbzbmWGibcM7&#10;uu99JkIIuwQV5N5XiZQuzcmgG9iKOHBXWxv0AdaZ1DU2IdyUchhFH9JgwaEhx4pWOaW3/Y9RsJ5U&#10;y/PG/jZZ+XVZn7an+PMQe6V6b+1yCsJT61/if/dGh/nxeDSM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eIHEAAAA3wAAAA8AAAAAAAAAAAAAAAAAmAIAAGRycy9k&#10;b3ducmV2LnhtbFBLBQYAAAAABAAEAPUAAACJAwAAAAA=&#10;" filled="f" stroked="f">
                  <v:textbox inset="0,0,0,0">
                    <w:txbxContent>
                      <w:p w:rsidR="00EE13F6" w:rsidRDefault="002E5BC4">
                        <w:r>
                          <w:rPr>
                            <w:color w:val="585858"/>
                            <w:sz w:val="11"/>
                          </w:rPr>
                          <w:t>10</w:t>
                        </w:r>
                      </w:p>
                    </w:txbxContent>
                  </v:textbox>
                </v:rect>
                <v:rect id="Rectangle 195330" o:spid="_x0000_s1135" style="position:absolute;left:1218;top:13606;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HwcUA&#10;AADfAAAADwAAAGRycy9kb3ducmV2LnhtbERPS2vCQBC+F/oflil4q5sqFhNdRWxFj/UBtrchOyah&#10;2dmQXU3aX985FDx+fO/5sne1ulEbKs8GXoYJKOLc24oLA6fj5nkKKkRki7VnMvBDAZaLx4c5ZtZ3&#10;vKfbIRZKQjhkaKCMscm0DnlJDsPQN8TCXXzrMApsC21b7CTc1XqUJK/aYcXSUGJD65Ly78PVGdhO&#10;m9Xnzv92Rf3+tT1/nNO3YxqNGTz1qxmoSH28i//dOyvz08l4LA/k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EfBxQAAAN8AAAAPAAAAAAAAAAAAAAAAAJgCAABkcnMv&#10;ZG93bnJldi54bWxQSwUGAAAAAAQABAD1AAAAigMAAAAA&#10;" filled="f" stroked="f">
                  <v:textbox inset="0,0,0,0">
                    <w:txbxContent>
                      <w:p w:rsidR="00EE13F6" w:rsidRDefault="002E5BC4">
                        <w:r>
                          <w:rPr>
                            <w:color w:val="585858"/>
                            <w:sz w:val="11"/>
                          </w:rPr>
                          <w:t>00</w:t>
                        </w:r>
                      </w:p>
                    </w:txbxContent>
                  </v:textbox>
                </v:rect>
                <v:rect id="Rectangle 195331" o:spid="_x0000_s1136" style="position:absolute;left:1059;top:13606;width:237;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iWsUA&#10;AADfAAAADwAAAGRycy9kb3ducmV2LnhtbERPy2rCQBTdC/2H4Rbc6cSKxUQnQVqLLn0U1N0lc01C&#10;M3dCZmpiv74jFLo8nPcy600tbtS6yrKCyTgCQZxbXXGh4PP4MZqDcB5ZY22ZFNzJQZY+DZaYaNvx&#10;nm4HX4gQwi5BBaX3TSKly0sy6Ma2IQ7c1bYGfYBtIXWLXQg3tXyJoldpsOLQUGJDbyXlX4dvo2Az&#10;b1bnrf3pinp92Zx2p/j9GHulhs/9agHCU+//xX/urQ7z49l0OoH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OJaxQAAAN8AAAAPAAAAAAAAAAAAAAAAAJgCAABkcnMv&#10;ZG93bnJldi54bWxQSwUGAAAAAAQABAD1AAAAigMAAAAA&#10;" filled="f" stroked="f">
                  <v:textbox inset="0,0,0,0">
                    <w:txbxContent>
                      <w:p w:rsidR="00EE13F6" w:rsidRDefault="002E5BC4">
                        <w:r>
                          <w:rPr>
                            <w:color w:val="585858"/>
                            <w:sz w:val="11"/>
                          </w:rPr>
                          <w:t>,</w:t>
                        </w:r>
                      </w:p>
                    </w:txbxContent>
                  </v:textbox>
                </v:rect>
                <v:rect id="Rectangle 19093" o:spid="_x0000_s1137" style="position:absolute;left:445;top:9128;width:316;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q8QA&#10;AADeAAAADwAAAGRycy9kb3ducmV2LnhtbERPS4vCMBC+L/gfwgh7W1MVxFajiK7ocX2AehuasS02&#10;k9JkbddfvxEEb/PxPWc6b00p7lS7wrKCfi8CQZxaXXCm4HhYf41BOI+ssbRMCv7IwXzW+Zhiom3D&#10;O7rvfSZCCLsEFeTeV4mULs3JoOvZijhwV1sb9AHWmdQ1NiHclHIQRSNpsODQkGNFy5zS2/7XKNiM&#10;q8V5ax9NVn5fNqefU7w6xF6pz267mIDw1Pq3+OXe6jA/juIh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wav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1"/>
                          </w:rPr>
                          <w:t>-</w:t>
                        </w:r>
                      </w:p>
                    </w:txbxContent>
                  </v:textbox>
                </v:rect>
                <v:rect id="Rectangle 19094" o:spid="_x0000_s1138" style="position:absolute;left:682;top:9128;width:475;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Z38QA&#10;AADeAAAADwAAAGRycy9kb3ducmV2LnhtbERPS4vCMBC+L/gfwgh7W1NFxFajiK7ocX2AehuasS02&#10;k9JkbddfvxEEb/PxPWc6b00p7lS7wrKCfi8CQZxaXXCm4HhYf41BOI+ssbRMCv7IwXzW+Zhiom3D&#10;O7rvfSZCCLsEFeTeV4mULs3JoOvZijhwV1sb9AHWmdQ1NiHclHIQRSNpsODQkGNFy5zS2/7XKNiM&#10;q8V5ax9NVn5fNqefU7w6xF6pz267mIDw1Pq3+OXe6jA/juIh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PWd/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1"/>
                          </w:rPr>
                          <w:t>5</w:t>
                        </w:r>
                      </w:p>
                    </w:txbxContent>
                  </v:textbox>
                </v:rect>
                <v:rect id="Rectangle 19095" o:spid="_x0000_s1139" style="position:absolute;left:1079;top:9128;width:237;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8RMQA&#10;AADeAAAADwAAAGRycy9kb3ducmV2LnhtbERPS4vCMBC+L/gfwgh7W1MFxVajiK7ocX2AehuasS02&#10;k9JkbddfvxEEb/PxPWc6b00p7lS7wrKCfi8CQZxaXXCm4HhYf41BOI+ssbRMCv7IwXzW+Zhiom3D&#10;O7rvfSZCCLsEFeTeV4mULs3JoOvZijhwV1sb9AHWmdQ1NiHclHIQRSNpsODQkGNFy5zS2/7XKNiM&#10;q8V5ax9NVn5fNqefU7w6xF6pz267mIDw1Pq3+OXe6jA/juIh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ET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1"/>
                          </w:rPr>
                          <w:t>,</w:t>
                        </w:r>
                      </w:p>
                    </w:txbxContent>
                  </v:textbox>
                </v:rect>
                <v:rect id="Rectangle 19096" o:spid="_x0000_s1140" style="position:absolute;left:1237;top:9128;width:475;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iM8MA&#10;AADeAAAADwAAAGRycy9kb3ducmV2LnhtbERPS4vCMBC+C/6HMMLeNNWD2K5RZHXRoy/oehuasS3b&#10;TEqTtV1/vREEb/PxPWe+7EwlbtS40rKC8SgCQZxZXXKu4Hz6Hs5AOI+ssbJMCv7JwXLR780x0bbl&#10;A92OPhchhF2CCgrv60RKlxVk0I1sTRy4q20M+gCbXOoG2xBuKjmJoqk0WHJoKLCmr4Ky3+OfUbCd&#10;1aufnb23ebW5bNN9Gq9PsVfqY9CtPkF46vxb/HLvdJgfR/EU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FiM8MAAADeAAAADwAAAAAAAAAAAAAAAACYAgAAZHJzL2Rv&#10;d25yZXYueG1sUEsFBgAAAAAEAAQA9QAAAIgDAAAAAA==&#10;" filled="f" stroked="f">
                  <v:textbox inset="0,0,0,0">
                    <w:txbxContent>
                      <w:p w:rsidR="00EE13F6" w:rsidRDefault="002E5BC4">
                        <w:r>
                          <w:rPr>
                            <w:rFonts w:ascii="Times New Roman" w:eastAsia="Times New Roman" w:hAnsi="Times New Roman" w:cs="Times New Roman"/>
                            <w:color w:val="585858"/>
                            <w:sz w:val="11"/>
                          </w:rPr>
                          <w:t>0</w:t>
                        </w:r>
                      </w:p>
                    </w:txbxContent>
                  </v:textbox>
                </v:rect>
                <v:rect id="Rectangle 19097" o:spid="_x0000_s1141" style="position:absolute;left:1633;top:9128;width:475;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HqMQA&#10;AADeAAAADwAAAGRycy9kb3ducmV2LnhtbERPS4vCMBC+L/gfwgh7W1M9qK1GEV3R4/oA9TY0Y1ts&#10;JqXJ2q6/fiMI3ubje8503ppS3Kl2hWUF/V4Egji1uuBMwfGw/hqDcB5ZY2mZFPyRg/ms8zHFRNuG&#10;d3Tf+0yEEHYJKsi9rxIpXZqTQdezFXHgrrY26AOsM6lrbEK4KeUgiobSYMGhIceKljmlt/2vUbAZ&#10;V4vz1j6arPy+bE4/p3h1iL1Sn912MQHhqfVv8cu91WF+HMUjeL4Tb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x6j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1"/>
                          </w:rPr>
                          <w:t>0</w:t>
                        </w:r>
                      </w:p>
                    </w:txbxContent>
                  </v:textbox>
                </v:rect>
                <v:rect id="Rectangle 195302" o:spid="_x0000_s1142" style="position:absolute;left:636;top:4672;width:481;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2kMQA&#10;AADfAAAADwAAAGRycy9kb3ducmV2LnhtbERPy2rCQBTdC/7DcAV3OlFpMdFRxLbosj5A3V0y1ySY&#10;uRMyU5P69U6h4PJw3vNla0pxp9oVlhWMhhEI4tTqgjMFx8PXYArCeWSNpWVS8EsOlotuZ46Jtg3v&#10;6L73mQgh7BJUkHtfJVK6NCeDbmgr4sBdbW3QB1hnUtfYhHBTynEUvUuDBYeGHCta55Te9j9GwWZa&#10;rc5b+2iy8vOyOX2f4o9D7JXq99rVDISn1r/E/+6tDvPjt0k0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pDEAAAA3wAAAA8AAAAAAAAAAAAAAAAAmAIAAGRycy9k&#10;b3ducmV2LnhtbFBLBQYAAAAABAAEAPUAAACJAwAAAAA=&#10;" filled="f" stroked="f">
                  <v:textbox inset="0,0,0,0">
                    <w:txbxContent>
                      <w:p w:rsidR="00EE13F6" w:rsidRDefault="002E5BC4">
                        <w:r>
                          <w:rPr>
                            <w:color w:val="585858"/>
                            <w:sz w:val="11"/>
                          </w:rPr>
                          <w:t>0</w:t>
                        </w:r>
                      </w:p>
                    </w:txbxContent>
                  </v:textbox>
                </v:rect>
                <v:rect id="Rectangle 195304" o:spid="_x0000_s1143" style="position:absolute;left:1032;top:4672;width:237;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Lf8QA&#10;AADfAAAADwAAAGRycy9kb3ducmV2LnhtbERPTWvCQBC9C/0PyxR60422FhNdRVqLHlsV1NuQHZNg&#10;djZkVxP99a4g9Ph435NZa0pxodoVlhX0exEI4tTqgjMF281PdwTCeWSNpWVScCUHs+lLZ4KJtg3/&#10;0WXtMxFC2CWoIPe+SqR0aU4GXc9WxIE72tqgD7DOpK6xCeGmlIMo+pQGCw4NOVb0lVN6Wp+NguWo&#10;mu9X9tZk5eKw3P3u4u9N7JV6e23nYxCeWv8vfrpXOsyPh+/RBz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i3/EAAAA3wAAAA8AAAAAAAAAAAAAAAAAmAIAAGRycy9k&#10;b3ducmV2LnhtbFBLBQYAAAAABAAEAPUAAACJAwAAAAA=&#10;" filled="f" stroked="f">
                  <v:textbox inset="0,0,0,0">
                    <w:txbxContent>
                      <w:p w:rsidR="00EE13F6" w:rsidRDefault="002E5BC4">
                        <w:r>
                          <w:rPr>
                            <w:color w:val="585858"/>
                            <w:sz w:val="11"/>
                          </w:rPr>
                          <w:t>,</w:t>
                        </w:r>
                      </w:p>
                    </w:txbxContent>
                  </v:textbox>
                </v:rect>
                <v:rect id="Rectangle 195303" o:spid="_x0000_s1144" style="position:absolute;left:1191;top:4672;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TC8QA&#10;AADfAAAADwAAAGRycy9kb3ducmV2LnhtbERPTWvCQBC9C/6HZQredNNKxcSsIlbRY9VC6m3ITpPQ&#10;7GzIribtr+8WBI+P952uelOLG7WusqzgeRKBIM6trrhQ8HHejecgnEfWWFsmBT/kYLUcDlJMtO34&#10;SLeTL0QIYZeggtL7JpHS5SUZdBPbEAfuy7YGfYBtIXWLXQg3tXyJopk0WHFoKLGhTUn59+lqFOzn&#10;zfrzYH+7ot5e9tl7Fr+dY6/U6KlfL0B46v1DfHcfdJgfv06jKf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EwvEAAAA3wAAAA8AAAAAAAAAAAAAAAAAmAIAAGRycy9k&#10;b3ducmV2LnhtbFBLBQYAAAAABAAEAPUAAACJAwAAAAA=&#10;" filled="f" stroked="f">
                  <v:textbox inset="0,0,0,0">
                    <w:txbxContent>
                      <w:p w:rsidR="00EE13F6" w:rsidRDefault="002E5BC4">
                        <w:r>
                          <w:rPr>
                            <w:color w:val="585858"/>
                            <w:sz w:val="11"/>
                          </w:rPr>
                          <w:t>00</w:t>
                        </w:r>
                      </w:p>
                    </w:txbxContent>
                  </v:textbox>
                </v:rect>
                <v:rect id="Rectangle 195306" o:spid="_x0000_s1145" style="position:absolute;left:5098;top:5571;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wk8QA&#10;AADfAAAADwAAAGRycy9kb3ducmV2LnhtbERPTWvCQBC9C/0PyxS86aYWxURXkVrRo9WC9TZkxySY&#10;nQ3Z1UR/vSsIPT7e93TemlJcqXaFZQUf/QgEcWp1wZmC3/2qNwbhPLLG0jIpuJGD+eytM8VE24Z/&#10;6LrzmQgh7BJUkHtfJVK6NCeDrm8r4sCdbG3QB1hnUtfYhHBTykEUjaTBgkNDjhV95ZSedxejYD2u&#10;Fn8be2+y8vu4PmwP8XIfe6W67+1iAsJT6//FL/dGh/nx8DMa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sJPEAAAA3wAAAA8AAAAAAAAAAAAAAAAAmAIAAGRycy9k&#10;b3ducmV2LnhtbFBLBQYAAAAABAAEAPUAAACJAwAAAAA=&#10;" filled="f" stroked="f">
                  <v:textbox inset="0,0,0,0">
                    <w:txbxContent>
                      <w:p w:rsidR="00EE13F6" w:rsidRDefault="002E5BC4">
                        <w:r>
                          <w:rPr>
                            <w:color w:val="585858"/>
                            <w:sz w:val="11"/>
                          </w:rPr>
                          <w:t>25</w:t>
                        </w:r>
                      </w:p>
                    </w:txbxContent>
                  </v:textbox>
                </v:rect>
                <v:rect id="Rectangle 195305" o:spid="_x0000_s1146" style="position:absolute;left:4543;top:5571;width:481;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u5MQA&#10;AADfAAAADwAAAGRycy9kb3ducmV2LnhtbERPTWvCQBC9C/0PyxS86aaKJYmuIlXRY9WC9TZkp0lo&#10;djZkVxP99W6h4PHxvmeLzlTiSo0rLSt4G0YgiDOrS84VfB03gxiE88gaK8uk4EYOFvOX3gxTbVve&#10;0/XgcxFC2KWooPC+TqV0WUEG3dDWxIH7sY1BH2CTS91gG8JNJUdR9C4NlhwaCqzpo6Ds93AxCrZx&#10;vfze2XubV+vz9vR5SlbHxCvVf+2WUxCeOv8U/7t3OsxPJuNoA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LuTEAAAA3wAAAA8AAAAAAAAAAAAAAAAAmAIAAGRycy9k&#10;b3ducmV2LnhtbFBLBQYAAAAABAAEAPUAAACJAwAAAAA=&#10;" filled="f" stroked="f">
                  <v:textbox inset="0,0,0,0">
                    <w:txbxContent>
                      <w:p w:rsidR="00EE13F6" w:rsidRDefault="002E5BC4">
                        <w:r>
                          <w:rPr>
                            <w:color w:val="585858"/>
                            <w:sz w:val="11"/>
                          </w:rPr>
                          <w:t>1</w:t>
                        </w:r>
                      </w:p>
                    </w:txbxContent>
                  </v:textbox>
                </v:rect>
                <v:rect id="Rectangle 195307" o:spid="_x0000_s1147" style="position:absolute;left:4940;top:5571;width:237;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VCMQA&#10;AADfAAAADwAAAGRycy9kb3ducmV2LnhtbERPTWvCQBC9C/0PyxR6042WWhNdRVqLHlsV1NuQHZNg&#10;djZkVxP99a4g9Ph435NZa0pxodoVlhX0exEI4tTqgjMF281PdwTCeWSNpWVScCUHs+lLZ4KJtg3/&#10;0WXtMxFC2CWoIPe+SqR0aU4GXc9WxIE72tqgD7DOpK6xCeGmlIMoGkqDBYeGHCv6yik9rc9GwXJU&#10;zfcre2uycnFY7n538fcm9kq9vbbzMQhPrf8XP90rHebHH+/RJz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FQjEAAAA3wAAAA8AAAAAAAAAAAAAAAAAmAIAAGRycy9k&#10;b3ducmV2LnhtbFBLBQYAAAAABAAEAPUAAACJAwAAAAA=&#10;" filled="f" stroked="f">
                  <v:textbox inset="0,0,0,0">
                    <w:txbxContent>
                      <w:p w:rsidR="00EE13F6" w:rsidRDefault="002E5BC4">
                        <w:r>
                          <w:rPr>
                            <w:color w:val="585858"/>
                            <w:sz w:val="11"/>
                          </w:rPr>
                          <w:t>,</w:t>
                        </w:r>
                      </w:p>
                    </w:txbxContent>
                  </v:textbox>
                </v:rect>
                <v:rect id="Rectangle 195308" o:spid="_x0000_s1148" style="position:absolute;left:9772;top:5571;width:481;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BesQA&#10;AADfAAAADwAAAGRycy9kb3ducmV2LnhtbERPTWvCQBC9F/wPywje6sYWi0ldRWxFj1ULtrchO01C&#10;s7Mhu5ror+8cCh4f73u+7F2tLtSGyrOByTgBRZx7W3Fh4PO4eZyBChHZYu2ZDFwpwHIxeJhjZn3H&#10;e7ocYqEkhEOGBsoYm0zrkJfkMIx9Qyzcj28dRoFtoW2LnYS7Wj8lyYt2WLE0lNjQuqT893B2Braz&#10;ZvW187euqN+/t6ePU/p2TKMxo2G/egUVqY938b97Z2V+On1OZLD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WgXrEAAAA3wAAAA8AAAAAAAAAAAAAAAAAmAIAAGRycy9k&#10;b3ducmV2LnhtbFBLBQYAAAAABAAEAPUAAACJAwAAAAA=&#10;" filled="f" stroked="f">
                  <v:textbox inset="0,0,0,0">
                    <w:txbxContent>
                      <w:p w:rsidR="00EE13F6" w:rsidRDefault="002E5BC4">
                        <w:r>
                          <w:rPr>
                            <w:color w:val="585858"/>
                            <w:sz w:val="11"/>
                          </w:rPr>
                          <w:t>1</w:t>
                        </w:r>
                      </w:p>
                    </w:txbxContent>
                  </v:textbox>
                </v:rect>
                <v:rect id="Rectangle 195310" o:spid="_x0000_s1149" style="position:absolute;left:10168;top:5571;width:237;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bocQA&#10;AADfAAAADwAAAGRycy9kb3ducmV2LnhtbERPTWvCQBC9F/oflil4qxsrLSa6irQWPVot2N6G7JiE&#10;ZmdDdjXRX+8cCh4f73u26F2tztSGyrOB0TABRZx7W3Fh4Hv/+TwBFSKyxdozGbhQgMX88WGGmfUd&#10;f9F5FwslIRwyNFDG2GRah7wkh2HoG2Lhjr51GAW2hbYtdhLuav2SJG/aYcXSUGJD7yXlf7uTM7Ce&#10;NMufjb92Rb36XR+2h/Rjn0ZjBk/9cgoqUh/v4n/3xsr89HU8kg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5G6HEAAAA3wAAAA8AAAAAAAAAAAAAAAAAmAIAAGRycy9k&#10;b3ducmV2LnhtbFBLBQYAAAAABAAEAPUAAACJAwAAAAA=&#10;" filled="f" stroked="f">
                  <v:textbox inset="0,0,0,0">
                    <w:txbxContent>
                      <w:p w:rsidR="00EE13F6" w:rsidRDefault="002E5BC4">
                        <w:r>
                          <w:rPr>
                            <w:color w:val="585858"/>
                            <w:sz w:val="11"/>
                          </w:rPr>
                          <w:t>,</w:t>
                        </w:r>
                      </w:p>
                    </w:txbxContent>
                  </v:textbox>
                </v:rect>
                <v:rect id="Rectangle 195309" o:spid="_x0000_s1150" style="position:absolute;left:10327;top:5571;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k4cUA&#10;AADfAAAADwAAAGRycy9kb3ducmV2LnhtbERPy2rCQBTdF/yH4Qru6qRKxcSMIj7QZdVC2t0lc01C&#10;M3dCZjRpv75TELo8nHe66k0t7tS6yrKCl3EEgji3uuJCwftl/zwH4TyyxtoyKfgmB6vl4CnFRNuO&#10;T3Q/+0KEEHYJKii9bxIpXV6SQTe2DXHgrrY16ANsC6lb7EK4qeUkimbSYMWhocSGNiXlX+ebUXCY&#10;N+uPo/3pinr3ecjesnh7ib1So2G/XoDw1Pt/8cN91GF+/DqNYvj7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iThxQAAAN8AAAAPAAAAAAAAAAAAAAAAAJgCAABkcnMv&#10;ZG93bnJldi54bWxQSwUGAAAAAAQABAD1AAAAigMAAAAA&#10;" filled="f" stroked="f">
                  <v:textbox inset="0,0,0,0">
                    <w:txbxContent>
                      <w:p w:rsidR="00EE13F6" w:rsidRDefault="002E5BC4">
                        <w:r>
                          <w:rPr>
                            <w:color w:val="585858"/>
                            <w:sz w:val="11"/>
                          </w:rPr>
                          <w:t>43</w:t>
                        </w:r>
                      </w:p>
                    </w:txbxContent>
                  </v:textbox>
                </v:rect>
                <v:rect id="Rectangle 195312" o:spid="_x0000_s1151" style="position:absolute;left:15555;top:5571;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gTcUA&#10;AADfAAAADwAAAGRycy9kb3ducmV2LnhtbERPy2rCQBTdF/oPwy10VydaLEl0EqRadOmjoO4umWsS&#10;mrkTMlMT+/UdodDl4bzn+WAacaXO1ZYVjEcRCOLC6ppLBZ+Hj5cYhPPIGhvLpOBGDvLs8WGOqbY9&#10;7+i696UIIexSVFB536ZSuqIig25kW+LAXWxn0AfYlVJ32Idw08hJFL1JgzWHhgpbeq+o+Np/GwXr&#10;uF2cNvanL5vVeX3cHpPlIfFKPT8NixkIT4P/F/+5NzrMT6av4wn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yBNxQAAAN8AAAAPAAAAAAAAAAAAAAAAAJgCAABkcnMv&#10;ZG93bnJldi54bWxQSwUGAAAAAAQABAD1AAAAigMAAAAA&#10;" filled="f" stroked="f">
                  <v:textbox inset="0,0,0,0">
                    <w:txbxContent>
                      <w:p w:rsidR="00EE13F6" w:rsidRDefault="002E5BC4">
                        <w:r>
                          <w:rPr>
                            <w:color w:val="585858"/>
                            <w:sz w:val="11"/>
                          </w:rPr>
                          <w:t>67</w:t>
                        </w:r>
                      </w:p>
                    </w:txbxContent>
                  </v:textbox>
                </v:rect>
                <v:rect id="Rectangle 195313" o:spid="_x0000_s1152" style="position:absolute;left:15396;top:5571;width:237;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F1sUA&#10;AADfAAAADwAAAGRycy9kb3ducmV2LnhtbERPy2rCQBTdC/2H4Rbc6cSKxUQnQVqLLn0U1N0lc01C&#10;M3dCZmpiv74jFLo8nPcy600tbtS6yrKCyTgCQZxbXXGh4PP4MZqDcB5ZY22ZFNzJQZY+DZaYaNvx&#10;nm4HX4gQwi5BBaX3TSKly0sy6Ma2IQ7c1bYGfYBtIXWLXQg3tXyJoldpsOLQUGJDbyXlX4dvo2Az&#10;b1bnrf3pinp92Zx2p/j9GHulhs/9agHCU+//xX/urQ7z49l0MoX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4XWxQAAAN8AAAAPAAAAAAAAAAAAAAAAAJgCAABkcnMv&#10;ZG93bnJldi54bWxQSwUGAAAAAAQABAD1AAAAigMAAAAA&#10;" filled="f" stroked="f">
                  <v:textbox inset="0,0,0,0">
                    <w:txbxContent>
                      <w:p w:rsidR="00EE13F6" w:rsidRDefault="002E5BC4">
                        <w:r>
                          <w:rPr>
                            <w:color w:val="585858"/>
                            <w:sz w:val="11"/>
                          </w:rPr>
                          <w:t>,</w:t>
                        </w:r>
                      </w:p>
                    </w:txbxContent>
                  </v:textbox>
                </v:rect>
                <v:rect id="Rectangle 195311" o:spid="_x0000_s1153" style="position:absolute;left:15000;top:5571;width:481;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OsUA&#10;AADfAAAADwAAAGRycy9kb3ducmV2LnhtbERPy2rCQBTdC/2H4Ra600laLCZmItIHuvRRsO4umWsS&#10;zNwJmamJ/fqOUHB5OO9sMZhGXKhztWUF8SQCQVxYXXOp4Gv/OZ6BcB5ZY2OZFFzJwSJ/GGWYatvz&#10;li47X4oQwi5FBZX3bSqlKyoy6Ca2JQ7cyXYGfYBdKXWHfQg3jXyOoldpsObQUGFLbxUV592PUbCa&#10;tcvvtf3ty+bjuDpsDsn7PvFKPT0OyzkIT4O/i//dax3mJ9OXOIbbnw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b46xQAAAN8AAAAPAAAAAAAAAAAAAAAAAJgCAABkcnMv&#10;ZG93bnJldi54bWxQSwUGAAAAAAQABAD1AAAAigMAAAAA&#10;" filled="f" stroked="f">
                  <v:textbox inset="0,0,0,0">
                    <w:txbxContent>
                      <w:p w:rsidR="00EE13F6" w:rsidRDefault="002E5BC4">
                        <w:r>
                          <w:rPr>
                            <w:color w:val="585858"/>
                            <w:sz w:val="11"/>
                          </w:rPr>
                          <w:t>1</w:t>
                        </w:r>
                      </w:p>
                    </w:txbxContent>
                  </v:textbox>
                </v:rect>
                <v:rect id="Rectangle 195314" o:spid="_x0000_s1154" style="position:absolute;left:20228;top:5571;width:481;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dosQA&#10;AADfAAAADwAAAGRycy9kb3ducmV2LnhtbERPTWvCQBC9F/wPywi91Y1WxURXkbaiR6uCehuyYxLM&#10;zobs1qT99a4g9Ph437NFa0pxo9oVlhX0exEI4tTqgjMFh/3qbQLCeWSNpWVS8EsOFvPOywwTbRv+&#10;ptvOZyKEsEtQQe59lUjp0pwMup6tiAN3sbVBH2CdSV1jE8JNKQdRNJYGCw4NOVb0kVN63f0YBetJ&#10;tTxt7F+TlV/n9XF7jD/3sVfqtdsupyA8tf5f/HRvdJgfj977Q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HaLEAAAA3wAAAA8AAAAAAAAAAAAAAAAAmAIAAGRycy9k&#10;b3ducmV2LnhtbFBLBQYAAAAABAAEAPUAAACJAwAAAAA=&#10;" filled="f" stroked="f">
                  <v:textbox inset="0,0,0,0">
                    <w:txbxContent>
                      <w:p w:rsidR="00EE13F6" w:rsidRDefault="002E5BC4">
                        <w:r>
                          <w:rPr>
                            <w:color w:val="585858"/>
                            <w:sz w:val="11"/>
                          </w:rPr>
                          <w:t>2</w:t>
                        </w:r>
                      </w:p>
                    </w:txbxContent>
                  </v:textbox>
                </v:rect>
                <v:rect id="Rectangle 195316" o:spid="_x0000_s1155" style="position:absolute;left:20625;top:5571;width:237;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mTsQA&#10;AADfAAAADwAAAGRycy9kb3ducmV2LnhtbERPy2rCQBTdF/yH4Qrd1YmWSpI6imiLLn2B7e6SuU2C&#10;mTshMzXRr3cEweXhvCezzlTiTI0rLSsYDiIQxJnVJecKDvvvtxiE88gaK8uk4EIOZtPeywRTbVve&#10;0nnncxFC2KWooPC+TqV0WUEG3cDWxIH7s41BH2CTS91gG8JNJUdRNJYGSw4NBda0KCg77f6NglVc&#10;z3/W9trm1dfv6rg5Jst94pV67XfzTxCeOv8UP9xrHeYnH+/DM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Jk7EAAAA3wAAAA8AAAAAAAAAAAAAAAAAmAIAAGRycy9k&#10;b3ducmV2LnhtbFBLBQYAAAAABAAEAPUAAACJAwAAAAA=&#10;" filled="f" stroked="f">
                  <v:textbox inset="0,0,0,0">
                    <w:txbxContent>
                      <w:p w:rsidR="00EE13F6" w:rsidRDefault="002E5BC4">
                        <w:r>
                          <w:rPr>
                            <w:color w:val="585858"/>
                            <w:sz w:val="11"/>
                          </w:rPr>
                          <w:t>,</w:t>
                        </w:r>
                      </w:p>
                    </w:txbxContent>
                  </v:textbox>
                </v:rect>
                <v:rect id="Rectangle 195315" o:spid="_x0000_s1156" style="position:absolute;left:20783;top:5571;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4OcUA&#10;AADfAAAADwAAAGRycy9kb3ducmV2LnhtbERPy2rCQBTdC/7DcIXudKJiSVJHER/osj7AdnfJ3CbB&#10;zJ2QmZrYr+8UCi4P5z1fdqYSd2pcaVnBeBSBIM6sLjlXcDnvhjEI55E1VpZJwYMcLBf93hxTbVs+&#10;0v3kcxFC2KWooPC+TqV0WUEG3cjWxIH7so1BH2CTS91gG8JNJSdR9CoNlhwaCqxpXVB2O30bBfu4&#10;Xn0c7E+bV9vP/fX9mmzOiVfqZdCt3kB46vxT/O8+6DA/mU3HM/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rg5xQAAAN8AAAAPAAAAAAAAAAAAAAAAAJgCAABkcnMv&#10;ZG93bnJldi54bWxQSwUGAAAAAAQABAD1AAAAigMAAAAA&#10;" filled="f" stroked="f">
                  <v:textbox inset="0,0,0,0">
                    <w:txbxContent>
                      <w:p w:rsidR="00EE13F6" w:rsidRDefault="002E5BC4">
                        <w:r>
                          <w:rPr>
                            <w:color w:val="585858"/>
                            <w:sz w:val="11"/>
                          </w:rPr>
                          <w:t>00</w:t>
                        </w:r>
                      </w:p>
                    </w:txbxContent>
                  </v:textbox>
                </v:rect>
                <v:rect id="Rectangle 195319" o:spid="_x0000_s1157" style="position:absolute;left:25853;top:5571;width:237;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yPMQA&#10;AADfAAAADwAAAGRycy9kb3ducmV2LnhtbERPy2rCQBTdF/oPwy10VydaLCY6ivhAl/UB6u6SuSbB&#10;zJ2QGU30651CweXhvEeT1pTiRrUrLCvodiIQxKnVBWcK9rvl1wCE88gaS8uk4E4OJuP3txEm2ja8&#10;odvWZyKEsEtQQe59lUjp0pwMuo6tiAN3trVBH2CdSV1jE8JNKXtR9CMNFhwacqxollN62V6NgtWg&#10;mh7X9tFk5eK0Ovwe4vku9kp9frTTIQhPrX+J/91rHebH/e9uDH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DsjzEAAAA3wAAAA8AAAAAAAAAAAAAAAAAmAIAAGRycy9k&#10;b3ducmV2LnhtbFBLBQYAAAAABAAEAPUAAACJAwAAAAA=&#10;" filled="f" stroked="f">
                  <v:textbox inset="0,0,0,0">
                    <w:txbxContent>
                      <w:p w:rsidR="00EE13F6" w:rsidRDefault="002E5BC4">
                        <w:r>
                          <w:rPr>
                            <w:color w:val="585858"/>
                            <w:sz w:val="11"/>
                          </w:rPr>
                          <w:t>,</w:t>
                        </w:r>
                      </w:p>
                    </w:txbxContent>
                  </v:textbox>
                </v:rect>
                <v:rect id="Rectangle 195317" o:spid="_x0000_s1158" style="position:absolute;left:25457;top:5571;width:481;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D1cUA&#10;AADfAAAADwAAAGRycy9kb3ducmV2LnhtbERPy2rCQBTdF/yH4Qrd1YkWH4mOIm1Fl1YFdXfJXJNg&#10;5k7ITE3ar3cEocvDec8WrSnFjWpXWFbQ70UgiFOrC84UHPartwkI55E1lpZJwS85WMw7LzNMtG34&#10;m247n4kQwi5BBbn3VSKlS3My6Hq2Ig7cxdYGfYB1JnWNTQg3pRxE0UgaLDg05FjRR07pdfdjFKwn&#10;1fK0sX9NVn6d18ftMf7cx16p1267nILw1Pp/8dO90WF+PHzvj+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IPVxQAAAN8AAAAPAAAAAAAAAAAAAAAAAJgCAABkcnMv&#10;ZG93bnJldi54bWxQSwUGAAAAAAQABAD1AAAAigMAAAAA&#10;" filled="f" stroked="f">
                  <v:textbox inset="0,0,0,0">
                    <w:txbxContent>
                      <w:p w:rsidR="00EE13F6" w:rsidRDefault="002E5BC4">
                        <w:r>
                          <w:rPr>
                            <w:color w:val="585858"/>
                            <w:sz w:val="11"/>
                          </w:rPr>
                          <w:t>2</w:t>
                        </w:r>
                      </w:p>
                    </w:txbxContent>
                  </v:textbox>
                </v:rect>
                <v:rect id="Rectangle 195318" o:spid="_x0000_s1159" style="position:absolute;left:26012;top:5571;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Xp8QA&#10;AADfAAAADwAAAGRycy9kb3ducmV2LnhtbERPTWvCQBC9F/oflil4qxsrLSa6irQWPVot2N6G7JiE&#10;ZmdDdjXRX+8cCh4f73u26F2tztSGyrOB0TABRZx7W3Fh4Hv/+TwBFSKyxdozGbhQgMX88WGGmfUd&#10;f9F5FwslIRwyNFDG2GRah7wkh2HoG2Lhjr51GAW2hbYtdhLuav2SJG/aYcXSUGJD7yXlf7uTM7Ce&#10;NMufjb92Rb36XR+2h/Rjn0ZjBk/9cgoqUh/v4n/3xsr89HU8ks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PF6fEAAAA3wAAAA8AAAAAAAAAAAAAAAAAmAIAAGRycy9k&#10;b3ducmV2LnhtbFBLBQYAAAAABAAEAPUAAACJAwAAAAA=&#10;" filled="f" stroked="f">
                  <v:textbox inset="0,0,0,0">
                    <w:txbxContent>
                      <w:p w:rsidR="00EE13F6" w:rsidRDefault="002E5BC4">
                        <w:r>
                          <w:rPr>
                            <w:color w:val="585858"/>
                            <w:sz w:val="11"/>
                          </w:rPr>
                          <w:t>50</w:t>
                        </w:r>
                      </w:p>
                    </w:txbxContent>
                  </v:textbox>
                </v:rect>
                <v:rect id="Rectangle 195322" o:spid="_x0000_s1160" style="position:absolute;left:31081;top:5571;width:237;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q8MUA&#10;AADfAAAADwAAAGRycy9kb3ducmV2LnhtbERPy2rCQBTdC/2H4Ra600lTFJNmIlItuvRRsN1dMrdJ&#10;aOZOyExN7Nd3BMHl4byzxWAacabO1ZYVPE8iEMSF1TWXCj6O7+M5COeRNTaWScGFHCzyh1GGqbY9&#10;7+l88KUIIexSVFB536ZSuqIig25iW+LAfdvOoA+wK6XusA/hppFxFM2kwZpDQ4UtvVVU/Bx+jYLN&#10;vF1+bu1fXzbrr81pd0pWx8Qr9fQ4LF9BeBr8XXxzb3WYn0xf4hiufwI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rwxQAAAN8AAAAPAAAAAAAAAAAAAAAAAJgCAABkcnMv&#10;ZG93bnJldi54bWxQSwUGAAAAAAQABAD1AAAAigMAAAAA&#10;" filled="f" stroked="f">
                  <v:textbox inset="0,0,0,0">
                    <w:txbxContent>
                      <w:p w:rsidR="00EE13F6" w:rsidRDefault="002E5BC4">
                        <w:r>
                          <w:rPr>
                            <w:color w:val="585858"/>
                            <w:sz w:val="11"/>
                          </w:rPr>
                          <w:t>,</w:t>
                        </w:r>
                      </w:p>
                    </w:txbxContent>
                  </v:textbox>
                </v:rect>
                <v:rect id="Rectangle 195321" o:spid="_x0000_s1161" style="position:absolute;left:31240;top:5571;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0h8UA&#10;AADfAAAADwAAAGRycy9kb3ducmV2LnhtbERPy2rCQBTdF/oPwy10VydaLEl0EqRadOmjoO4umWsS&#10;mrkTMlMT+/UdodDl4bzn+WAacaXO1ZYVjEcRCOLC6ppLBZ+Hj5cYhPPIGhvLpOBGDvLs8WGOqbY9&#10;7+i696UIIexSVFB536ZSuqIig25kW+LAXWxn0AfYlVJ32Idw08hJFL1JgzWHhgpbeq+o+Np/GwXr&#10;uF2cNvanL5vVeX3cHpPlIfFKPT8NixkIT4P/F/+5NzrMT6avkzH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XSHxQAAAN8AAAAPAAAAAAAAAAAAAAAAAJgCAABkcnMv&#10;ZG93bnJldi54bWxQSwUGAAAAAAQABAD1AAAAigMAAAAA&#10;" filled="f" stroked="f">
                  <v:textbox inset="0,0,0,0">
                    <w:txbxContent>
                      <w:p w:rsidR="00EE13F6" w:rsidRDefault="002E5BC4">
                        <w:r>
                          <w:rPr>
                            <w:color w:val="585858"/>
                            <w:sz w:val="11"/>
                          </w:rPr>
                          <w:t>33</w:t>
                        </w:r>
                      </w:p>
                    </w:txbxContent>
                  </v:textbox>
                </v:rect>
                <v:rect id="Rectangle 195320" o:spid="_x0000_s1162" style="position:absolute;left:30685;top:5571;width:481;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RHMUA&#10;AADfAAAADwAAAGRycy9kb3ducmV2LnhtbERPS2vCQBC+C/0PyxR6002VFhNdRdSix/oA29uQHZPQ&#10;7GzIbk3aX985FDx+fO/5sne1ulEbKs8GnkcJKOLc24oLA+fT23AKKkRki7VnMvBDAZaLh8EcM+s7&#10;PtDtGAslIRwyNFDG2GRah7wkh2HkG2Lhrr51GAW2hbYtdhLuaj1OklftsGJpKLGhdUn51/HbGdhN&#10;m9XH3v92Rb393F3eL+nmlEZjnh771QxUpD7exf/uvZX56ctkLA/k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dEcxQAAAN8AAAAPAAAAAAAAAAAAAAAAAJgCAABkcnMv&#10;ZG93bnJldi54bWxQSwUGAAAAAAQABAD1AAAAigMAAAAA&#10;" filled="f" stroked="f">
                  <v:textbox inset="0,0,0,0">
                    <w:txbxContent>
                      <w:p w:rsidR="00EE13F6" w:rsidRDefault="002E5BC4">
                        <w:r>
                          <w:rPr>
                            <w:color w:val="585858"/>
                            <w:sz w:val="11"/>
                          </w:rPr>
                          <w:t>3</w:t>
                        </w:r>
                      </w:p>
                    </w:txbxContent>
                  </v:textbox>
                </v:rect>
                <v:rect id="Rectangle 195324" o:spid="_x0000_s1163" style="position:absolute;left:36468;top:5571;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XH8UA&#10;AADfAAAADwAAAGRycy9kb3ducmV2LnhtbERPTWvCQBC9C/0PyxR6001tFZO6irSW5GhVUG9DdpqE&#10;ZmdDdjXRX98tCD0+3vd82ZtaXKh1lWUFz6MIBHFudcWFgv3uczgD4TyyxtoyKbiSg+XiYTDHRNuO&#10;v+iy9YUIIewSVFB63yRSurwkg25kG+LAfdvWoA+wLaRusQvhppbjKJpKgxWHhhIbei8p/9mejYJ0&#10;1qyOmb11Rb0+pYfNIf7YxV6pp8d+9QbCU+//xXd3psP8ePIyfoW/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tcfxQAAAN8AAAAPAAAAAAAAAAAAAAAAAJgCAABkcnMv&#10;ZG93bnJldi54bWxQSwUGAAAAAAQABAD1AAAAigMAAAAA&#10;" filled="f" stroked="f">
                  <v:textbox inset="0,0,0,0">
                    <w:txbxContent>
                      <w:p w:rsidR="00EE13F6" w:rsidRDefault="002E5BC4">
                        <w:r>
                          <w:rPr>
                            <w:color w:val="585858"/>
                            <w:sz w:val="11"/>
                          </w:rPr>
                          <w:t>00</w:t>
                        </w:r>
                      </w:p>
                    </w:txbxContent>
                  </v:textbox>
                </v:rect>
                <v:rect id="Rectangle 195325" o:spid="_x0000_s1164" style="position:absolute;left:36310;top:5571;width:237;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yhMQA&#10;AADfAAAADwAAAGRycy9kb3ducmV2LnhtbERPy2rCQBTdC/7DcIXudKKimNRRRC26rA+w3V0yt0kw&#10;cydkpib1652C4PJw3vNla0pxo9oVlhUMBxEI4tTqgjMF59NHfwbCeWSNpWVS8EcOlotuZ46Jtg0f&#10;6Hb0mQgh7BJUkHtfJVK6NCeDbmAr4sD92NqgD7DOpK6xCeGmlKMomkqDBYeGHCta55Rej79GwW5W&#10;rb729t5k5fZ7d/m8xJtT7JV667WrdxCeWv8SP917HebHk/FoAv9/A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coTEAAAA3wAAAA8AAAAAAAAAAAAAAAAAmAIAAGRycy9k&#10;b3ducmV2LnhtbFBLBQYAAAAABAAEAPUAAACJAwAAAAA=&#10;" filled="f" stroked="f">
                  <v:textbox inset="0,0,0,0">
                    <w:txbxContent>
                      <w:p w:rsidR="00EE13F6" w:rsidRDefault="002E5BC4">
                        <w:r>
                          <w:rPr>
                            <w:color w:val="585858"/>
                            <w:sz w:val="11"/>
                          </w:rPr>
                          <w:t>,</w:t>
                        </w:r>
                      </w:p>
                    </w:txbxContent>
                  </v:textbox>
                </v:rect>
                <v:rect id="Rectangle 195323" o:spid="_x0000_s1165" style="position:absolute;left:35913;top:5571;width:481;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Pa8UA&#10;AADfAAAADwAAAGRycy9kb3ducmV2LnhtbERPTWvCQBC9F/wPywi91Y1KxaSuIlpJjlULtrchO02C&#10;2dmQXU3qr3cLQo+P971Y9aYWV2pdZVnBeBSBIM6trrhQ8HncvcxBOI+ssbZMCn7JwWo5eFpgom3H&#10;e7oefCFCCLsEFZTeN4mULi/JoBvZhjhwP7Y16ANsC6lb7EK4qeUkimbSYMWhocSGNiXl58PFKEjn&#10;zfors7euqN+/09PHKd4eY6/U87Bfv4Hw1Pt/8cOd6TA/fp1Opv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09rxQAAAN8AAAAPAAAAAAAAAAAAAAAAAJgCAABkcnMv&#10;ZG93bnJldi54bWxQSwUGAAAAAAQABAD1AAAAigMAAAAA&#10;" filled="f" stroked="f">
                  <v:textbox inset="0,0,0,0">
                    <w:txbxContent>
                      <w:p w:rsidR="00EE13F6" w:rsidRDefault="002E5BC4">
                        <w:r>
                          <w:rPr>
                            <w:color w:val="585858"/>
                            <w:sz w:val="11"/>
                          </w:rPr>
                          <w:t>4</w:t>
                        </w:r>
                      </w:p>
                    </w:txbxContent>
                  </v:textbox>
                </v:rect>
                <v:rect id="Rectangle 19106" o:spid="_x0000_s1166" style="position:absolute;left:41617;top:5571;width:481;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4KcUA&#10;AADeAAAADwAAAGRycy9kb3ducmV2LnhtbERPTWvCQBC9F/wPywi91Y09BBPdBNEWc2y1YL0N2TEJ&#10;ZmdDdmvS/vquIHibx/ucVT6aVlypd41lBfNZBIK4tLrhSsHX4f1lAcJ5ZI2tZVLwSw7ybPK0wlTb&#10;gT/puveVCCHsUlRQe9+lUrqyJoNuZjviwJ1tb9AH2FdS9ziEcNPK1yiKpcGGQ0ONHW1qKi/7H6Ng&#10;t+jW34X9G6r27bQ7fhyT7SHxSj1Px/UShKfRP8R3d6HD/GQexX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vgpxQAAAN4AAAAPAAAAAAAAAAAAAAAAAJgCAABkcnMv&#10;ZG93bnJldi54bWxQSwUGAAAAAAQABAD1AAAAigMAAAAA&#10;" filled="f" stroked="f">
                  <v:textbox inset="0,0,0,0">
                    <w:txbxContent>
                      <w:p w:rsidR="00EE13F6" w:rsidRDefault="002E5BC4">
                        <w:r>
                          <w:rPr>
                            <w:color w:val="585858"/>
                            <w:sz w:val="11"/>
                          </w:rPr>
                          <w:t>5</w:t>
                        </w:r>
                      </w:p>
                    </w:txbxContent>
                  </v:textbox>
                </v:rect>
                <v:rect id="Rectangle 195328" o:spid="_x0000_s1167" style="position:absolute;left:46766;top:5571;width:237;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dGsUA&#10;AADfAAAADwAAAGRycy9kb3ducmV2LnhtbERPS2vCQBC+C/0PyxR6002VFhNdRdSix/oA29uQHZPQ&#10;7GzIbk3aX985FDx+fO/5sne1ulEbKs8GnkcJKOLc24oLA+fT23AKKkRki7VnMvBDAZaLh8EcM+s7&#10;PtDtGAslIRwyNFDG2GRah7wkh2HkG2Lhrr51GAW2hbYtdhLuaj1OklftsGJpKLGhdUn51/HbGdhN&#10;m9XH3v92Rb393F3eL+nmlEZjnh771QxUpD7exf/uvZX56ctkLI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90axQAAAN8AAAAPAAAAAAAAAAAAAAAAAJgCAABkcnMv&#10;ZG93bnJldi54bWxQSwUGAAAAAAQABAD1AAAAigMAAAAA&#10;" filled="f" stroked="f">
                  <v:textbox inset="0,0,0,0">
                    <w:txbxContent>
                      <w:p w:rsidR="00EE13F6" w:rsidRDefault="002E5BC4">
                        <w:r>
                          <w:rPr>
                            <w:color w:val="585858"/>
                            <w:sz w:val="11"/>
                          </w:rPr>
                          <w:t>,</w:t>
                        </w:r>
                      </w:p>
                    </w:txbxContent>
                  </v:textbox>
                </v:rect>
                <v:rect id="Rectangle 195326" o:spid="_x0000_s1168" style="position:absolute;left:46370;top:5571;width:481;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s88UA&#10;AADfAAAADwAAAGRycy9kb3ducmV2LnhtbERPy2rCQBTdF/oPwy24q5MqFROdBGktuqwPUHeXzDUJ&#10;zdwJmdFEv75TKLg8nPc8600trtS6yrKCt2EEgji3uuJCwX739ToF4TyyxtoyKbiRgyx9fppjom3H&#10;G7pufSFCCLsEFZTeN4mULi/JoBvahjhwZ9sa9AG2hdQtdiHc1HIURRNpsOLQUGJDHyXlP9uLUbCa&#10;Novj2t67ol6eVofvQ/y5i71Sg5d+MQPhqfcP8b97rcP8+H08msD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OzzxQAAAN8AAAAPAAAAAAAAAAAAAAAAAJgCAABkcnMv&#10;ZG93bnJldi54bWxQSwUGAAAAAAQABAD1AAAAigMAAAAA&#10;" filled="f" stroked="f">
                  <v:textbox inset="0,0,0,0">
                    <w:txbxContent>
                      <w:p w:rsidR="00EE13F6" w:rsidRDefault="002E5BC4">
                        <w:r>
                          <w:rPr>
                            <w:color w:val="585858"/>
                            <w:sz w:val="11"/>
                          </w:rPr>
                          <w:t>6</w:t>
                        </w:r>
                      </w:p>
                    </w:txbxContent>
                  </v:textbox>
                </v:rect>
                <v:rect id="Rectangle 195327" o:spid="_x0000_s1169" style="position:absolute;left:46925;top:5571;width:1008;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JaMUA&#10;AADfAAAADwAAAGRycy9kb3ducmV2LnhtbERPTWvCQBC9C/0PyxR6000tVZO6irSW5GhVUG9DdpqE&#10;ZmdDdjXRX98tCD0+3vd82ZtaXKh1lWUFz6MIBHFudcWFgv3uczgD4TyyxtoyKbiSg+XiYTDHRNuO&#10;v+iy9YUIIewSVFB63yRSurwkg25kG+LAfdvWoA+wLaRusQvhppbjKJpIgxWHhhIbei8p/9mejYJ0&#10;1qyOmb11Rb0+pYfNIf7YxV6pp8d+9QbCU+//xXd3psP8+PVlPIW/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EloxQAAAN8AAAAPAAAAAAAAAAAAAAAAAJgCAABkcnMv&#10;ZG93bnJldi54bWxQSwUGAAAAAAQABAD1AAAAigMAAAAA&#10;" filled="f" stroked="f">
                  <v:textbox inset="0,0,0,0">
                    <w:txbxContent>
                      <w:p w:rsidR="00EE13F6" w:rsidRDefault="002E5BC4">
                        <w:r>
                          <w:rPr>
                            <w:color w:val="585858"/>
                            <w:sz w:val="11"/>
                          </w:rPr>
                          <w:t>67</w:t>
                        </w:r>
                      </w:p>
                    </w:txbxContent>
                  </v:textbox>
                </v:rect>
                <v:rect id="Rectangle 19108" o:spid="_x0000_s1170" style="position:absolute;left:9757;top:593;width:52270;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JwMcA&#10;AADeAAAADwAAAGRycy9kb3ducmV2LnhtbESPQW/CMAyF75P4D5GRuI2UHSbakVaIbYLjBkiMm9WY&#10;tqJxqiajZb9+PkzazdZ7fu/zqhhdq27Uh8azgcU8AUVcettwZeB4eH9cggoR2WLrmQzcKUCRTx5W&#10;mFk/8Cfd9rFSEsIhQwN1jF2mdShrchjmviMW7eJ7h1HWvtK2x0HCXaufkuRZO2xYGmrsaFNTed1/&#10;OwPbZbf+2vmfoWrfztvTxyl9PaTRmNl0XL+AijTGf/Pf9c4KfrpIhF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ycDHAAAA3gAAAA8AAAAAAAAAAAAAAAAAmAIAAGRy&#10;cy9kb3ducmV2LnhtbFBLBQYAAAAABAAEAPUAAACMAwAAAAA=&#10;" filled="f" stroked="f">
                  <v:textbox inset="0,0,0,0">
                    <w:txbxContent>
                      <w:p w:rsidR="00EE13F6" w:rsidRDefault="002E5BC4">
                        <w:r>
                          <w:rPr>
                            <w:b/>
                            <w:color w:val="585858"/>
                            <w:sz w:val="18"/>
                          </w:rPr>
                          <w:t>Short</w:t>
                        </w:r>
                        <w:r>
                          <w:rPr>
                            <w:b/>
                            <w:color w:val="585858"/>
                            <w:sz w:val="18"/>
                          </w:rPr>
                          <w:tab/>
                          <w:t>Term</w:t>
                        </w:r>
                        <w:r>
                          <w:rPr>
                            <w:b/>
                            <w:color w:val="585858"/>
                            <w:sz w:val="18"/>
                          </w:rPr>
                          <w:tab/>
                          <w:t>Equity</w:t>
                        </w:r>
                        <w:r>
                          <w:rPr>
                            <w:b/>
                            <w:color w:val="585858"/>
                            <w:sz w:val="18"/>
                          </w:rPr>
                          <w:tab/>
                          <w:t>Price</w:t>
                        </w:r>
                        <w:r>
                          <w:rPr>
                            <w:b/>
                            <w:color w:val="585858"/>
                            <w:sz w:val="18"/>
                          </w:rPr>
                          <w:tab/>
                          <w:t>variation</w:t>
                        </w:r>
                        <w:r>
                          <w:rPr>
                            <w:b/>
                            <w:color w:val="585858"/>
                            <w:sz w:val="18"/>
                          </w:rPr>
                          <w:tab/>
                          <w:t>in</w:t>
                        </w:r>
                        <w:r>
                          <w:rPr>
                            <w:b/>
                            <w:color w:val="585858"/>
                            <w:sz w:val="18"/>
                          </w:rPr>
                          <w:tab/>
                          <w:t>%</w:t>
                        </w:r>
                        <w:r>
                          <w:rPr>
                            <w:b/>
                            <w:color w:val="585858"/>
                            <w:sz w:val="18"/>
                          </w:rPr>
                          <w:tab/>
                          <w:t>as</w:t>
                        </w:r>
                        <w:r>
                          <w:rPr>
                            <w:b/>
                            <w:color w:val="585858"/>
                            <w:sz w:val="18"/>
                          </w:rPr>
                          <w:tab/>
                          <w:t>a</w:t>
                        </w:r>
                        <w:r>
                          <w:rPr>
                            <w:b/>
                            <w:color w:val="585858"/>
                            <w:sz w:val="18"/>
                          </w:rPr>
                          <w:tab/>
                          <w:t>function</w:t>
                        </w:r>
                        <w:r>
                          <w:rPr>
                            <w:b/>
                            <w:color w:val="585858"/>
                            <w:sz w:val="18"/>
                          </w:rPr>
                          <w:tab/>
                          <w:t>of</w:t>
                        </w:r>
                        <w:r>
                          <w:rPr>
                            <w:b/>
                            <w:color w:val="585858"/>
                            <w:sz w:val="18"/>
                          </w:rPr>
                          <w:tab/>
                          <w:t>corporate</w:t>
                        </w:r>
                        <w:r>
                          <w:rPr>
                            <w:b/>
                            <w:color w:val="585858"/>
                            <w:sz w:val="18"/>
                          </w:rPr>
                          <w:tab/>
                          <w:t>tax</w:t>
                        </w:r>
                        <w:r>
                          <w:rPr>
                            <w:b/>
                            <w:color w:val="585858"/>
                            <w:sz w:val="18"/>
                          </w:rPr>
                          <w:tab/>
                          <w:t>rate</w:t>
                        </w:r>
                        <w:r>
                          <w:rPr>
                            <w:b/>
                            <w:color w:val="585858"/>
                            <w:sz w:val="18"/>
                          </w:rPr>
                          <w:tab/>
                          <w:t>and</w:t>
                        </w:r>
                        <w:r>
                          <w:rPr>
                            <w:b/>
                            <w:color w:val="585858"/>
                            <w:sz w:val="18"/>
                          </w:rPr>
                          <w:tab/>
                          <w:t>leverage</w:t>
                        </w:r>
                      </w:p>
                    </w:txbxContent>
                  </v:textbox>
                </v:rect>
                <v:rect id="Rectangle 195301" o:spid="_x0000_s1171" style="position:absolute;left:13878;top:1956;width:42170;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o58UA&#10;AADfAAAADwAAAGRycy9kb3ducmV2LnhtbERPy2rCQBTdF/oPwy10Vye2WJKYUaQquvRRSN1dMrdJ&#10;aOZOyIwm9us7QsHl4byz+WAacaHO1ZYVjEcRCOLC6ppLBZ/H9UsMwnlkjY1lUnAlB/PZ40OGqbY9&#10;7+ly8KUIIexSVFB536ZSuqIig25kW+LAfdvOoA+wK6XusA/hppGvUfQuDdYcGips6aOi4udwNgo2&#10;cbv42trfvmxWp02+y5PlMfFKPT8NiykIT4O/i//dWx3mJ5O3aAy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CjnxQAAAN8AAAAPAAAAAAAAAAAAAAAAAJgCAABkcnMv&#10;ZG93bnJldi54bWxQSwUGAAAAAAQABAD1AAAAigMAAAAA&#10;" filled="f" stroked="f">
                  <v:textbox inset="0,0,0,0">
                    <w:txbxContent>
                      <w:p w:rsidR="00EE13F6" w:rsidRDefault="002E5BC4">
                        <w:r>
                          <w:rPr>
                            <w:b/>
                            <w:color w:val="585858"/>
                            <w:sz w:val="18"/>
                          </w:rPr>
                          <w:t>ROA=3%;r=1%;T=5;sigma=10%;spread=2%;FTT</w:t>
                        </w:r>
                        <w:r>
                          <w:rPr>
                            <w:b/>
                            <w:color w:val="585858"/>
                            <w:sz w:val="18"/>
                          </w:rPr>
                          <w:tab/>
                          <w:t>roundtrip</w:t>
                        </w:r>
                        <w:r>
                          <w:rPr>
                            <w:b/>
                            <w:color w:val="585858"/>
                            <w:sz w:val="18"/>
                          </w:rPr>
                          <w:tab/>
                          <w:t>rate=0,2%)</w:t>
                        </w:r>
                        <w:r>
                          <w:rPr>
                            <w:b/>
                            <w:color w:val="585858"/>
                            <w:sz w:val="18"/>
                          </w:rPr>
                          <w:tab/>
                        </w:r>
                        <w:r>
                          <w:rPr>
                            <w:b/>
                            <w:color w:val="585858"/>
                            <w:sz w:val="18"/>
                          </w:rPr>
                          <w:tab/>
                        </w:r>
                      </w:p>
                    </w:txbxContent>
                  </v:textbox>
                </v:rect>
                <v:rect id="Rectangle 195300" o:spid="_x0000_s1172" style="position:absolute;left:13561;top:1956;width:460;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fMQA&#10;AADfAAAADwAAAGRycy9kb3ducmV2LnhtbERPTWvCQBC9F/wPywje6sYWi0ldRWxFj1ULtrchO01C&#10;s7Mhu5ror+8cCh4f73u+7F2tLtSGyrOByTgBRZx7W3Fh4PO4eZyBChHZYu2ZDFwpwHIxeJhjZn3H&#10;e7ocYqEkhEOGBsoYm0zrkJfkMIx9Qyzcj28dRoFtoW2LnYS7Wj8lyYt2WLE0lNjQuqT893B2Braz&#10;ZvW187euqN+/t6ePU/p2TKMxo2G/egUVqY938b97Z2V+On1O5IH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jXzEAAAA3wAAAA8AAAAAAAAAAAAAAAAAmAIAAGRycy9k&#10;b3ducmV2LnhtbFBLBQYAAAAABAAEAPUAAACJAwAAAAA=&#10;" filled="f" stroked="f">
                  <v:textbox inset="0,0,0,0">
                    <w:txbxContent>
                      <w:p w:rsidR="00EE13F6" w:rsidRDefault="002E5BC4">
                        <w:r>
                          <w:rPr>
                            <w:b/>
                            <w:color w:val="585858"/>
                            <w:sz w:val="18"/>
                          </w:rPr>
                          <w:t>(</w:t>
                        </w:r>
                      </w:p>
                    </w:txbxContent>
                  </v:textbox>
                </v:rect>
                <v:shape id="Shape 19110" o:spid="_x0000_s1173" style="position:absolute;left:12798;top:26184;width:1585;height:0;visibility:visible;mso-wrap-style:square;v-text-anchor:top" coordsize="1584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QlscA&#10;AADeAAAADwAAAGRycy9kb3ducmV2LnhtbESPQWvCQBCF70L/wzKF3nQTocWmrlJaROlBbFr0OmSn&#10;m9DsbMiuJv77zqHgbYZ58977luvRt+pCfWwCG8hnGSjiKtiGnYHvr810ASomZIttYDJwpQjr1d1k&#10;iYUNA3/SpUxOiQnHAg3UKXWF1rGqyWOchY5Ybj+h95hk7Z22PQ5i7ls9z7In7bFhSaixo7eaqt/y&#10;7A0cym3u0sdmgft9p8/H99OjG9iYh/vx9QVUojHdxP/fOyv1n/N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SEJbHAAAA3gAAAA8AAAAAAAAAAAAAAAAAmAIAAGRy&#10;cy9kb3ducmV2LnhtbFBLBQYAAAAABAAEAPUAAACMAwAAAAA=&#10;" path="m,l158495,1e" filled="f" strokecolor="#5e5e5e" strokeweight=".44025mm">
                  <v:stroke endcap="round"/>
                  <v:path arrowok="t" textboxrect="0,0,158495,1"/>
                </v:shape>
                <v:rect id="Rectangle 19112" o:spid="_x0000_s1174" style="position:absolute;left:14508;top:25807;width:2996;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o98MA&#10;AADeAAAADwAAAGRycy9kb3ducmV2LnhtbERPTYvCMBC9C/sfwgjeNK0HsV2jiKvocdUFd29DM7bF&#10;ZlKaaOv+eiMI3ubxPme26EwlbtS40rKCeBSBIM6sLjlX8HPcDKcgnEfWWFkmBXdysJh/9GaYatvy&#10;nm4Hn4sQwi5FBYX3dSqlywoy6Ea2Jg7c2TYGfYBNLnWDbQg3lRxH0UQaLDk0FFjTqqDscrgaBdtp&#10;vfzd2f82r9Z/29P3Kfk6Jl6pQb9bfoLw1Pm3+OXe6TA/ieM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ho98MAAADeAAAADwAAAAAAAAAAAAAAAACYAgAAZHJzL2Rv&#10;d25yZXYueG1sUEsFBgAAAAAEAAQA9QAAAIgDAAAAAA==&#10;" filled="f" stroked="f">
                  <v:textbox inset="0,0,0,0">
                    <w:txbxContent>
                      <w:p w:rsidR="00EE13F6" w:rsidRDefault="002E5BC4">
                        <w:r>
                          <w:rPr>
                            <w:color w:val="585858"/>
                            <w:sz w:val="11"/>
                          </w:rPr>
                          <w:t>Tx=15%</w:t>
                        </w:r>
                      </w:p>
                    </w:txbxContent>
                  </v:textbox>
                </v:rect>
                <v:shape id="Shape 19114" o:spid="_x0000_s1175" style="position:absolute;left:17553;top:26184;width:1505;height:0;visibility:visible;mso-wrap-style:square;v-text-anchor:top" coordsize="1505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bUMMA&#10;AADeAAAADwAAAGRycy9kb3ducmV2LnhtbERP32vCMBB+H+x/CCf4NtMOGVqNIoOBgkN02/vZnG0x&#10;uZQk1rq/fhGEvd3H9/Pmy94a0ZEPjWMF+SgDQVw63XCl4Pvr42UCIkRkjcYxKbhRgOXi+WmOhXZX&#10;3lN3iJVIIRwKVFDH2BZShrImi2HkWuLEnZy3GBP0ldQeryncGvmaZW/SYsOpocaW3msqz4eLVUC7&#10;sen8z2n6e9xNzHbPnxt31koNB/1qBiJSH//FD/dap/nTPB/D/Z10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tbUMMAAADeAAAADwAAAAAAAAAAAAAAAACYAgAAZHJzL2Rv&#10;d25yZXYueG1sUEsFBgAAAAAEAAQA9QAAAIgDAAAAAA==&#10;" path="m,l150570,1e" filled="f" strokecolor="#b3b3b3" strokeweight=".44025mm">
                  <v:stroke endcap="round"/>
                  <v:path arrowok="t" textboxrect="0,0,150570,1"/>
                </v:shape>
                <v:rect id="Rectangle 19116" o:spid="_x0000_s1176" style="position:absolute;left:19241;top:25807;width:2996;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u9MQA&#10;AADeAAAADwAAAGRycy9kb3ducmV2LnhtbERPS4vCMBC+C/sfwix407QexHaNIruKHn0suHsbmrEt&#10;NpPSRFv99UYQvM3H95zpvDOVuFLjSssK4mEEgjizuuRcwe9hNZiAcB5ZY2WZFNzIwXz20Ztiqm3L&#10;O7rufS5CCLsUFRTe16mULivIoBvamjhwJ9sY9AE2udQNtiHcVHIURWNpsOTQUGBN3wVl5/3FKFhP&#10;6sXfxt7bvFr+r4/bY/JzSLxS/c9u8QXCU+ff4pd7o8P8JI7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bvTEAAAA3gAAAA8AAAAAAAAAAAAAAAAAmAIAAGRycy9k&#10;b3ducmV2LnhtbFBLBQYAAAAABAAEAPUAAACJAwAAAAA=&#10;" filled="f" stroked="f">
                  <v:textbox inset="0,0,0,0">
                    <w:txbxContent>
                      <w:p w:rsidR="00EE13F6" w:rsidRDefault="002E5BC4">
                        <w:r>
                          <w:rPr>
                            <w:color w:val="585858"/>
                            <w:sz w:val="11"/>
                          </w:rPr>
                          <w:t>Tx=25%</w:t>
                        </w:r>
                      </w:p>
                    </w:txbxContent>
                  </v:textbox>
                </v:rect>
                <v:shape id="Shape 19118" o:spid="_x0000_s1177" style="position:absolute;left:22308;top:26184;width:1505;height:0;visibility:visible;mso-wrap-style:square;v-text-anchor:top" coordsize="1505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QvMcA&#10;AADeAAAADwAAAGRycy9kb3ducmV2LnhtbESPQU/DMAyF75P4D5GRuFRbWg4MytJqmkBwYJMY+wFW&#10;Y5qKxqmasBZ+PT4g7WbrPb/3eVPPvldnGmMX2ECxykERN8F23Bo4fTwv70HFhGyxD0wGfihCXV0t&#10;NljaMPE7nY+pVRLCsUQDLqWh1Do2jjzGVRiIRfsMo8ck69hqO+Ik4b7Xt3l+pz12LA0OB9o5ar6O&#10;395AzLbOvTxF5j5b/3Z7f5jedpkxN9fz9hFUojldzP/Xr1bwH4pCeOUdmUF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BkLzHAAAA3gAAAA8AAAAAAAAAAAAAAAAAmAIAAGRy&#10;cy9kb3ducmV2LnhtbFBLBQYAAAAABAAEAPUAAACMAwAAAAA=&#10;" path="m,l150570,1e" filled="f" strokecolor="#898989" strokeweight=".44025mm">
                  <v:stroke endcap="round"/>
                  <v:path arrowok="t" textboxrect="0,0,150570,1"/>
                </v:shape>
                <v:rect id="Rectangle 19120" o:spid="_x0000_s1178" style="position:absolute;left:23974;top:25807;width:2996;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ZpscA&#10;AADeAAAADwAAAGRycy9kb3ducmV2LnhtbESPzW7CQAyE75V4h5WReisbOFQksCDEj+BYoBLlZmXd&#10;JGrWG2W3JO3T4wMSN1sez8w3X/auVjdqQ+XZwHiUgCLOva24MPB53r1NQYWIbLH2TAb+KMByMXiZ&#10;Y2Z9x0e6nWKhxIRDhgbKGJtM65CX5DCMfEMst2/fOoyytoW2LXZi7mo9SZJ37bBiSSixoXVJ+c/p&#10;1xnYT5vV18H/d0W9ve4vH5d0c06jMa/DfjUDFamPT/Hj+2ClfjqeCI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qmabHAAAA3gAAAA8AAAAAAAAAAAAAAAAAmAIAAGRy&#10;cy9kb3ducmV2LnhtbFBLBQYAAAAABAAEAPUAAACMAwAAAAA=&#10;" filled="f" stroked="f">
                  <v:textbox inset="0,0,0,0">
                    <w:txbxContent>
                      <w:p w:rsidR="00EE13F6" w:rsidRDefault="002E5BC4">
                        <w:r>
                          <w:rPr>
                            <w:color w:val="585858"/>
                            <w:sz w:val="11"/>
                          </w:rPr>
                          <w:t>Tx=35%</w:t>
                        </w:r>
                      </w:p>
                    </w:txbxContent>
                  </v:textbox>
                </v:rect>
                <v:shape id="Shape 19122" o:spid="_x0000_s1179" style="position:absolute;width:49708;height:28870;visibility:visible;mso-wrap-style:square;v-text-anchor:top" coordsize="4970843,288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1jcMA&#10;AADeAAAADwAAAGRycy9kb3ducmV2LnhtbERPTWvCQBC9C/6HZYTedJPQqo1uggilPdSDtt6H7DQb&#10;zM6G7Brjv3cLhd7m8T5nW462FQP1vnGsIF0kIIgrpxuuFXx/vc3XIHxA1tg6JgV38lAW08kWc+1u&#10;fKThFGoRQ9jnqMCE0OVS+sqQRb9wHXHkflxvMUTY11L3eIvhtpVZkiylxYZjg8GO9oaqy+lqFfj0&#10;as6Hz/d9/bLKBkwat8PqWamn2bjbgAg0hn/xn/tDx/mvaZbB7zvxBl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1jcMAAADeAAAADwAAAAAAAAAAAAAAAACYAgAAZHJzL2Rv&#10;d25yZXYueG1sUEsFBgAAAAAEAAQA9QAAAIgDAAAAAA==&#10;" path="m4970843,2887076l,2887076,,,4970843,e" filled="f" strokecolor="#d9d9d9" strokeweight=".22014mm">
                  <v:path arrowok="t" textboxrect="0,0,4970843,2887076"/>
                </v:shape>
                <v:shape id="Shape 230831" o:spid="_x0000_s1180" style="position:absolute;left:14106;top:23257;width:24487;height:2325;visibility:visible;mso-wrap-style:square;v-text-anchor:top" coordsize="2448741,23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JMcA&#10;AADfAAAADwAAAGRycy9kb3ducmV2LnhtbESPQWvCQBSE74X+h+UVvNWNBoKNWaUKJbnV2lavj+xr&#10;Epp9G7Jrkv57Vyh4HGbmGybbTqYVA/WusaxgMY9AEJdWN1wp+Pp8e16BcB5ZY2uZFPyRg+3m8SHD&#10;VNuRP2g4+koECLsUFdTed6mUrqzJoJvbjjh4P7Y36IPsK6l7HAPctHIZRYk02HBYqLGjfU3l7/Fi&#10;FFCD3ctpx4fT9z5/L3bD2SWHXKnZ0/S6BuFp8vfwf7vQCpZxtIoXcPsTv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vriTHAAAA3wAAAA8AAAAAAAAAAAAAAAAAmAIAAGRy&#10;cy9kb3ducmV2LnhtbFBLBQYAAAAABAAEAPUAAACMAwAAAAA=&#10;" path="m,l2448741,r,232570l,232570,,e" stroked="f" strokeweight="0">
                  <v:path arrowok="t" textboxrect="0,0,2448741,232570"/>
                </v:shape>
                <v:shape id="Shape 19124" o:spid="_x0000_s1181" style="position:absolute;left:14106;top:23257;width:24487;height:2325;visibility:visible;mso-wrap-style:square;v-text-anchor:top" coordsize="2448742,23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8IA&#10;AADeAAAADwAAAGRycy9kb3ducmV2LnhtbERPzWrCQBC+F3yHZQre6kbRUlNXEVHwIEhtH2DMjklq&#10;djZkxxjf3hUEb/Px/c5s0blKtdSE0rOB4SABRZx5W3Ju4O938/EFKgiyxcozGbhRgMW89zbD1Por&#10;/1B7kFzFEA4pGihE6lTrkBXkMAx8TRy5k28cSoRNrm2D1xjuKj1Kkk/tsOTYUGBNq4Ky8+HiDLTr&#10;/ZlqPz2h7I5HO+lk+19ZY/rv3fIblFAnL/HTvbVx/nQ4GsPjnXiDn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77rwgAAAN4AAAAPAAAAAAAAAAAAAAAAAJgCAABkcnMvZG93&#10;bnJldi54bWxQSwUGAAAAAAQABAD1AAAAhwMAAAAA&#10;" path="m,l2448742,r,232570l,232570,,xe" filled="f" strokecolor="#bcbcbc" strokeweight=".22014mm">
                  <v:path arrowok="t" textboxrect="0,0,2448742,232570"/>
                </v:shape>
                <v:rect id="Rectangle 19125" o:spid="_x0000_s1182" style="position:absolute;left:23501;top:23813;width:7638;height: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6PsQA&#10;AADeAAAADwAAAGRycy9kb3ducmV2LnhtbERPS4vCMBC+C/sfwix401RBsdUosqvo0ceC621oZtuy&#10;zaQ00VZ/vREEb/PxPWe2aE0prlS7wrKCQT8CQZxaXXCm4Oe47k1AOI+ssbRMCm7kYDH/6Mww0bbh&#10;PV0PPhMhhF2CCnLvq0RKl+Zk0PVtRRy4P1sb9AHWmdQ1NiHclHIYRWNpsODQkGNFXzml/4eLUbCZ&#10;VMvfrb03Wbk6b067U/x9jL1S3c92OQXhqfVv8cu91WF+PBi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Oj7EAAAA3gAAAA8AAAAAAAAAAAAAAAAAmAIAAGRycy9k&#10;b3ducmV2LnhtbFBLBQYAAAAABAAEAPUAAACJAwAAAAA=&#10;" filled="f" stroked="f">
                  <v:textbox inset="0,0,0,0">
                    <w:txbxContent>
                      <w:p w:rsidR="00EE13F6" w:rsidRDefault="002E5BC4">
                        <w:r>
                          <w:rPr>
                            <w:b/>
                            <w:sz w:val="14"/>
                          </w:rPr>
                          <w:t>Firm's</w:t>
                        </w:r>
                        <w:r>
                          <w:rPr>
                            <w:b/>
                            <w:sz w:val="14"/>
                          </w:rPr>
                          <w:tab/>
                          <w:t>leverage</w:t>
                        </w:r>
                        <w:r>
                          <w:rPr>
                            <w:b/>
                            <w:sz w:val="14"/>
                          </w:rPr>
                          <w:tab/>
                        </w:r>
                      </w:p>
                    </w:txbxContent>
                  </v:textbox>
                </v:rect>
                <w10:anchorlock/>
              </v:group>
            </w:pict>
          </mc:Fallback>
        </mc:AlternateContent>
      </w:r>
    </w:p>
    <w:p w:rsidR="00EE13F6" w:rsidRDefault="002E5BC4">
      <w:pPr>
        <w:spacing w:after="0" w:line="264" w:lineRule="auto"/>
        <w:ind w:left="1255" w:right="468" w:hanging="10"/>
        <w:jc w:val="both"/>
      </w:pPr>
      <w:r>
        <w:rPr>
          <w:rFonts w:ascii="Cambria" w:eastAsia="Cambria" w:hAnsi="Cambria" w:cs="Cambria"/>
        </w:rPr>
        <w:t>Figure 2: Short Term Reaction of the Expected Theoretical Share Price</w:t>
      </w:r>
    </w:p>
    <w:p w:rsidR="00EE13F6" w:rsidRDefault="002E5BC4">
      <w:pPr>
        <w:spacing w:after="253"/>
        <w:ind w:left="924"/>
      </w:pPr>
      <w:r>
        <w:rPr>
          <w:noProof/>
        </w:rPr>
        <w:lastRenderedPageBreak/>
        <mc:AlternateContent>
          <mc:Choice Requires="wpg">
            <w:drawing>
              <wp:inline distT="0" distB="0" distL="0" distR="0">
                <wp:extent cx="4942179" cy="2945958"/>
                <wp:effectExtent l="0" t="0" r="0" b="0"/>
                <wp:docPr id="200811" name="Group 200811"/>
                <wp:cNvGraphicFramePr/>
                <a:graphic xmlns:a="http://schemas.openxmlformats.org/drawingml/2006/main">
                  <a:graphicData uri="http://schemas.microsoft.com/office/word/2010/wordprocessingGroup">
                    <wpg:wgp>
                      <wpg:cNvGrpSpPr/>
                      <wpg:grpSpPr>
                        <a:xfrm>
                          <a:off x="0" y="0"/>
                          <a:ext cx="4942179" cy="2945958"/>
                          <a:chOff x="0" y="0"/>
                          <a:chExt cx="4942179" cy="2945958"/>
                        </a:xfrm>
                      </wpg:grpSpPr>
                      <wps:wsp>
                        <wps:cNvPr id="19200" name="Shape 19200"/>
                        <wps:cNvSpPr/>
                        <wps:spPr>
                          <a:xfrm>
                            <a:off x="314301" y="2624878"/>
                            <a:ext cx="4627879" cy="0"/>
                          </a:xfrm>
                          <a:custGeom>
                            <a:avLst/>
                            <a:gdLst/>
                            <a:ahLst/>
                            <a:cxnLst/>
                            <a:rect l="0" t="0" r="0" b="0"/>
                            <a:pathLst>
                              <a:path w="4627879">
                                <a:moveTo>
                                  <a:pt x="4627879" y="0"/>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01" name="Shape 19201"/>
                        <wps:cNvSpPr/>
                        <wps:spPr>
                          <a:xfrm>
                            <a:off x="314301" y="2419057"/>
                            <a:ext cx="4627879" cy="0"/>
                          </a:xfrm>
                          <a:custGeom>
                            <a:avLst/>
                            <a:gdLst/>
                            <a:ahLst/>
                            <a:cxnLst/>
                            <a:rect l="0" t="0" r="0" b="0"/>
                            <a:pathLst>
                              <a:path w="4627879">
                                <a:moveTo>
                                  <a:pt x="4627879" y="0"/>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02" name="Shape 19202"/>
                        <wps:cNvSpPr/>
                        <wps:spPr>
                          <a:xfrm>
                            <a:off x="314301" y="2221469"/>
                            <a:ext cx="4627879" cy="0"/>
                          </a:xfrm>
                          <a:custGeom>
                            <a:avLst/>
                            <a:gdLst/>
                            <a:ahLst/>
                            <a:cxnLst/>
                            <a:rect l="0" t="0" r="0" b="0"/>
                            <a:pathLst>
                              <a:path w="4627879">
                                <a:moveTo>
                                  <a:pt x="4627879" y="0"/>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03" name="Shape 19203"/>
                        <wps:cNvSpPr/>
                        <wps:spPr>
                          <a:xfrm>
                            <a:off x="314301" y="2015648"/>
                            <a:ext cx="4627879" cy="0"/>
                          </a:xfrm>
                          <a:custGeom>
                            <a:avLst/>
                            <a:gdLst/>
                            <a:ahLst/>
                            <a:cxnLst/>
                            <a:rect l="0" t="0" r="0" b="0"/>
                            <a:pathLst>
                              <a:path w="4627879">
                                <a:moveTo>
                                  <a:pt x="4627879" y="0"/>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04" name="Shape 19204"/>
                        <wps:cNvSpPr/>
                        <wps:spPr>
                          <a:xfrm>
                            <a:off x="314301" y="1818060"/>
                            <a:ext cx="4627879" cy="0"/>
                          </a:xfrm>
                          <a:custGeom>
                            <a:avLst/>
                            <a:gdLst/>
                            <a:ahLst/>
                            <a:cxnLst/>
                            <a:rect l="0" t="0" r="0" b="0"/>
                            <a:pathLst>
                              <a:path w="4627879">
                                <a:moveTo>
                                  <a:pt x="4627879" y="0"/>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05" name="Shape 19205"/>
                        <wps:cNvSpPr/>
                        <wps:spPr>
                          <a:xfrm>
                            <a:off x="314301" y="1612239"/>
                            <a:ext cx="4627879" cy="0"/>
                          </a:xfrm>
                          <a:custGeom>
                            <a:avLst/>
                            <a:gdLst/>
                            <a:ahLst/>
                            <a:cxnLst/>
                            <a:rect l="0" t="0" r="0" b="0"/>
                            <a:pathLst>
                              <a:path w="4627879">
                                <a:moveTo>
                                  <a:pt x="4627879" y="0"/>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06" name="Shape 19206"/>
                        <wps:cNvSpPr/>
                        <wps:spPr>
                          <a:xfrm>
                            <a:off x="314301" y="1414650"/>
                            <a:ext cx="4627879" cy="0"/>
                          </a:xfrm>
                          <a:custGeom>
                            <a:avLst/>
                            <a:gdLst/>
                            <a:ahLst/>
                            <a:cxnLst/>
                            <a:rect l="0" t="0" r="0" b="0"/>
                            <a:pathLst>
                              <a:path w="4627879">
                                <a:moveTo>
                                  <a:pt x="4627879" y="0"/>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07" name="Shape 19207"/>
                        <wps:cNvSpPr/>
                        <wps:spPr>
                          <a:xfrm>
                            <a:off x="314301" y="1217062"/>
                            <a:ext cx="4627879" cy="0"/>
                          </a:xfrm>
                          <a:custGeom>
                            <a:avLst/>
                            <a:gdLst/>
                            <a:ahLst/>
                            <a:cxnLst/>
                            <a:rect l="0" t="0" r="0" b="0"/>
                            <a:pathLst>
                              <a:path w="4627879">
                                <a:moveTo>
                                  <a:pt x="4627879" y="0"/>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08" name="Shape 19208"/>
                        <wps:cNvSpPr/>
                        <wps:spPr>
                          <a:xfrm>
                            <a:off x="314301" y="1011241"/>
                            <a:ext cx="4627879" cy="0"/>
                          </a:xfrm>
                          <a:custGeom>
                            <a:avLst/>
                            <a:gdLst/>
                            <a:ahLst/>
                            <a:cxnLst/>
                            <a:rect l="0" t="0" r="0" b="0"/>
                            <a:pathLst>
                              <a:path w="4627879">
                                <a:moveTo>
                                  <a:pt x="4627879" y="0"/>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09" name="Shape 19209"/>
                        <wps:cNvSpPr/>
                        <wps:spPr>
                          <a:xfrm>
                            <a:off x="314301" y="607832"/>
                            <a:ext cx="4627879" cy="0"/>
                          </a:xfrm>
                          <a:custGeom>
                            <a:avLst/>
                            <a:gdLst/>
                            <a:ahLst/>
                            <a:cxnLst/>
                            <a:rect l="0" t="0" r="0" b="0"/>
                            <a:pathLst>
                              <a:path w="4627879">
                                <a:moveTo>
                                  <a:pt x="4627879" y="0"/>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10" name="Shape 19210"/>
                        <wps:cNvSpPr/>
                        <wps:spPr>
                          <a:xfrm>
                            <a:off x="4532545" y="607832"/>
                            <a:ext cx="0" cy="2017046"/>
                          </a:xfrm>
                          <a:custGeom>
                            <a:avLst/>
                            <a:gdLst/>
                            <a:ahLst/>
                            <a:cxnLst/>
                            <a:rect l="0" t="0" r="0" b="0"/>
                            <a:pathLst>
                              <a:path h="2017046">
                                <a:moveTo>
                                  <a:pt x="0" y="2017046"/>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11" name="Shape 19211"/>
                        <wps:cNvSpPr/>
                        <wps:spPr>
                          <a:xfrm>
                            <a:off x="4061094" y="607832"/>
                            <a:ext cx="0" cy="2017046"/>
                          </a:xfrm>
                          <a:custGeom>
                            <a:avLst/>
                            <a:gdLst/>
                            <a:ahLst/>
                            <a:cxnLst/>
                            <a:rect l="0" t="0" r="0" b="0"/>
                            <a:pathLst>
                              <a:path h="2017046">
                                <a:moveTo>
                                  <a:pt x="0" y="2017046"/>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12" name="Shape 19212"/>
                        <wps:cNvSpPr/>
                        <wps:spPr>
                          <a:xfrm>
                            <a:off x="3597914" y="607832"/>
                            <a:ext cx="0" cy="2017046"/>
                          </a:xfrm>
                          <a:custGeom>
                            <a:avLst/>
                            <a:gdLst/>
                            <a:ahLst/>
                            <a:cxnLst/>
                            <a:rect l="0" t="0" r="0" b="0"/>
                            <a:pathLst>
                              <a:path h="2017046">
                                <a:moveTo>
                                  <a:pt x="0" y="2017046"/>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13" name="Shape 19213"/>
                        <wps:cNvSpPr/>
                        <wps:spPr>
                          <a:xfrm>
                            <a:off x="3126463" y="607832"/>
                            <a:ext cx="0" cy="2017046"/>
                          </a:xfrm>
                          <a:custGeom>
                            <a:avLst/>
                            <a:gdLst/>
                            <a:ahLst/>
                            <a:cxnLst/>
                            <a:rect l="0" t="0" r="0" b="0"/>
                            <a:pathLst>
                              <a:path h="2017046">
                                <a:moveTo>
                                  <a:pt x="0" y="2017046"/>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14" name="Shape 19214"/>
                        <wps:cNvSpPr/>
                        <wps:spPr>
                          <a:xfrm>
                            <a:off x="2655012" y="607832"/>
                            <a:ext cx="0" cy="2017046"/>
                          </a:xfrm>
                          <a:custGeom>
                            <a:avLst/>
                            <a:gdLst/>
                            <a:ahLst/>
                            <a:cxnLst/>
                            <a:rect l="0" t="0" r="0" b="0"/>
                            <a:pathLst>
                              <a:path h="2017046">
                                <a:moveTo>
                                  <a:pt x="0" y="2017046"/>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15" name="Shape 19215"/>
                        <wps:cNvSpPr/>
                        <wps:spPr>
                          <a:xfrm>
                            <a:off x="2191833" y="607832"/>
                            <a:ext cx="0" cy="2017046"/>
                          </a:xfrm>
                          <a:custGeom>
                            <a:avLst/>
                            <a:gdLst/>
                            <a:ahLst/>
                            <a:cxnLst/>
                            <a:rect l="0" t="0" r="0" b="0"/>
                            <a:pathLst>
                              <a:path h="2017046">
                                <a:moveTo>
                                  <a:pt x="0" y="2017046"/>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16" name="Shape 19216"/>
                        <wps:cNvSpPr/>
                        <wps:spPr>
                          <a:xfrm>
                            <a:off x="1720382" y="607832"/>
                            <a:ext cx="0" cy="2017046"/>
                          </a:xfrm>
                          <a:custGeom>
                            <a:avLst/>
                            <a:gdLst/>
                            <a:ahLst/>
                            <a:cxnLst/>
                            <a:rect l="0" t="0" r="0" b="0"/>
                            <a:pathLst>
                              <a:path h="2017046">
                                <a:moveTo>
                                  <a:pt x="0" y="2017046"/>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17" name="Shape 19217"/>
                        <wps:cNvSpPr/>
                        <wps:spPr>
                          <a:xfrm>
                            <a:off x="1248931" y="607832"/>
                            <a:ext cx="0" cy="2017046"/>
                          </a:xfrm>
                          <a:custGeom>
                            <a:avLst/>
                            <a:gdLst/>
                            <a:ahLst/>
                            <a:cxnLst/>
                            <a:rect l="0" t="0" r="0" b="0"/>
                            <a:pathLst>
                              <a:path h="2017046">
                                <a:moveTo>
                                  <a:pt x="0" y="2017046"/>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18" name="Shape 19218"/>
                        <wps:cNvSpPr/>
                        <wps:spPr>
                          <a:xfrm>
                            <a:off x="785751" y="607832"/>
                            <a:ext cx="0" cy="2017046"/>
                          </a:xfrm>
                          <a:custGeom>
                            <a:avLst/>
                            <a:gdLst/>
                            <a:ahLst/>
                            <a:cxnLst/>
                            <a:rect l="0" t="0" r="0" b="0"/>
                            <a:pathLst>
                              <a:path h="2017046">
                                <a:moveTo>
                                  <a:pt x="0" y="2017046"/>
                                </a:move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219" name="Shape 19219"/>
                        <wps:cNvSpPr/>
                        <wps:spPr>
                          <a:xfrm>
                            <a:off x="314301" y="607832"/>
                            <a:ext cx="1" cy="2017046"/>
                          </a:xfrm>
                          <a:custGeom>
                            <a:avLst/>
                            <a:gdLst/>
                            <a:ahLst/>
                            <a:cxnLst/>
                            <a:rect l="0" t="0" r="0" b="0"/>
                            <a:pathLst>
                              <a:path w="1" h="2017046">
                                <a:moveTo>
                                  <a:pt x="0" y="2017046"/>
                                </a:moveTo>
                                <a:lnTo>
                                  <a:pt x="1" y="0"/>
                                </a:lnTo>
                              </a:path>
                            </a:pathLst>
                          </a:custGeom>
                          <a:ln w="8233" cap="flat">
                            <a:round/>
                          </a:ln>
                        </wps:spPr>
                        <wps:style>
                          <a:lnRef idx="1">
                            <a:srgbClr val="BFBFBF"/>
                          </a:lnRef>
                          <a:fillRef idx="0">
                            <a:srgbClr val="000000">
                              <a:alpha val="0"/>
                            </a:srgbClr>
                          </a:fillRef>
                          <a:effectRef idx="0">
                            <a:scrgbClr r="0" g="0" b="0"/>
                          </a:effectRef>
                          <a:fontRef idx="none"/>
                        </wps:style>
                        <wps:bodyPr/>
                      </wps:wsp>
                      <wps:wsp>
                        <wps:cNvPr id="19220" name="Shape 19220"/>
                        <wps:cNvSpPr/>
                        <wps:spPr>
                          <a:xfrm>
                            <a:off x="314301" y="813652"/>
                            <a:ext cx="4627879" cy="1"/>
                          </a:xfrm>
                          <a:custGeom>
                            <a:avLst/>
                            <a:gdLst/>
                            <a:ahLst/>
                            <a:cxnLst/>
                            <a:rect l="0" t="0" r="0" b="0"/>
                            <a:pathLst>
                              <a:path w="4627879" h="1">
                                <a:moveTo>
                                  <a:pt x="4627879" y="1"/>
                                </a:moveTo>
                                <a:lnTo>
                                  <a:pt x="0" y="0"/>
                                </a:lnTo>
                              </a:path>
                            </a:pathLst>
                          </a:custGeom>
                          <a:ln w="8233" cap="flat">
                            <a:round/>
                          </a:ln>
                        </wps:spPr>
                        <wps:style>
                          <a:lnRef idx="1">
                            <a:srgbClr val="BFBFBF"/>
                          </a:lnRef>
                          <a:fillRef idx="0">
                            <a:srgbClr val="000000">
                              <a:alpha val="0"/>
                            </a:srgbClr>
                          </a:fillRef>
                          <a:effectRef idx="0">
                            <a:scrgbClr r="0" g="0" b="0"/>
                          </a:effectRef>
                          <a:fontRef idx="none"/>
                        </wps:style>
                        <wps:bodyPr/>
                      </wps:wsp>
                      <wps:wsp>
                        <wps:cNvPr id="19222" name="Shape 19222"/>
                        <wps:cNvSpPr/>
                        <wps:spPr>
                          <a:xfrm>
                            <a:off x="550026" y="883632"/>
                            <a:ext cx="4218244" cy="1473678"/>
                          </a:xfrm>
                          <a:custGeom>
                            <a:avLst/>
                            <a:gdLst/>
                            <a:ahLst/>
                            <a:cxnLst/>
                            <a:rect l="0" t="0" r="0" b="0"/>
                            <a:pathLst>
                              <a:path w="4218244" h="1473678">
                                <a:moveTo>
                                  <a:pt x="0" y="0"/>
                                </a:moveTo>
                                <a:lnTo>
                                  <a:pt x="471451" y="41164"/>
                                </a:lnTo>
                                <a:lnTo>
                                  <a:pt x="934631" y="98794"/>
                                </a:lnTo>
                                <a:lnTo>
                                  <a:pt x="1406081" y="164657"/>
                                </a:lnTo>
                                <a:lnTo>
                                  <a:pt x="1869261" y="255218"/>
                                </a:lnTo>
                                <a:lnTo>
                                  <a:pt x="2340712" y="386943"/>
                                </a:lnTo>
                                <a:lnTo>
                                  <a:pt x="2812163" y="477505"/>
                                </a:lnTo>
                                <a:lnTo>
                                  <a:pt x="3275342" y="617463"/>
                                </a:lnTo>
                                <a:lnTo>
                                  <a:pt x="3746793" y="839750"/>
                                </a:lnTo>
                                <a:lnTo>
                                  <a:pt x="4218244" y="1473678"/>
                                </a:lnTo>
                              </a:path>
                            </a:pathLst>
                          </a:custGeom>
                          <a:ln w="16466" cap="rnd">
                            <a:round/>
                          </a:ln>
                        </wps:spPr>
                        <wps:style>
                          <a:lnRef idx="1">
                            <a:srgbClr val="5E5E5E"/>
                          </a:lnRef>
                          <a:fillRef idx="0">
                            <a:srgbClr val="000000">
                              <a:alpha val="0"/>
                            </a:srgbClr>
                          </a:fillRef>
                          <a:effectRef idx="0">
                            <a:scrgbClr r="0" g="0" b="0"/>
                          </a:effectRef>
                          <a:fontRef idx="none"/>
                        </wps:style>
                        <wps:bodyPr/>
                      </wps:wsp>
                      <wps:wsp>
                        <wps:cNvPr id="19224" name="Shape 19224"/>
                        <wps:cNvSpPr/>
                        <wps:spPr>
                          <a:xfrm>
                            <a:off x="550026" y="891864"/>
                            <a:ext cx="4218244" cy="1465446"/>
                          </a:xfrm>
                          <a:custGeom>
                            <a:avLst/>
                            <a:gdLst/>
                            <a:ahLst/>
                            <a:cxnLst/>
                            <a:rect l="0" t="0" r="0" b="0"/>
                            <a:pathLst>
                              <a:path w="4218244" h="1465446">
                                <a:moveTo>
                                  <a:pt x="0" y="0"/>
                                </a:moveTo>
                                <a:lnTo>
                                  <a:pt x="471451" y="57630"/>
                                </a:lnTo>
                                <a:lnTo>
                                  <a:pt x="934631" y="115260"/>
                                </a:lnTo>
                                <a:lnTo>
                                  <a:pt x="1406081" y="189355"/>
                                </a:lnTo>
                                <a:lnTo>
                                  <a:pt x="1869261" y="288149"/>
                                </a:lnTo>
                                <a:lnTo>
                                  <a:pt x="2340712" y="436340"/>
                                </a:lnTo>
                                <a:lnTo>
                                  <a:pt x="2812163" y="535135"/>
                                </a:lnTo>
                                <a:lnTo>
                                  <a:pt x="3275342" y="675093"/>
                                </a:lnTo>
                                <a:lnTo>
                                  <a:pt x="3746793" y="913845"/>
                                </a:lnTo>
                                <a:lnTo>
                                  <a:pt x="4218244" y="1465446"/>
                                </a:lnTo>
                              </a:path>
                            </a:pathLst>
                          </a:custGeom>
                          <a:ln w="16466" cap="rnd">
                            <a:round/>
                          </a:ln>
                        </wps:spPr>
                        <wps:style>
                          <a:lnRef idx="1">
                            <a:srgbClr val="B3B3B3"/>
                          </a:lnRef>
                          <a:fillRef idx="0">
                            <a:srgbClr val="000000">
                              <a:alpha val="0"/>
                            </a:srgbClr>
                          </a:fillRef>
                          <a:effectRef idx="0">
                            <a:scrgbClr r="0" g="0" b="0"/>
                          </a:effectRef>
                          <a:fontRef idx="none"/>
                        </wps:style>
                        <wps:bodyPr/>
                      </wps:wsp>
                      <wps:wsp>
                        <wps:cNvPr id="19226" name="Shape 19226"/>
                        <wps:cNvSpPr/>
                        <wps:spPr>
                          <a:xfrm>
                            <a:off x="550026" y="801304"/>
                            <a:ext cx="4218244" cy="1556007"/>
                          </a:xfrm>
                          <a:custGeom>
                            <a:avLst/>
                            <a:gdLst/>
                            <a:ahLst/>
                            <a:cxnLst/>
                            <a:rect l="0" t="0" r="0" b="0"/>
                            <a:pathLst>
                              <a:path w="4218244" h="1556007">
                                <a:moveTo>
                                  <a:pt x="0" y="0"/>
                                </a:moveTo>
                                <a:lnTo>
                                  <a:pt x="471451" y="164657"/>
                                </a:lnTo>
                                <a:lnTo>
                                  <a:pt x="934631" y="230519"/>
                                </a:lnTo>
                                <a:lnTo>
                                  <a:pt x="1406081" y="312848"/>
                                </a:lnTo>
                                <a:lnTo>
                                  <a:pt x="1869261" y="419875"/>
                                </a:lnTo>
                                <a:lnTo>
                                  <a:pt x="2340712" y="568066"/>
                                </a:lnTo>
                                <a:lnTo>
                                  <a:pt x="2812163" y="675093"/>
                                </a:lnTo>
                                <a:lnTo>
                                  <a:pt x="3275342" y="823284"/>
                                </a:lnTo>
                                <a:lnTo>
                                  <a:pt x="3746793" y="1062036"/>
                                </a:lnTo>
                                <a:lnTo>
                                  <a:pt x="4218244" y="1556007"/>
                                </a:lnTo>
                              </a:path>
                            </a:pathLst>
                          </a:custGeom>
                          <a:ln w="16466" cap="rnd">
                            <a:round/>
                          </a:ln>
                        </wps:spPr>
                        <wps:style>
                          <a:lnRef idx="1">
                            <a:srgbClr val="898989"/>
                          </a:lnRef>
                          <a:fillRef idx="0">
                            <a:srgbClr val="000000">
                              <a:alpha val="0"/>
                            </a:srgbClr>
                          </a:fillRef>
                          <a:effectRef idx="0">
                            <a:scrgbClr r="0" g="0" b="0"/>
                          </a:effectRef>
                          <a:fontRef idx="none"/>
                        </wps:style>
                        <wps:bodyPr/>
                      </wps:wsp>
                      <wps:wsp>
                        <wps:cNvPr id="19228" name="Shape 19228"/>
                        <wps:cNvSpPr/>
                        <wps:spPr>
                          <a:xfrm>
                            <a:off x="550026" y="916563"/>
                            <a:ext cx="4218244" cy="1432514"/>
                          </a:xfrm>
                          <a:custGeom>
                            <a:avLst/>
                            <a:gdLst/>
                            <a:ahLst/>
                            <a:cxnLst/>
                            <a:rect l="0" t="0" r="0" b="0"/>
                            <a:pathLst>
                              <a:path w="4218244" h="1432514">
                                <a:moveTo>
                                  <a:pt x="0" y="0"/>
                                </a:moveTo>
                                <a:lnTo>
                                  <a:pt x="471451" y="65863"/>
                                </a:lnTo>
                                <a:lnTo>
                                  <a:pt x="934631" y="131725"/>
                                </a:lnTo>
                                <a:lnTo>
                                  <a:pt x="1406081" y="222287"/>
                                </a:lnTo>
                                <a:lnTo>
                                  <a:pt x="1869261" y="337546"/>
                                </a:lnTo>
                                <a:lnTo>
                                  <a:pt x="2340712" y="493970"/>
                                </a:lnTo>
                                <a:lnTo>
                                  <a:pt x="2812163" y="609230"/>
                                </a:lnTo>
                                <a:lnTo>
                                  <a:pt x="3275342" y="757421"/>
                                </a:lnTo>
                                <a:lnTo>
                                  <a:pt x="3746793" y="987941"/>
                                </a:lnTo>
                                <a:lnTo>
                                  <a:pt x="4218244" y="1432514"/>
                                </a:lnTo>
                              </a:path>
                            </a:pathLst>
                          </a:custGeom>
                          <a:ln w="16466" cap="rnd">
                            <a:round/>
                          </a:ln>
                        </wps:spPr>
                        <wps:style>
                          <a:lnRef idx="1">
                            <a:srgbClr val="212121"/>
                          </a:lnRef>
                          <a:fillRef idx="0">
                            <a:srgbClr val="000000">
                              <a:alpha val="0"/>
                            </a:srgbClr>
                          </a:fillRef>
                          <a:effectRef idx="0">
                            <a:scrgbClr r="0" g="0" b="0"/>
                          </a:effectRef>
                          <a:fontRef idx="none"/>
                        </wps:style>
                        <wps:bodyPr/>
                      </wps:wsp>
                      <wps:wsp>
                        <wps:cNvPr id="19230" name="Shape 19230"/>
                        <wps:cNvSpPr/>
                        <wps:spPr>
                          <a:xfrm>
                            <a:off x="550026" y="998891"/>
                            <a:ext cx="4218244" cy="1350185"/>
                          </a:xfrm>
                          <a:custGeom>
                            <a:avLst/>
                            <a:gdLst/>
                            <a:ahLst/>
                            <a:cxnLst/>
                            <a:rect l="0" t="0" r="0" b="0"/>
                            <a:pathLst>
                              <a:path w="4218244" h="1350185">
                                <a:moveTo>
                                  <a:pt x="0" y="650394"/>
                                </a:moveTo>
                                <a:lnTo>
                                  <a:pt x="471451" y="0"/>
                                </a:lnTo>
                                <a:lnTo>
                                  <a:pt x="934631" y="74095"/>
                                </a:lnTo>
                                <a:lnTo>
                                  <a:pt x="1406081" y="164657"/>
                                </a:lnTo>
                                <a:lnTo>
                                  <a:pt x="1869261" y="288149"/>
                                </a:lnTo>
                                <a:lnTo>
                                  <a:pt x="2340712" y="452806"/>
                                </a:lnTo>
                                <a:lnTo>
                                  <a:pt x="2812163" y="568066"/>
                                </a:lnTo>
                                <a:lnTo>
                                  <a:pt x="3275342" y="716257"/>
                                </a:lnTo>
                                <a:lnTo>
                                  <a:pt x="3746793" y="946777"/>
                                </a:lnTo>
                                <a:lnTo>
                                  <a:pt x="4218244" y="1350185"/>
                                </a:lnTo>
                              </a:path>
                            </a:pathLst>
                          </a:custGeom>
                          <a:ln w="16466" cap="rnd">
                            <a:round/>
                          </a:ln>
                        </wps:spPr>
                        <wps:style>
                          <a:lnRef idx="1">
                            <a:srgbClr val="DADADA"/>
                          </a:lnRef>
                          <a:fillRef idx="0">
                            <a:srgbClr val="000000">
                              <a:alpha val="0"/>
                            </a:srgbClr>
                          </a:fillRef>
                          <a:effectRef idx="0">
                            <a:scrgbClr r="0" g="0" b="0"/>
                          </a:effectRef>
                          <a:fontRef idx="none"/>
                        </wps:style>
                        <wps:bodyPr/>
                      </wps:wsp>
                      <wps:wsp>
                        <wps:cNvPr id="19232" name="Rectangle 19232"/>
                        <wps:cNvSpPr/>
                        <wps:spPr>
                          <a:xfrm>
                            <a:off x="42389" y="2579040"/>
                            <a:ext cx="32969" cy="109132"/>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33" name="Rectangle 19233"/>
                        <wps:cNvSpPr/>
                        <wps:spPr>
                          <a:xfrm>
                            <a:off x="67202" y="2579040"/>
                            <a:ext cx="49502" cy="109132"/>
                          </a:xfrm>
                          <a:prstGeom prst="rect">
                            <a:avLst/>
                          </a:prstGeom>
                          <a:ln>
                            <a:noFill/>
                          </a:ln>
                        </wps:spPr>
                        <wps:txbx>
                          <w:txbxContent>
                            <w:p w:rsidR="00EE13F6" w:rsidRDefault="002E5BC4">
                              <w:r>
                                <w:rPr>
                                  <w:rFonts w:ascii="Times New Roman" w:eastAsia="Times New Roman" w:hAnsi="Times New Roman" w:cs="Times New Roman"/>
                                  <w:color w:val="585858"/>
                                  <w:sz w:val="12"/>
                                </w:rPr>
                                <w:t>1</w:t>
                              </w:r>
                            </w:p>
                          </w:txbxContent>
                        </wps:txbx>
                        <wps:bodyPr horzOverflow="overflow" vert="horz" lIns="0" tIns="0" rIns="0" bIns="0" rtlCol="0">
                          <a:noAutofit/>
                        </wps:bodyPr>
                      </wps:wsp>
                      <wps:wsp>
                        <wps:cNvPr id="19234" name="Rectangle 19234"/>
                        <wps:cNvSpPr/>
                        <wps:spPr>
                          <a:xfrm>
                            <a:off x="108558" y="2579040"/>
                            <a:ext cx="49502" cy="109132"/>
                          </a:xfrm>
                          <a:prstGeom prst="rect">
                            <a:avLst/>
                          </a:prstGeom>
                          <a:ln>
                            <a:noFill/>
                          </a:ln>
                        </wps:spPr>
                        <wps:txbx>
                          <w:txbxContent>
                            <w:p w:rsidR="00EE13F6" w:rsidRDefault="002E5BC4">
                              <w:r>
                                <w:rPr>
                                  <w:rFonts w:ascii="Times New Roman" w:eastAsia="Times New Roman" w:hAnsi="Times New Roman" w:cs="Times New Roman"/>
                                  <w:color w:val="585858"/>
                                  <w:sz w:val="12"/>
                                </w:rPr>
                                <w:t>8</w:t>
                              </w:r>
                            </w:p>
                          </w:txbxContent>
                        </wps:txbx>
                        <wps:bodyPr horzOverflow="overflow" vert="horz" lIns="0" tIns="0" rIns="0" bIns="0" rtlCol="0">
                          <a:noAutofit/>
                        </wps:bodyPr>
                      </wps:wsp>
                      <wps:wsp>
                        <wps:cNvPr id="19235" name="Rectangle 19235"/>
                        <wps:cNvSpPr/>
                        <wps:spPr>
                          <a:xfrm>
                            <a:off x="149913" y="2579040"/>
                            <a:ext cx="24751" cy="109132"/>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36" name="Rectangle 19236"/>
                        <wps:cNvSpPr/>
                        <wps:spPr>
                          <a:xfrm>
                            <a:off x="166455" y="2579040"/>
                            <a:ext cx="49502" cy="109132"/>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37" name="Rectangle 19237"/>
                        <wps:cNvSpPr/>
                        <wps:spPr>
                          <a:xfrm>
                            <a:off x="207810" y="2579040"/>
                            <a:ext cx="49502" cy="109132"/>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38" name="Rectangle 19238"/>
                        <wps:cNvSpPr/>
                        <wps:spPr>
                          <a:xfrm>
                            <a:off x="42389" y="2377867"/>
                            <a:ext cx="32969" cy="109132"/>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39" name="Rectangle 19239"/>
                        <wps:cNvSpPr/>
                        <wps:spPr>
                          <a:xfrm>
                            <a:off x="67202" y="2377867"/>
                            <a:ext cx="49502" cy="109132"/>
                          </a:xfrm>
                          <a:prstGeom prst="rect">
                            <a:avLst/>
                          </a:prstGeom>
                          <a:ln>
                            <a:noFill/>
                          </a:ln>
                        </wps:spPr>
                        <wps:txbx>
                          <w:txbxContent>
                            <w:p w:rsidR="00EE13F6" w:rsidRDefault="002E5BC4">
                              <w:r>
                                <w:rPr>
                                  <w:rFonts w:ascii="Times New Roman" w:eastAsia="Times New Roman" w:hAnsi="Times New Roman" w:cs="Times New Roman"/>
                                  <w:color w:val="585858"/>
                                  <w:sz w:val="12"/>
                                </w:rPr>
                                <w:t>1</w:t>
                              </w:r>
                            </w:p>
                          </w:txbxContent>
                        </wps:txbx>
                        <wps:bodyPr horzOverflow="overflow" vert="horz" lIns="0" tIns="0" rIns="0" bIns="0" rtlCol="0">
                          <a:noAutofit/>
                        </wps:bodyPr>
                      </wps:wsp>
                      <wps:wsp>
                        <wps:cNvPr id="19240" name="Rectangle 19240"/>
                        <wps:cNvSpPr/>
                        <wps:spPr>
                          <a:xfrm>
                            <a:off x="108558" y="2377867"/>
                            <a:ext cx="49502" cy="109132"/>
                          </a:xfrm>
                          <a:prstGeom prst="rect">
                            <a:avLst/>
                          </a:prstGeom>
                          <a:ln>
                            <a:noFill/>
                          </a:ln>
                        </wps:spPr>
                        <wps:txbx>
                          <w:txbxContent>
                            <w:p w:rsidR="00EE13F6" w:rsidRDefault="002E5BC4">
                              <w:r>
                                <w:rPr>
                                  <w:rFonts w:ascii="Times New Roman" w:eastAsia="Times New Roman" w:hAnsi="Times New Roman" w:cs="Times New Roman"/>
                                  <w:color w:val="585858"/>
                                  <w:sz w:val="12"/>
                                </w:rPr>
                                <w:t>6</w:t>
                              </w:r>
                            </w:p>
                          </w:txbxContent>
                        </wps:txbx>
                        <wps:bodyPr horzOverflow="overflow" vert="horz" lIns="0" tIns="0" rIns="0" bIns="0" rtlCol="0">
                          <a:noAutofit/>
                        </wps:bodyPr>
                      </wps:wsp>
                      <wps:wsp>
                        <wps:cNvPr id="19241" name="Rectangle 19241"/>
                        <wps:cNvSpPr/>
                        <wps:spPr>
                          <a:xfrm>
                            <a:off x="149913" y="2377867"/>
                            <a:ext cx="24751" cy="109132"/>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42" name="Rectangle 19242"/>
                        <wps:cNvSpPr/>
                        <wps:spPr>
                          <a:xfrm>
                            <a:off x="166455" y="2377867"/>
                            <a:ext cx="49502" cy="109132"/>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43" name="Rectangle 19243"/>
                        <wps:cNvSpPr/>
                        <wps:spPr>
                          <a:xfrm>
                            <a:off x="207810" y="2377867"/>
                            <a:ext cx="49502" cy="109132"/>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44" name="Rectangle 19244"/>
                        <wps:cNvSpPr/>
                        <wps:spPr>
                          <a:xfrm>
                            <a:off x="42389" y="2176693"/>
                            <a:ext cx="32969" cy="109133"/>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45" name="Rectangle 19245"/>
                        <wps:cNvSpPr/>
                        <wps:spPr>
                          <a:xfrm>
                            <a:off x="67202" y="2176693"/>
                            <a:ext cx="49502" cy="109133"/>
                          </a:xfrm>
                          <a:prstGeom prst="rect">
                            <a:avLst/>
                          </a:prstGeom>
                          <a:ln>
                            <a:noFill/>
                          </a:ln>
                        </wps:spPr>
                        <wps:txbx>
                          <w:txbxContent>
                            <w:p w:rsidR="00EE13F6" w:rsidRDefault="002E5BC4">
                              <w:r>
                                <w:rPr>
                                  <w:rFonts w:ascii="Times New Roman" w:eastAsia="Times New Roman" w:hAnsi="Times New Roman" w:cs="Times New Roman"/>
                                  <w:color w:val="585858"/>
                                  <w:sz w:val="12"/>
                                </w:rPr>
                                <w:t>1</w:t>
                              </w:r>
                            </w:p>
                          </w:txbxContent>
                        </wps:txbx>
                        <wps:bodyPr horzOverflow="overflow" vert="horz" lIns="0" tIns="0" rIns="0" bIns="0" rtlCol="0">
                          <a:noAutofit/>
                        </wps:bodyPr>
                      </wps:wsp>
                      <wps:wsp>
                        <wps:cNvPr id="19246" name="Rectangle 19246"/>
                        <wps:cNvSpPr/>
                        <wps:spPr>
                          <a:xfrm>
                            <a:off x="108558" y="2176693"/>
                            <a:ext cx="49502" cy="109133"/>
                          </a:xfrm>
                          <a:prstGeom prst="rect">
                            <a:avLst/>
                          </a:prstGeom>
                          <a:ln>
                            <a:noFill/>
                          </a:ln>
                        </wps:spPr>
                        <wps:txbx>
                          <w:txbxContent>
                            <w:p w:rsidR="00EE13F6" w:rsidRDefault="002E5BC4">
                              <w:r>
                                <w:rPr>
                                  <w:rFonts w:ascii="Times New Roman" w:eastAsia="Times New Roman" w:hAnsi="Times New Roman" w:cs="Times New Roman"/>
                                  <w:color w:val="585858"/>
                                  <w:sz w:val="12"/>
                                </w:rPr>
                                <w:t>4</w:t>
                              </w:r>
                            </w:p>
                          </w:txbxContent>
                        </wps:txbx>
                        <wps:bodyPr horzOverflow="overflow" vert="horz" lIns="0" tIns="0" rIns="0" bIns="0" rtlCol="0">
                          <a:noAutofit/>
                        </wps:bodyPr>
                      </wps:wsp>
                      <wps:wsp>
                        <wps:cNvPr id="19247" name="Rectangle 19247"/>
                        <wps:cNvSpPr/>
                        <wps:spPr>
                          <a:xfrm>
                            <a:off x="149913" y="2176693"/>
                            <a:ext cx="24751" cy="109133"/>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48" name="Rectangle 19248"/>
                        <wps:cNvSpPr/>
                        <wps:spPr>
                          <a:xfrm>
                            <a:off x="166455" y="2176693"/>
                            <a:ext cx="49502" cy="109133"/>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49" name="Rectangle 19249"/>
                        <wps:cNvSpPr/>
                        <wps:spPr>
                          <a:xfrm>
                            <a:off x="207810" y="2176693"/>
                            <a:ext cx="49502" cy="109133"/>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50" name="Rectangle 19250"/>
                        <wps:cNvSpPr/>
                        <wps:spPr>
                          <a:xfrm>
                            <a:off x="42389" y="1975518"/>
                            <a:ext cx="32969" cy="109133"/>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51" name="Rectangle 19251"/>
                        <wps:cNvSpPr/>
                        <wps:spPr>
                          <a:xfrm>
                            <a:off x="67202" y="1975518"/>
                            <a:ext cx="49502" cy="109133"/>
                          </a:xfrm>
                          <a:prstGeom prst="rect">
                            <a:avLst/>
                          </a:prstGeom>
                          <a:ln>
                            <a:noFill/>
                          </a:ln>
                        </wps:spPr>
                        <wps:txbx>
                          <w:txbxContent>
                            <w:p w:rsidR="00EE13F6" w:rsidRDefault="002E5BC4">
                              <w:r>
                                <w:rPr>
                                  <w:rFonts w:ascii="Times New Roman" w:eastAsia="Times New Roman" w:hAnsi="Times New Roman" w:cs="Times New Roman"/>
                                  <w:color w:val="585858"/>
                                  <w:sz w:val="12"/>
                                </w:rPr>
                                <w:t>1</w:t>
                              </w:r>
                            </w:p>
                          </w:txbxContent>
                        </wps:txbx>
                        <wps:bodyPr horzOverflow="overflow" vert="horz" lIns="0" tIns="0" rIns="0" bIns="0" rtlCol="0">
                          <a:noAutofit/>
                        </wps:bodyPr>
                      </wps:wsp>
                      <wps:wsp>
                        <wps:cNvPr id="19252" name="Rectangle 19252"/>
                        <wps:cNvSpPr/>
                        <wps:spPr>
                          <a:xfrm>
                            <a:off x="108558" y="1975518"/>
                            <a:ext cx="49502" cy="109133"/>
                          </a:xfrm>
                          <a:prstGeom prst="rect">
                            <a:avLst/>
                          </a:prstGeom>
                          <a:ln>
                            <a:noFill/>
                          </a:ln>
                        </wps:spPr>
                        <wps:txbx>
                          <w:txbxContent>
                            <w:p w:rsidR="00EE13F6" w:rsidRDefault="002E5BC4">
                              <w:r>
                                <w:rPr>
                                  <w:rFonts w:ascii="Times New Roman" w:eastAsia="Times New Roman" w:hAnsi="Times New Roman" w:cs="Times New Roman"/>
                                  <w:color w:val="585858"/>
                                  <w:sz w:val="12"/>
                                </w:rPr>
                                <w:t>2</w:t>
                              </w:r>
                            </w:p>
                          </w:txbxContent>
                        </wps:txbx>
                        <wps:bodyPr horzOverflow="overflow" vert="horz" lIns="0" tIns="0" rIns="0" bIns="0" rtlCol="0">
                          <a:noAutofit/>
                        </wps:bodyPr>
                      </wps:wsp>
                      <wps:wsp>
                        <wps:cNvPr id="19253" name="Rectangle 19253"/>
                        <wps:cNvSpPr/>
                        <wps:spPr>
                          <a:xfrm>
                            <a:off x="149913" y="1975518"/>
                            <a:ext cx="24751" cy="109133"/>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54" name="Rectangle 19254"/>
                        <wps:cNvSpPr/>
                        <wps:spPr>
                          <a:xfrm>
                            <a:off x="166455" y="1975518"/>
                            <a:ext cx="49502" cy="109133"/>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55" name="Rectangle 19255"/>
                        <wps:cNvSpPr/>
                        <wps:spPr>
                          <a:xfrm>
                            <a:off x="207810" y="1975518"/>
                            <a:ext cx="49502" cy="109133"/>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56" name="Rectangle 19256"/>
                        <wps:cNvSpPr/>
                        <wps:spPr>
                          <a:xfrm>
                            <a:off x="42389" y="1775421"/>
                            <a:ext cx="30295" cy="120297"/>
                          </a:xfrm>
                          <a:prstGeom prst="rect">
                            <a:avLst/>
                          </a:prstGeom>
                          <a:ln>
                            <a:noFill/>
                          </a:ln>
                        </wps:spPr>
                        <wps:txbx>
                          <w:txbxContent>
                            <w:p w:rsidR="00EE13F6" w:rsidRDefault="002E5BC4">
                              <w:r>
                                <w:rPr>
                                  <w:color w:val="585858"/>
                                  <w:sz w:val="12"/>
                                </w:rPr>
                                <w:t>-</w:t>
                              </w:r>
                            </w:p>
                          </w:txbxContent>
                        </wps:txbx>
                        <wps:bodyPr horzOverflow="overflow" vert="horz" lIns="0" tIns="0" rIns="0" bIns="0" rtlCol="0">
                          <a:noAutofit/>
                        </wps:bodyPr>
                      </wps:wsp>
                      <wps:wsp>
                        <wps:cNvPr id="200752" name="Rectangle 200752"/>
                        <wps:cNvSpPr/>
                        <wps:spPr>
                          <a:xfrm>
                            <a:off x="149919" y="1775421"/>
                            <a:ext cx="24751" cy="120297"/>
                          </a:xfrm>
                          <a:prstGeom prst="rect">
                            <a:avLst/>
                          </a:prstGeom>
                          <a:ln>
                            <a:noFill/>
                          </a:ln>
                        </wps:spPr>
                        <wps:txbx>
                          <w:txbxContent>
                            <w:p w:rsidR="00EE13F6" w:rsidRDefault="002E5BC4">
                              <w:r>
                                <w:rPr>
                                  <w:color w:val="585858"/>
                                  <w:sz w:val="12"/>
                                </w:rPr>
                                <w:t>,</w:t>
                              </w:r>
                            </w:p>
                          </w:txbxContent>
                        </wps:txbx>
                        <wps:bodyPr horzOverflow="overflow" vert="horz" lIns="0" tIns="0" rIns="0" bIns="0" rtlCol="0">
                          <a:noAutofit/>
                        </wps:bodyPr>
                      </wps:wsp>
                      <wps:wsp>
                        <wps:cNvPr id="200751" name="Rectangle 200751"/>
                        <wps:cNvSpPr/>
                        <wps:spPr>
                          <a:xfrm>
                            <a:off x="166490" y="1775421"/>
                            <a:ext cx="105202" cy="120297"/>
                          </a:xfrm>
                          <a:prstGeom prst="rect">
                            <a:avLst/>
                          </a:prstGeom>
                          <a:ln>
                            <a:noFill/>
                          </a:ln>
                        </wps:spPr>
                        <wps:txbx>
                          <w:txbxContent>
                            <w:p w:rsidR="00EE13F6" w:rsidRDefault="002E5BC4">
                              <w:r>
                                <w:rPr>
                                  <w:color w:val="585858"/>
                                  <w:sz w:val="12"/>
                                </w:rPr>
                                <w:t>00</w:t>
                              </w:r>
                            </w:p>
                          </w:txbxContent>
                        </wps:txbx>
                        <wps:bodyPr horzOverflow="overflow" vert="horz" lIns="0" tIns="0" rIns="0" bIns="0" rtlCol="0">
                          <a:noAutofit/>
                        </wps:bodyPr>
                      </wps:wsp>
                      <wps:wsp>
                        <wps:cNvPr id="200750" name="Rectangle 200750"/>
                        <wps:cNvSpPr/>
                        <wps:spPr>
                          <a:xfrm>
                            <a:off x="67202" y="1775421"/>
                            <a:ext cx="105202" cy="120297"/>
                          </a:xfrm>
                          <a:prstGeom prst="rect">
                            <a:avLst/>
                          </a:prstGeom>
                          <a:ln>
                            <a:noFill/>
                          </a:ln>
                        </wps:spPr>
                        <wps:txbx>
                          <w:txbxContent>
                            <w:p w:rsidR="00EE13F6" w:rsidRDefault="002E5BC4">
                              <w:r>
                                <w:rPr>
                                  <w:color w:val="585858"/>
                                  <w:sz w:val="12"/>
                                </w:rPr>
                                <w:t>10</w:t>
                              </w:r>
                            </w:p>
                          </w:txbxContent>
                        </wps:txbx>
                        <wps:bodyPr horzOverflow="overflow" vert="horz" lIns="0" tIns="0" rIns="0" bIns="0" rtlCol="0">
                          <a:noAutofit/>
                        </wps:bodyPr>
                      </wps:wsp>
                      <wps:wsp>
                        <wps:cNvPr id="19258" name="Rectangle 19258"/>
                        <wps:cNvSpPr/>
                        <wps:spPr>
                          <a:xfrm>
                            <a:off x="85812" y="1573172"/>
                            <a:ext cx="32969" cy="109134"/>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59" name="Rectangle 19259"/>
                        <wps:cNvSpPr/>
                        <wps:spPr>
                          <a:xfrm>
                            <a:off x="110626" y="1573172"/>
                            <a:ext cx="49502" cy="109134"/>
                          </a:xfrm>
                          <a:prstGeom prst="rect">
                            <a:avLst/>
                          </a:prstGeom>
                          <a:ln>
                            <a:noFill/>
                          </a:ln>
                        </wps:spPr>
                        <wps:txbx>
                          <w:txbxContent>
                            <w:p w:rsidR="00EE13F6" w:rsidRDefault="002E5BC4">
                              <w:r>
                                <w:rPr>
                                  <w:rFonts w:ascii="Times New Roman" w:eastAsia="Times New Roman" w:hAnsi="Times New Roman" w:cs="Times New Roman"/>
                                  <w:color w:val="585858"/>
                                  <w:sz w:val="12"/>
                                </w:rPr>
                                <w:t>8</w:t>
                              </w:r>
                            </w:p>
                          </w:txbxContent>
                        </wps:txbx>
                        <wps:bodyPr horzOverflow="overflow" vert="horz" lIns="0" tIns="0" rIns="0" bIns="0" rtlCol="0">
                          <a:noAutofit/>
                        </wps:bodyPr>
                      </wps:wsp>
                      <wps:wsp>
                        <wps:cNvPr id="19260" name="Rectangle 19260"/>
                        <wps:cNvSpPr/>
                        <wps:spPr>
                          <a:xfrm>
                            <a:off x="151981" y="1573172"/>
                            <a:ext cx="24751" cy="109134"/>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61" name="Rectangle 19261"/>
                        <wps:cNvSpPr/>
                        <wps:spPr>
                          <a:xfrm>
                            <a:off x="168523" y="1573172"/>
                            <a:ext cx="49502" cy="109134"/>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62" name="Rectangle 19262"/>
                        <wps:cNvSpPr/>
                        <wps:spPr>
                          <a:xfrm>
                            <a:off x="209878" y="1573172"/>
                            <a:ext cx="49502" cy="109134"/>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63" name="Rectangle 19263"/>
                        <wps:cNvSpPr/>
                        <wps:spPr>
                          <a:xfrm>
                            <a:off x="85812" y="1371999"/>
                            <a:ext cx="32969" cy="109134"/>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64" name="Rectangle 19264"/>
                        <wps:cNvSpPr/>
                        <wps:spPr>
                          <a:xfrm>
                            <a:off x="110626" y="1371999"/>
                            <a:ext cx="49502" cy="109134"/>
                          </a:xfrm>
                          <a:prstGeom prst="rect">
                            <a:avLst/>
                          </a:prstGeom>
                          <a:ln>
                            <a:noFill/>
                          </a:ln>
                        </wps:spPr>
                        <wps:txbx>
                          <w:txbxContent>
                            <w:p w:rsidR="00EE13F6" w:rsidRDefault="002E5BC4">
                              <w:r>
                                <w:rPr>
                                  <w:rFonts w:ascii="Times New Roman" w:eastAsia="Times New Roman" w:hAnsi="Times New Roman" w:cs="Times New Roman"/>
                                  <w:color w:val="585858"/>
                                  <w:sz w:val="12"/>
                                </w:rPr>
                                <w:t>6</w:t>
                              </w:r>
                            </w:p>
                          </w:txbxContent>
                        </wps:txbx>
                        <wps:bodyPr horzOverflow="overflow" vert="horz" lIns="0" tIns="0" rIns="0" bIns="0" rtlCol="0">
                          <a:noAutofit/>
                        </wps:bodyPr>
                      </wps:wsp>
                      <wps:wsp>
                        <wps:cNvPr id="19265" name="Rectangle 19265"/>
                        <wps:cNvSpPr/>
                        <wps:spPr>
                          <a:xfrm>
                            <a:off x="151981" y="1371999"/>
                            <a:ext cx="24751" cy="109134"/>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66" name="Rectangle 19266"/>
                        <wps:cNvSpPr/>
                        <wps:spPr>
                          <a:xfrm>
                            <a:off x="168523" y="1371999"/>
                            <a:ext cx="49502" cy="109134"/>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67" name="Rectangle 19267"/>
                        <wps:cNvSpPr/>
                        <wps:spPr>
                          <a:xfrm>
                            <a:off x="209878" y="1371999"/>
                            <a:ext cx="49502" cy="109134"/>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68" name="Rectangle 19268"/>
                        <wps:cNvSpPr/>
                        <wps:spPr>
                          <a:xfrm>
                            <a:off x="85812" y="1170824"/>
                            <a:ext cx="32969" cy="109134"/>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69" name="Rectangle 19269"/>
                        <wps:cNvSpPr/>
                        <wps:spPr>
                          <a:xfrm>
                            <a:off x="110626" y="1170824"/>
                            <a:ext cx="49502" cy="109134"/>
                          </a:xfrm>
                          <a:prstGeom prst="rect">
                            <a:avLst/>
                          </a:prstGeom>
                          <a:ln>
                            <a:noFill/>
                          </a:ln>
                        </wps:spPr>
                        <wps:txbx>
                          <w:txbxContent>
                            <w:p w:rsidR="00EE13F6" w:rsidRDefault="002E5BC4">
                              <w:r>
                                <w:rPr>
                                  <w:rFonts w:ascii="Times New Roman" w:eastAsia="Times New Roman" w:hAnsi="Times New Roman" w:cs="Times New Roman"/>
                                  <w:color w:val="585858"/>
                                  <w:sz w:val="12"/>
                                </w:rPr>
                                <w:t>4</w:t>
                              </w:r>
                            </w:p>
                          </w:txbxContent>
                        </wps:txbx>
                        <wps:bodyPr horzOverflow="overflow" vert="horz" lIns="0" tIns="0" rIns="0" bIns="0" rtlCol="0">
                          <a:noAutofit/>
                        </wps:bodyPr>
                      </wps:wsp>
                      <wps:wsp>
                        <wps:cNvPr id="19270" name="Rectangle 19270"/>
                        <wps:cNvSpPr/>
                        <wps:spPr>
                          <a:xfrm>
                            <a:off x="151981" y="1170824"/>
                            <a:ext cx="24751" cy="109134"/>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71" name="Rectangle 19271"/>
                        <wps:cNvSpPr/>
                        <wps:spPr>
                          <a:xfrm>
                            <a:off x="168523" y="1170824"/>
                            <a:ext cx="49502" cy="109134"/>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72" name="Rectangle 19272"/>
                        <wps:cNvSpPr/>
                        <wps:spPr>
                          <a:xfrm>
                            <a:off x="209878" y="1170824"/>
                            <a:ext cx="49502" cy="109134"/>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73" name="Rectangle 19273"/>
                        <wps:cNvSpPr/>
                        <wps:spPr>
                          <a:xfrm>
                            <a:off x="85812" y="969651"/>
                            <a:ext cx="32969" cy="109134"/>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74" name="Rectangle 19274"/>
                        <wps:cNvSpPr/>
                        <wps:spPr>
                          <a:xfrm>
                            <a:off x="110626" y="969651"/>
                            <a:ext cx="49502" cy="109134"/>
                          </a:xfrm>
                          <a:prstGeom prst="rect">
                            <a:avLst/>
                          </a:prstGeom>
                          <a:ln>
                            <a:noFill/>
                          </a:ln>
                        </wps:spPr>
                        <wps:txbx>
                          <w:txbxContent>
                            <w:p w:rsidR="00EE13F6" w:rsidRDefault="002E5BC4">
                              <w:r>
                                <w:rPr>
                                  <w:rFonts w:ascii="Times New Roman" w:eastAsia="Times New Roman" w:hAnsi="Times New Roman" w:cs="Times New Roman"/>
                                  <w:color w:val="585858"/>
                                  <w:sz w:val="12"/>
                                </w:rPr>
                                <w:t>2</w:t>
                              </w:r>
                            </w:p>
                          </w:txbxContent>
                        </wps:txbx>
                        <wps:bodyPr horzOverflow="overflow" vert="horz" lIns="0" tIns="0" rIns="0" bIns="0" rtlCol="0">
                          <a:noAutofit/>
                        </wps:bodyPr>
                      </wps:wsp>
                      <wps:wsp>
                        <wps:cNvPr id="19275" name="Rectangle 19275"/>
                        <wps:cNvSpPr/>
                        <wps:spPr>
                          <a:xfrm>
                            <a:off x="151981" y="969651"/>
                            <a:ext cx="24751" cy="109134"/>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19276" name="Rectangle 19276"/>
                        <wps:cNvSpPr/>
                        <wps:spPr>
                          <a:xfrm>
                            <a:off x="168523" y="969651"/>
                            <a:ext cx="49502" cy="109134"/>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19277" name="Rectangle 19277"/>
                        <wps:cNvSpPr/>
                        <wps:spPr>
                          <a:xfrm>
                            <a:off x="209878" y="969651"/>
                            <a:ext cx="49502" cy="109134"/>
                          </a:xfrm>
                          <a:prstGeom prst="rect">
                            <a:avLst/>
                          </a:prstGeom>
                          <a:ln>
                            <a:noFill/>
                          </a:ln>
                        </wps:spPr>
                        <wps:txbx>
                          <w:txbxContent>
                            <w:p w:rsidR="00EE13F6" w:rsidRDefault="002E5BC4">
                              <w:r>
                                <w:rPr>
                                  <w:rFonts w:ascii="Times New Roman" w:eastAsia="Times New Roman" w:hAnsi="Times New Roman" w:cs="Times New Roman"/>
                                  <w:color w:val="585858"/>
                                  <w:sz w:val="12"/>
                                </w:rPr>
                                <w:t>0</w:t>
                              </w:r>
                            </w:p>
                          </w:txbxContent>
                        </wps:txbx>
                        <wps:bodyPr horzOverflow="overflow" vert="horz" lIns="0" tIns="0" rIns="0" bIns="0" rtlCol="0">
                          <a:noAutofit/>
                        </wps:bodyPr>
                      </wps:wsp>
                      <wps:wsp>
                        <wps:cNvPr id="200724" name="Rectangle 200724"/>
                        <wps:cNvSpPr/>
                        <wps:spPr>
                          <a:xfrm>
                            <a:off x="163674" y="769555"/>
                            <a:ext cx="105203" cy="120297"/>
                          </a:xfrm>
                          <a:prstGeom prst="rect">
                            <a:avLst/>
                          </a:prstGeom>
                          <a:ln>
                            <a:noFill/>
                          </a:ln>
                        </wps:spPr>
                        <wps:txbx>
                          <w:txbxContent>
                            <w:p w:rsidR="00EE13F6" w:rsidRDefault="002E5BC4">
                              <w:r>
                                <w:rPr>
                                  <w:color w:val="585858"/>
                                  <w:sz w:val="12"/>
                                </w:rPr>
                                <w:t>00</w:t>
                              </w:r>
                            </w:p>
                          </w:txbxContent>
                        </wps:txbx>
                        <wps:bodyPr horzOverflow="overflow" vert="horz" lIns="0" tIns="0" rIns="0" bIns="0" rtlCol="0">
                          <a:noAutofit/>
                        </wps:bodyPr>
                      </wps:wsp>
                      <wps:wsp>
                        <wps:cNvPr id="200723" name="Rectangle 200723"/>
                        <wps:cNvSpPr/>
                        <wps:spPr>
                          <a:xfrm>
                            <a:off x="105746" y="769555"/>
                            <a:ext cx="50195" cy="120297"/>
                          </a:xfrm>
                          <a:prstGeom prst="rect">
                            <a:avLst/>
                          </a:prstGeom>
                          <a:ln>
                            <a:noFill/>
                          </a:ln>
                        </wps:spPr>
                        <wps:txbx>
                          <w:txbxContent>
                            <w:p w:rsidR="00EE13F6" w:rsidRDefault="002E5BC4">
                              <w:r>
                                <w:rPr>
                                  <w:color w:val="585858"/>
                                  <w:sz w:val="12"/>
                                </w:rPr>
                                <w:t>0</w:t>
                              </w:r>
                            </w:p>
                          </w:txbxContent>
                        </wps:txbx>
                        <wps:bodyPr horzOverflow="overflow" vert="horz" lIns="0" tIns="0" rIns="0" bIns="0" rtlCol="0">
                          <a:noAutofit/>
                        </wps:bodyPr>
                      </wps:wsp>
                      <wps:wsp>
                        <wps:cNvPr id="200725" name="Rectangle 200725"/>
                        <wps:cNvSpPr/>
                        <wps:spPr>
                          <a:xfrm>
                            <a:off x="147104" y="769555"/>
                            <a:ext cx="24751" cy="120297"/>
                          </a:xfrm>
                          <a:prstGeom prst="rect">
                            <a:avLst/>
                          </a:prstGeom>
                          <a:ln>
                            <a:noFill/>
                          </a:ln>
                        </wps:spPr>
                        <wps:txbx>
                          <w:txbxContent>
                            <w:p w:rsidR="00EE13F6" w:rsidRDefault="002E5BC4">
                              <w:r>
                                <w:rPr>
                                  <w:color w:val="585858"/>
                                  <w:sz w:val="12"/>
                                </w:rPr>
                                <w:t>,</w:t>
                              </w:r>
                            </w:p>
                          </w:txbxContent>
                        </wps:txbx>
                        <wps:bodyPr horzOverflow="overflow" vert="horz" lIns="0" tIns="0" rIns="0" bIns="0" rtlCol="0">
                          <a:noAutofit/>
                        </wps:bodyPr>
                      </wps:wsp>
                      <wps:wsp>
                        <wps:cNvPr id="200721" name="Rectangle 200721"/>
                        <wps:cNvSpPr/>
                        <wps:spPr>
                          <a:xfrm>
                            <a:off x="163674" y="568382"/>
                            <a:ext cx="105203" cy="120297"/>
                          </a:xfrm>
                          <a:prstGeom prst="rect">
                            <a:avLst/>
                          </a:prstGeom>
                          <a:ln>
                            <a:noFill/>
                          </a:ln>
                        </wps:spPr>
                        <wps:txbx>
                          <w:txbxContent>
                            <w:p w:rsidR="00EE13F6" w:rsidRDefault="002E5BC4">
                              <w:r>
                                <w:rPr>
                                  <w:color w:val="585858"/>
                                  <w:sz w:val="12"/>
                                </w:rPr>
                                <w:t>00</w:t>
                              </w:r>
                            </w:p>
                          </w:txbxContent>
                        </wps:txbx>
                        <wps:bodyPr horzOverflow="overflow" vert="horz" lIns="0" tIns="0" rIns="0" bIns="0" rtlCol="0">
                          <a:noAutofit/>
                        </wps:bodyPr>
                      </wps:wsp>
                      <wps:wsp>
                        <wps:cNvPr id="200722" name="Rectangle 200722"/>
                        <wps:cNvSpPr/>
                        <wps:spPr>
                          <a:xfrm>
                            <a:off x="147104" y="568382"/>
                            <a:ext cx="24751" cy="120297"/>
                          </a:xfrm>
                          <a:prstGeom prst="rect">
                            <a:avLst/>
                          </a:prstGeom>
                          <a:ln>
                            <a:noFill/>
                          </a:ln>
                        </wps:spPr>
                        <wps:txbx>
                          <w:txbxContent>
                            <w:p w:rsidR="00EE13F6" w:rsidRDefault="002E5BC4">
                              <w:r>
                                <w:rPr>
                                  <w:color w:val="585858"/>
                                  <w:sz w:val="12"/>
                                </w:rPr>
                                <w:t>,</w:t>
                              </w:r>
                            </w:p>
                          </w:txbxContent>
                        </wps:txbx>
                        <wps:bodyPr horzOverflow="overflow" vert="horz" lIns="0" tIns="0" rIns="0" bIns="0" rtlCol="0">
                          <a:noAutofit/>
                        </wps:bodyPr>
                      </wps:wsp>
                      <wps:wsp>
                        <wps:cNvPr id="200720" name="Rectangle 200720"/>
                        <wps:cNvSpPr/>
                        <wps:spPr>
                          <a:xfrm>
                            <a:off x="105746" y="568382"/>
                            <a:ext cx="50195" cy="120297"/>
                          </a:xfrm>
                          <a:prstGeom prst="rect">
                            <a:avLst/>
                          </a:prstGeom>
                          <a:ln>
                            <a:noFill/>
                          </a:ln>
                        </wps:spPr>
                        <wps:txbx>
                          <w:txbxContent>
                            <w:p w:rsidR="00EE13F6" w:rsidRDefault="002E5BC4">
                              <w:r>
                                <w:rPr>
                                  <w:color w:val="585858"/>
                                  <w:sz w:val="12"/>
                                </w:rPr>
                                <w:t>2</w:t>
                              </w:r>
                            </w:p>
                          </w:txbxContent>
                        </wps:txbx>
                        <wps:bodyPr horzOverflow="overflow" vert="horz" lIns="0" tIns="0" rIns="0" bIns="0" rtlCol="0">
                          <a:noAutofit/>
                        </wps:bodyPr>
                      </wps:wsp>
                      <wps:wsp>
                        <wps:cNvPr id="200726" name="Rectangle 200726"/>
                        <wps:cNvSpPr/>
                        <wps:spPr>
                          <a:xfrm>
                            <a:off x="480524" y="861811"/>
                            <a:ext cx="50195" cy="120297"/>
                          </a:xfrm>
                          <a:prstGeom prst="rect">
                            <a:avLst/>
                          </a:prstGeom>
                          <a:ln>
                            <a:noFill/>
                          </a:ln>
                        </wps:spPr>
                        <wps:txbx>
                          <w:txbxContent>
                            <w:p w:rsidR="00EE13F6" w:rsidRDefault="002E5BC4">
                              <w:r>
                                <w:rPr>
                                  <w:color w:val="585858"/>
                                  <w:sz w:val="12"/>
                                </w:rPr>
                                <w:t>1</w:t>
                              </w:r>
                            </w:p>
                          </w:txbxContent>
                        </wps:txbx>
                        <wps:bodyPr horzOverflow="overflow" vert="horz" lIns="0" tIns="0" rIns="0" bIns="0" rtlCol="0">
                          <a:noAutofit/>
                        </wps:bodyPr>
                      </wps:wsp>
                      <wps:wsp>
                        <wps:cNvPr id="200727" name="Rectangle 200727"/>
                        <wps:cNvSpPr/>
                        <wps:spPr>
                          <a:xfrm>
                            <a:off x="538453" y="861811"/>
                            <a:ext cx="105203" cy="120297"/>
                          </a:xfrm>
                          <a:prstGeom prst="rect">
                            <a:avLst/>
                          </a:prstGeom>
                          <a:ln>
                            <a:noFill/>
                          </a:ln>
                        </wps:spPr>
                        <wps:txbx>
                          <w:txbxContent>
                            <w:p w:rsidR="00EE13F6" w:rsidRDefault="002E5BC4">
                              <w:r>
                                <w:rPr>
                                  <w:color w:val="585858"/>
                                  <w:sz w:val="12"/>
                                </w:rPr>
                                <w:t>25</w:t>
                              </w:r>
                            </w:p>
                          </w:txbxContent>
                        </wps:txbx>
                        <wps:bodyPr horzOverflow="overflow" vert="horz" lIns="0" tIns="0" rIns="0" bIns="0" rtlCol="0">
                          <a:noAutofit/>
                        </wps:bodyPr>
                      </wps:wsp>
                      <wps:wsp>
                        <wps:cNvPr id="200728" name="Rectangle 200728"/>
                        <wps:cNvSpPr/>
                        <wps:spPr>
                          <a:xfrm>
                            <a:off x="521882" y="861811"/>
                            <a:ext cx="24751" cy="120297"/>
                          </a:xfrm>
                          <a:prstGeom prst="rect">
                            <a:avLst/>
                          </a:prstGeom>
                          <a:ln>
                            <a:noFill/>
                          </a:ln>
                        </wps:spPr>
                        <wps:txbx>
                          <w:txbxContent>
                            <w:p w:rsidR="00EE13F6" w:rsidRDefault="002E5BC4">
                              <w:r>
                                <w:rPr>
                                  <w:color w:val="585858"/>
                                  <w:sz w:val="12"/>
                                </w:rPr>
                                <w:t>,</w:t>
                              </w:r>
                            </w:p>
                          </w:txbxContent>
                        </wps:txbx>
                        <wps:bodyPr horzOverflow="overflow" vert="horz" lIns="0" tIns="0" rIns="0" bIns="0" rtlCol="0">
                          <a:noAutofit/>
                        </wps:bodyPr>
                      </wps:wsp>
                      <wps:wsp>
                        <wps:cNvPr id="200730" name="Rectangle 200730"/>
                        <wps:cNvSpPr/>
                        <wps:spPr>
                          <a:xfrm>
                            <a:off x="1006930" y="861811"/>
                            <a:ext cx="105203" cy="120297"/>
                          </a:xfrm>
                          <a:prstGeom prst="rect">
                            <a:avLst/>
                          </a:prstGeom>
                          <a:ln>
                            <a:noFill/>
                          </a:ln>
                        </wps:spPr>
                        <wps:txbx>
                          <w:txbxContent>
                            <w:p w:rsidR="00EE13F6" w:rsidRDefault="002E5BC4">
                              <w:r>
                                <w:rPr>
                                  <w:color w:val="585858"/>
                                  <w:sz w:val="12"/>
                                </w:rPr>
                                <w:t>43</w:t>
                              </w:r>
                            </w:p>
                          </w:txbxContent>
                        </wps:txbx>
                        <wps:bodyPr horzOverflow="overflow" vert="horz" lIns="0" tIns="0" rIns="0" bIns="0" rtlCol="0">
                          <a:noAutofit/>
                        </wps:bodyPr>
                      </wps:wsp>
                      <wps:wsp>
                        <wps:cNvPr id="200731" name="Rectangle 200731"/>
                        <wps:cNvSpPr/>
                        <wps:spPr>
                          <a:xfrm>
                            <a:off x="990360" y="861811"/>
                            <a:ext cx="24751" cy="120297"/>
                          </a:xfrm>
                          <a:prstGeom prst="rect">
                            <a:avLst/>
                          </a:prstGeom>
                          <a:ln>
                            <a:noFill/>
                          </a:ln>
                        </wps:spPr>
                        <wps:txbx>
                          <w:txbxContent>
                            <w:p w:rsidR="00EE13F6" w:rsidRDefault="002E5BC4">
                              <w:r>
                                <w:rPr>
                                  <w:color w:val="585858"/>
                                  <w:sz w:val="12"/>
                                </w:rPr>
                                <w:t>,</w:t>
                              </w:r>
                            </w:p>
                          </w:txbxContent>
                        </wps:txbx>
                        <wps:bodyPr horzOverflow="overflow" vert="horz" lIns="0" tIns="0" rIns="0" bIns="0" rtlCol="0">
                          <a:noAutofit/>
                        </wps:bodyPr>
                      </wps:wsp>
                      <wps:wsp>
                        <wps:cNvPr id="200729" name="Rectangle 200729"/>
                        <wps:cNvSpPr/>
                        <wps:spPr>
                          <a:xfrm>
                            <a:off x="949001" y="861811"/>
                            <a:ext cx="50195" cy="120297"/>
                          </a:xfrm>
                          <a:prstGeom prst="rect">
                            <a:avLst/>
                          </a:prstGeom>
                          <a:ln>
                            <a:noFill/>
                          </a:ln>
                        </wps:spPr>
                        <wps:txbx>
                          <w:txbxContent>
                            <w:p w:rsidR="00EE13F6" w:rsidRDefault="002E5BC4">
                              <w:r>
                                <w:rPr>
                                  <w:color w:val="585858"/>
                                  <w:sz w:val="12"/>
                                </w:rPr>
                                <w:t>1</w:t>
                              </w:r>
                            </w:p>
                          </w:txbxContent>
                        </wps:txbx>
                        <wps:bodyPr horzOverflow="overflow" vert="horz" lIns="0" tIns="0" rIns="0" bIns="0" rtlCol="0">
                          <a:noAutofit/>
                        </wps:bodyPr>
                      </wps:wsp>
                      <wps:wsp>
                        <wps:cNvPr id="200733" name="Rectangle 200733"/>
                        <wps:cNvSpPr/>
                        <wps:spPr>
                          <a:xfrm>
                            <a:off x="1475408" y="861811"/>
                            <a:ext cx="105203" cy="120297"/>
                          </a:xfrm>
                          <a:prstGeom prst="rect">
                            <a:avLst/>
                          </a:prstGeom>
                          <a:ln>
                            <a:noFill/>
                          </a:ln>
                        </wps:spPr>
                        <wps:txbx>
                          <w:txbxContent>
                            <w:p w:rsidR="00EE13F6" w:rsidRDefault="002E5BC4">
                              <w:r>
                                <w:rPr>
                                  <w:color w:val="585858"/>
                                  <w:sz w:val="12"/>
                                </w:rPr>
                                <w:t>67</w:t>
                              </w:r>
                            </w:p>
                          </w:txbxContent>
                        </wps:txbx>
                        <wps:bodyPr horzOverflow="overflow" vert="horz" lIns="0" tIns="0" rIns="0" bIns="0" rtlCol="0">
                          <a:noAutofit/>
                        </wps:bodyPr>
                      </wps:wsp>
                      <wps:wsp>
                        <wps:cNvPr id="200734" name="Rectangle 200734"/>
                        <wps:cNvSpPr/>
                        <wps:spPr>
                          <a:xfrm>
                            <a:off x="1458838" y="861811"/>
                            <a:ext cx="24751" cy="120297"/>
                          </a:xfrm>
                          <a:prstGeom prst="rect">
                            <a:avLst/>
                          </a:prstGeom>
                          <a:ln>
                            <a:noFill/>
                          </a:ln>
                        </wps:spPr>
                        <wps:txbx>
                          <w:txbxContent>
                            <w:p w:rsidR="00EE13F6" w:rsidRDefault="002E5BC4">
                              <w:r>
                                <w:rPr>
                                  <w:color w:val="585858"/>
                                  <w:sz w:val="12"/>
                                </w:rPr>
                                <w:t>,</w:t>
                              </w:r>
                            </w:p>
                          </w:txbxContent>
                        </wps:txbx>
                        <wps:bodyPr horzOverflow="overflow" vert="horz" lIns="0" tIns="0" rIns="0" bIns="0" rtlCol="0">
                          <a:noAutofit/>
                        </wps:bodyPr>
                      </wps:wsp>
                      <wps:wsp>
                        <wps:cNvPr id="200732" name="Rectangle 200732"/>
                        <wps:cNvSpPr/>
                        <wps:spPr>
                          <a:xfrm>
                            <a:off x="1417479" y="861811"/>
                            <a:ext cx="50195" cy="120297"/>
                          </a:xfrm>
                          <a:prstGeom prst="rect">
                            <a:avLst/>
                          </a:prstGeom>
                          <a:ln>
                            <a:noFill/>
                          </a:ln>
                        </wps:spPr>
                        <wps:txbx>
                          <w:txbxContent>
                            <w:p w:rsidR="00EE13F6" w:rsidRDefault="002E5BC4">
                              <w:r>
                                <w:rPr>
                                  <w:color w:val="585858"/>
                                  <w:sz w:val="12"/>
                                </w:rPr>
                                <w:t>1</w:t>
                              </w:r>
                            </w:p>
                          </w:txbxContent>
                        </wps:txbx>
                        <wps:bodyPr horzOverflow="overflow" vert="horz" lIns="0" tIns="0" rIns="0" bIns="0" rtlCol="0">
                          <a:noAutofit/>
                        </wps:bodyPr>
                      </wps:wsp>
                      <wps:wsp>
                        <wps:cNvPr id="200736" name="Rectangle 200736"/>
                        <wps:cNvSpPr/>
                        <wps:spPr>
                          <a:xfrm>
                            <a:off x="1943888" y="861811"/>
                            <a:ext cx="105202" cy="120297"/>
                          </a:xfrm>
                          <a:prstGeom prst="rect">
                            <a:avLst/>
                          </a:prstGeom>
                          <a:ln>
                            <a:noFill/>
                          </a:ln>
                        </wps:spPr>
                        <wps:txbx>
                          <w:txbxContent>
                            <w:p w:rsidR="00EE13F6" w:rsidRDefault="002E5BC4">
                              <w:r>
                                <w:rPr>
                                  <w:color w:val="585858"/>
                                  <w:sz w:val="12"/>
                                </w:rPr>
                                <w:t>00</w:t>
                              </w:r>
                            </w:p>
                          </w:txbxContent>
                        </wps:txbx>
                        <wps:bodyPr horzOverflow="overflow" vert="horz" lIns="0" tIns="0" rIns="0" bIns="0" rtlCol="0">
                          <a:noAutofit/>
                        </wps:bodyPr>
                      </wps:wsp>
                      <wps:wsp>
                        <wps:cNvPr id="200737" name="Rectangle 200737"/>
                        <wps:cNvSpPr/>
                        <wps:spPr>
                          <a:xfrm>
                            <a:off x="1927317" y="861811"/>
                            <a:ext cx="24751" cy="120297"/>
                          </a:xfrm>
                          <a:prstGeom prst="rect">
                            <a:avLst/>
                          </a:prstGeom>
                          <a:ln>
                            <a:noFill/>
                          </a:ln>
                        </wps:spPr>
                        <wps:txbx>
                          <w:txbxContent>
                            <w:p w:rsidR="00EE13F6" w:rsidRDefault="002E5BC4">
                              <w:r>
                                <w:rPr>
                                  <w:color w:val="585858"/>
                                  <w:sz w:val="12"/>
                                </w:rPr>
                                <w:t>,</w:t>
                              </w:r>
                            </w:p>
                          </w:txbxContent>
                        </wps:txbx>
                        <wps:bodyPr horzOverflow="overflow" vert="horz" lIns="0" tIns="0" rIns="0" bIns="0" rtlCol="0">
                          <a:noAutofit/>
                        </wps:bodyPr>
                      </wps:wsp>
                      <wps:wsp>
                        <wps:cNvPr id="200735" name="Rectangle 200735"/>
                        <wps:cNvSpPr/>
                        <wps:spPr>
                          <a:xfrm>
                            <a:off x="1885959" y="861811"/>
                            <a:ext cx="50195" cy="120297"/>
                          </a:xfrm>
                          <a:prstGeom prst="rect">
                            <a:avLst/>
                          </a:prstGeom>
                          <a:ln>
                            <a:noFill/>
                          </a:ln>
                        </wps:spPr>
                        <wps:txbx>
                          <w:txbxContent>
                            <w:p w:rsidR="00EE13F6" w:rsidRDefault="002E5BC4">
                              <w:r>
                                <w:rPr>
                                  <w:color w:val="585858"/>
                                  <w:sz w:val="12"/>
                                </w:rPr>
                                <w:t>2</w:t>
                              </w:r>
                            </w:p>
                          </w:txbxContent>
                        </wps:txbx>
                        <wps:bodyPr horzOverflow="overflow" vert="horz" lIns="0" tIns="0" rIns="0" bIns="0" rtlCol="0">
                          <a:noAutofit/>
                        </wps:bodyPr>
                      </wps:wsp>
                      <wps:wsp>
                        <wps:cNvPr id="200739" name="Rectangle 200739"/>
                        <wps:cNvSpPr/>
                        <wps:spPr>
                          <a:xfrm>
                            <a:off x="2412365" y="861811"/>
                            <a:ext cx="105202" cy="120297"/>
                          </a:xfrm>
                          <a:prstGeom prst="rect">
                            <a:avLst/>
                          </a:prstGeom>
                          <a:ln>
                            <a:noFill/>
                          </a:ln>
                        </wps:spPr>
                        <wps:txbx>
                          <w:txbxContent>
                            <w:p w:rsidR="00EE13F6" w:rsidRDefault="002E5BC4">
                              <w:r>
                                <w:rPr>
                                  <w:color w:val="585858"/>
                                  <w:sz w:val="12"/>
                                </w:rPr>
                                <w:t>50</w:t>
                              </w:r>
                            </w:p>
                          </w:txbxContent>
                        </wps:txbx>
                        <wps:bodyPr horzOverflow="overflow" vert="horz" lIns="0" tIns="0" rIns="0" bIns="0" rtlCol="0">
                          <a:noAutofit/>
                        </wps:bodyPr>
                      </wps:wsp>
                      <wps:wsp>
                        <wps:cNvPr id="200740" name="Rectangle 200740"/>
                        <wps:cNvSpPr/>
                        <wps:spPr>
                          <a:xfrm>
                            <a:off x="2395795" y="861811"/>
                            <a:ext cx="24751" cy="120297"/>
                          </a:xfrm>
                          <a:prstGeom prst="rect">
                            <a:avLst/>
                          </a:prstGeom>
                          <a:ln>
                            <a:noFill/>
                          </a:ln>
                        </wps:spPr>
                        <wps:txbx>
                          <w:txbxContent>
                            <w:p w:rsidR="00EE13F6" w:rsidRDefault="002E5BC4">
                              <w:r>
                                <w:rPr>
                                  <w:color w:val="585858"/>
                                  <w:sz w:val="12"/>
                                </w:rPr>
                                <w:t>,</w:t>
                              </w:r>
                            </w:p>
                          </w:txbxContent>
                        </wps:txbx>
                        <wps:bodyPr horzOverflow="overflow" vert="horz" lIns="0" tIns="0" rIns="0" bIns="0" rtlCol="0">
                          <a:noAutofit/>
                        </wps:bodyPr>
                      </wps:wsp>
                      <wps:wsp>
                        <wps:cNvPr id="200738" name="Rectangle 200738"/>
                        <wps:cNvSpPr/>
                        <wps:spPr>
                          <a:xfrm>
                            <a:off x="2354436" y="861811"/>
                            <a:ext cx="50195" cy="120297"/>
                          </a:xfrm>
                          <a:prstGeom prst="rect">
                            <a:avLst/>
                          </a:prstGeom>
                          <a:ln>
                            <a:noFill/>
                          </a:ln>
                        </wps:spPr>
                        <wps:txbx>
                          <w:txbxContent>
                            <w:p w:rsidR="00EE13F6" w:rsidRDefault="002E5BC4">
                              <w:r>
                                <w:rPr>
                                  <w:color w:val="585858"/>
                                  <w:sz w:val="12"/>
                                </w:rPr>
                                <w:t>2</w:t>
                              </w:r>
                            </w:p>
                          </w:txbxContent>
                        </wps:txbx>
                        <wps:bodyPr horzOverflow="overflow" vert="horz" lIns="0" tIns="0" rIns="0" bIns="0" rtlCol="0">
                          <a:noAutofit/>
                        </wps:bodyPr>
                      </wps:wsp>
                      <wps:wsp>
                        <wps:cNvPr id="200742" name="Rectangle 200742"/>
                        <wps:cNvSpPr/>
                        <wps:spPr>
                          <a:xfrm>
                            <a:off x="2880842" y="861811"/>
                            <a:ext cx="105202" cy="120297"/>
                          </a:xfrm>
                          <a:prstGeom prst="rect">
                            <a:avLst/>
                          </a:prstGeom>
                          <a:ln>
                            <a:noFill/>
                          </a:ln>
                        </wps:spPr>
                        <wps:txbx>
                          <w:txbxContent>
                            <w:p w:rsidR="00EE13F6" w:rsidRDefault="002E5BC4">
                              <w:r>
                                <w:rPr>
                                  <w:color w:val="585858"/>
                                  <w:sz w:val="12"/>
                                </w:rPr>
                                <w:t>33</w:t>
                              </w:r>
                            </w:p>
                          </w:txbxContent>
                        </wps:txbx>
                        <wps:bodyPr horzOverflow="overflow" vert="horz" lIns="0" tIns="0" rIns="0" bIns="0" rtlCol="0">
                          <a:noAutofit/>
                        </wps:bodyPr>
                      </wps:wsp>
                      <wps:wsp>
                        <wps:cNvPr id="200743" name="Rectangle 200743"/>
                        <wps:cNvSpPr/>
                        <wps:spPr>
                          <a:xfrm>
                            <a:off x="2864272" y="861811"/>
                            <a:ext cx="24751" cy="120297"/>
                          </a:xfrm>
                          <a:prstGeom prst="rect">
                            <a:avLst/>
                          </a:prstGeom>
                          <a:ln>
                            <a:noFill/>
                          </a:ln>
                        </wps:spPr>
                        <wps:txbx>
                          <w:txbxContent>
                            <w:p w:rsidR="00EE13F6" w:rsidRDefault="002E5BC4">
                              <w:r>
                                <w:rPr>
                                  <w:color w:val="585858"/>
                                  <w:sz w:val="12"/>
                                </w:rPr>
                                <w:t>,</w:t>
                              </w:r>
                            </w:p>
                          </w:txbxContent>
                        </wps:txbx>
                        <wps:bodyPr horzOverflow="overflow" vert="horz" lIns="0" tIns="0" rIns="0" bIns="0" rtlCol="0">
                          <a:noAutofit/>
                        </wps:bodyPr>
                      </wps:wsp>
                      <wps:wsp>
                        <wps:cNvPr id="200741" name="Rectangle 200741"/>
                        <wps:cNvSpPr/>
                        <wps:spPr>
                          <a:xfrm>
                            <a:off x="2822913" y="861811"/>
                            <a:ext cx="50195" cy="120297"/>
                          </a:xfrm>
                          <a:prstGeom prst="rect">
                            <a:avLst/>
                          </a:prstGeom>
                          <a:ln>
                            <a:noFill/>
                          </a:ln>
                        </wps:spPr>
                        <wps:txbx>
                          <w:txbxContent>
                            <w:p w:rsidR="00EE13F6" w:rsidRDefault="002E5BC4">
                              <w:r>
                                <w:rPr>
                                  <w:color w:val="585858"/>
                                  <w:sz w:val="12"/>
                                </w:rPr>
                                <w:t>3</w:t>
                              </w:r>
                            </w:p>
                          </w:txbxContent>
                        </wps:txbx>
                        <wps:bodyPr horzOverflow="overflow" vert="horz" lIns="0" tIns="0" rIns="0" bIns="0" rtlCol="0">
                          <a:noAutofit/>
                        </wps:bodyPr>
                      </wps:wsp>
                      <wps:wsp>
                        <wps:cNvPr id="200744" name="Rectangle 200744"/>
                        <wps:cNvSpPr/>
                        <wps:spPr>
                          <a:xfrm>
                            <a:off x="3291392" y="861811"/>
                            <a:ext cx="50195" cy="120297"/>
                          </a:xfrm>
                          <a:prstGeom prst="rect">
                            <a:avLst/>
                          </a:prstGeom>
                          <a:ln>
                            <a:noFill/>
                          </a:ln>
                        </wps:spPr>
                        <wps:txbx>
                          <w:txbxContent>
                            <w:p w:rsidR="00EE13F6" w:rsidRDefault="002E5BC4">
                              <w:r>
                                <w:rPr>
                                  <w:color w:val="585858"/>
                                  <w:sz w:val="12"/>
                                </w:rPr>
                                <w:t>4</w:t>
                              </w:r>
                            </w:p>
                          </w:txbxContent>
                        </wps:txbx>
                        <wps:bodyPr horzOverflow="overflow" vert="horz" lIns="0" tIns="0" rIns="0" bIns="0" rtlCol="0">
                          <a:noAutofit/>
                        </wps:bodyPr>
                      </wps:wsp>
                      <wps:wsp>
                        <wps:cNvPr id="200746" name="Rectangle 200746"/>
                        <wps:cNvSpPr/>
                        <wps:spPr>
                          <a:xfrm>
                            <a:off x="3332751" y="861811"/>
                            <a:ext cx="24751" cy="120297"/>
                          </a:xfrm>
                          <a:prstGeom prst="rect">
                            <a:avLst/>
                          </a:prstGeom>
                          <a:ln>
                            <a:noFill/>
                          </a:ln>
                        </wps:spPr>
                        <wps:txbx>
                          <w:txbxContent>
                            <w:p w:rsidR="00EE13F6" w:rsidRDefault="002E5BC4">
                              <w:r>
                                <w:rPr>
                                  <w:color w:val="585858"/>
                                  <w:sz w:val="12"/>
                                </w:rPr>
                                <w:t>,</w:t>
                              </w:r>
                            </w:p>
                          </w:txbxContent>
                        </wps:txbx>
                        <wps:bodyPr horzOverflow="overflow" vert="horz" lIns="0" tIns="0" rIns="0" bIns="0" rtlCol="0">
                          <a:noAutofit/>
                        </wps:bodyPr>
                      </wps:wsp>
                      <wps:wsp>
                        <wps:cNvPr id="200745" name="Rectangle 200745"/>
                        <wps:cNvSpPr/>
                        <wps:spPr>
                          <a:xfrm>
                            <a:off x="3349321" y="861811"/>
                            <a:ext cx="105202" cy="120297"/>
                          </a:xfrm>
                          <a:prstGeom prst="rect">
                            <a:avLst/>
                          </a:prstGeom>
                          <a:ln>
                            <a:noFill/>
                          </a:ln>
                        </wps:spPr>
                        <wps:txbx>
                          <w:txbxContent>
                            <w:p w:rsidR="00EE13F6" w:rsidRDefault="002E5BC4">
                              <w:r>
                                <w:rPr>
                                  <w:color w:val="585858"/>
                                  <w:sz w:val="12"/>
                                </w:rPr>
                                <w:t>00</w:t>
                              </w:r>
                            </w:p>
                          </w:txbxContent>
                        </wps:txbx>
                        <wps:bodyPr horzOverflow="overflow" vert="horz" lIns="0" tIns="0" rIns="0" bIns="0" rtlCol="0">
                          <a:noAutofit/>
                        </wps:bodyPr>
                      </wps:wsp>
                      <wps:wsp>
                        <wps:cNvPr id="19287" name="Rectangle 19287"/>
                        <wps:cNvSpPr/>
                        <wps:spPr>
                          <a:xfrm>
                            <a:off x="3809476" y="861811"/>
                            <a:ext cx="50195" cy="120297"/>
                          </a:xfrm>
                          <a:prstGeom prst="rect">
                            <a:avLst/>
                          </a:prstGeom>
                          <a:ln>
                            <a:noFill/>
                          </a:ln>
                        </wps:spPr>
                        <wps:txbx>
                          <w:txbxContent>
                            <w:p w:rsidR="00EE13F6" w:rsidRDefault="002E5BC4">
                              <w:r>
                                <w:rPr>
                                  <w:color w:val="585858"/>
                                  <w:sz w:val="12"/>
                                </w:rPr>
                                <w:t>5</w:t>
                              </w:r>
                            </w:p>
                          </w:txbxContent>
                        </wps:txbx>
                        <wps:bodyPr horzOverflow="overflow" vert="horz" lIns="0" tIns="0" rIns="0" bIns="0" rtlCol="0">
                          <a:noAutofit/>
                        </wps:bodyPr>
                      </wps:wsp>
                      <wps:wsp>
                        <wps:cNvPr id="200748" name="Rectangle 200748"/>
                        <wps:cNvSpPr/>
                        <wps:spPr>
                          <a:xfrm>
                            <a:off x="4286277" y="861811"/>
                            <a:ext cx="105202" cy="120297"/>
                          </a:xfrm>
                          <a:prstGeom prst="rect">
                            <a:avLst/>
                          </a:prstGeom>
                          <a:ln>
                            <a:noFill/>
                          </a:ln>
                        </wps:spPr>
                        <wps:txbx>
                          <w:txbxContent>
                            <w:p w:rsidR="00EE13F6" w:rsidRDefault="002E5BC4">
                              <w:r>
                                <w:rPr>
                                  <w:color w:val="585858"/>
                                  <w:sz w:val="12"/>
                                </w:rPr>
                                <w:t>67</w:t>
                              </w:r>
                            </w:p>
                          </w:txbxContent>
                        </wps:txbx>
                        <wps:bodyPr horzOverflow="overflow" vert="horz" lIns="0" tIns="0" rIns="0" bIns="0" rtlCol="0">
                          <a:noAutofit/>
                        </wps:bodyPr>
                      </wps:wsp>
                      <wps:wsp>
                        <wps:cNvPr id="200749" name="Rectangle 200749"/>
                        <wps:cNvSpPr/>
                        <wps:spPr>
                          <a:xfrm>
                            <a:off x="4269706" y="861811"/>
                            <a:ext cx="24751" cy="120297"/>
                          </a:xfrm>
                          <a:prstGeom prst="rect">
                            <a:avLst/>
                          </a:prstGeom>
                          <a:ln>
                            <a:noFill/>
                          </a:ln>
                        </wps:spPr>
                        <wps:txbx>
                          <w:txbxContent>
                            <w:p w:rsidR="00EE13F6" w:rsidRDefault="002E5BC4">
                              <w:r>
                                <w:rPr>
                                  <w:color w:val="585858"/>
                                  <w:sz w:val="12"/>
                                </w:rPr>
                                <w:t>,</w:t>
                              </w:r>
                            </w:p>
                          </w:txbxContent>
                        </wps:txbx>
                        <wps:bodyPr horzOverflow="overflow" vert="horz" lIns="0" tIns="0" rIns="0" bIns="0" rtlCol="0">
                          <a:noAutofit/>
                        </wps:bodyPr>
                      </wps:wsp>
                      <wps:wsp>
                        <wps:cNvPr id="200747" name="Rectangle 200747"/>
                        <wps:cNvSpPr/>
                        <wps:spPr>
                          <a:xfrm>
                            <a:off x="4228348" y="861811"/>
                            <a:ext cx="50195" cy="120297"/>
                          </a:xfrm>
                          <a:prstGeom prst="rect">
                            <a:avLst/>
                          </a:prstGeom>
                          <a:ln>
                            <a:noFill/>
                          </a:ln>
                        </wps:spPr>
                        <wps:txbx>
                          <w:txbxContent>
                            <w:p w:rsidR="00EE13F6" w:rsidRDefault="002E5BC4">
                              <w:r>
                                <w:rPr>
                                  <w:color w:val="585858"/>
                                  <w:sz w:val="12"/>
                                </w:rPr>
                                <w:t>6</w:t>
                              </w:r>
                            </w:p>
                          </w:txbxContent>
                        </wps:txbx>
                        <wps:bodyPr horzOverflow="overflow" vert="horz" lIns="0" tIns="0" rIns="0" bIns="0" rtlCol="0">
                          <a:noAutofit/>
                        </wps:bodyPr>
                      </wps:wsp>
                      <wps:wsp>
                        <wps:cNvPr id="19289" name="Rectangle 19289"/>
                        <wps:cNvSpPr/>
                        <wps:spPr>
                          <a:xfrm>
                            <a:off x="4721619" y="861811"/>
                            <a:ext cx="105202" cy="120297"/>
                          </a:xfrm>
                          <a:prstGeom prst="rect">
                            <a:avLst/>
                          </a:prstGeom>
                          <a:ln>
                            <a:noFill/>
                          </a:ln>
                        </wps:spPr>
                        <wps:txbx>
                          <w:txbxContent>
                            <w:p w:rsidR="00EE13F6" w:rsidRDefault="002E5BC4">
                              <w:r>
                                <w:rPr>
                                  <w:color w:val="585858"/>
                                  <w:sz w:val="12"/>
                                </w:rPr>
                                <w:t>10</w:t>
                              </w:r>
                            </w:p>
                          </w:txbxContent>
                        </wps:txbx>
                        <wps:bodyPr horzOverflow="overflow" vert="horz" lIns="0" tIns="0" rIns="0" bIns="0" rtlCol="0">
                          <a:noAutofit/>
                        </wps:bodyPr>
                      </wps:wsp>
                      <wps:wsp>
                        <wps:cNvPr id="19290" name="Rectangle 19290"/>
                        <wps:cNvSpPr/>
                        <wps:spPr>
                          <a:xfrm>
                            <a:off x="1047508" y="0"/>
                            <a:ext cx="4785622" cy="187128"/>
                          </a:xfrm>
                          <a:prstGeom prst="rect">
                            <a:avLst/>
                          </a:prstGeom>
                          <a:ln>
                            <a:noFill/>
                          </a:ln>
                        </wps:spPr>
                        <wps:txbx>
                          <w:txbxContent>
                            <w:p w:rsidR="00EE13F6" w:rsidRDefault="002E5BC4">
                              <w:r>
                                <w:rPr>
                                  <w:b/>
                                  <w:color w:val="585858"/>
                                  <w:sz w:val="18"/>
                                </w:rPr>
                                <w:t>Short</w:t>
                              </w:r>
                              <w:r>
                                <w:rPr>
                                  <w:b/>
                                  <w:color w:val="585858"/>
                                  <w:sz w:val="18"/>
                                </w:rPr>
                                <w:tab/>
                                <w:t>term</w:t>
                              </w:r>
                              <w:r>
                                <w:rPr>
                                  <w:b/>
                                  <w:color w:val="585858"/>
                                  <w:sz w:val="18"/>
                                </w:rPr>
                                <w:tab/>
                                <w:t>equity</w:t>
                              </w:r>
                              <w:r>
                                <w:rPr>
                                  <w:b/>
                                  <w:color w:val="585858"/>
                                  <w:sz w:val="18"/>
                                </w:rPr>
                                <w:tab/>
                                <w:t>price</w:t>
                              </w:r>
                              <w:r>
                                <w:rPr>
                                  <w:b/>
                                  <w:color w:val="585858"/>
                                  <w:sz w:val="18"/>
                                </w:rPr>
                                <w:tab/>
                                <w:t>variation</w:t>
                              </w:r>
                              <w:r>
                                <w:rPr>
                                  <w:b/>
                                  <w:color w:val="585858"/>
                                  <w:sz w:val="18"/>
                                </w:rPr>
                                <w:tab/>
                                <w:t>in</w:t>
                              </w:r>
                              <w:r>
                                <w:rPr>
                                  <w:b/>
                                  <w:color w:val="585858"/>
                                  <w:sz w:val="18"/>
                                </w:rPr>
                                <w:tab/>
                                <w:t>%</w:t>
                              </w:r>
                              <w:r>
                                <w:rPr>
                                  <w:b/>
                                  <w:color w:val="585858"/>
                                  <w:sz w:val="18"/>
                                </w:rPr>
                                <w:tab/>
                                <w:t>as</w:t>
                              </w:r>
                              <w:r>
                                <w:rPr>
                                  <w:b/>
                                  <w:color w:val="585858"/>
                                  <w:sz w:val="18"/>
                                </w:rPr>
                                <w:tab/>
                                <w:t>a</w:t>
                              </w:r>
                              <w:r>
                                <w:rPr>
                                  <w:b/>
                                  <w:color w:val="585858"/>
                                  <w:sz w:val="18"/>
                                </w:rPr>
                                <w:tab/>
                                <w:t>function</w:t>
                              </w:r>
                              <w:r>
                                <w:rPr>
                                  <w:b/>
                                  <w:color w:val="585858"/>
                                  <w:sz w:val="18"/>
                                </w:rPr>
                                <w:tab/>
                                <w:t>of</w:t>
                              </w:r>
                              <w:r>
                                <w:rPr>
                                  <w:b/>
                                  <w:color w:val="585858"/>
                                  <w:sz w:val="18"/>
                                </w:rPr>
                                <w:tab/>
                                <w:t>leverage</w:t>
                              </w:r>
                              <w:r>
                                <w:rPr>
                                  <w:b/>
                                  <w:color w:val="585858"/>
                                  <w:sz w:val="18"/>
                                </w:rPr>
                                <w:tab/>
                                <w:t>and</w:t>
                              </w:r>
                              <w:r>
                                <w:rPr>
                                  <w:b/>
                                  <w:color w:val="585858"/>
                                  <w:sz w:val="18"/>
                                </w:rPr>
                                <w:tab/>
                                <w:t>spread</w:t>
                              </w:r>
                              <w:r>
                                <w:rPr>
                                  <w:b/>
                                  <w:color w:val="585858"/>
                                  <w:sz w:val="18"/>
                                </w:rPr>
                                <w:tab/>
                              </w:r>
                            </w:p>
                          </w:txbxContent>
                        </wps:txbx>
                        <wps:bodyPr horzOverflow="overflow" vert="horz" lIns="0" tIns="0" rIns="0" bIns="0" rtlCol="0">
                          <a:noAutofit/>
                        </wps:bodyPr>
                      </wps:wsp>
                      <wps:wsp>
                        <wps:cNvPr id="200718" name="Rectangle 200718"/>
                        <wps:cNvSpPr/>
                        <wps:spPr>
                          <a:xfrm>
                            <a:off x="4190017" y="139958"/>
                            <a:ext cx="48050" cy="187129"/>
                          </a:xfrm>
                          <a:prstGeom prst="rect">
                            <a:avLst/>
                          </a:prstGeom>
                          <a:ln>
                            <a:noFill/>
                          </a:ln>
                        </wps:spPr>
                        <wps:txbx>
                          <w:txbxContent>
                            <w:p w:rsidR="00EE13F6" w:rsidRDefault="002E5BC4">
                              <w:r>
                                <w:rPr>
                                  <w:b/>
                                  <w:color w:val="585858"/>
                                  <w:sz w:val="18"/>
                                </w:rPr>
                                <w:t>)</w:t>
                              </w:r>
                            </w:p>
                          </w:txbxContent>
                        </wps:txbx>
                        <wps:bodyPr horzOverflow="overflow" vert="horz" lIns="0" tIns="0" rIns="0" bIns="0" rtlCol="0">
                          <a:noAutofit/>
                        </wps:bodyPr>
                      </wps:wsp>
                      <wps:wsp>
                        <wps:cNvPr id="200717" name="Rectangle 200717"/>
                        <wps:cNvSpPr/>
                        <wps:spPr>
                          <a:xfrm>
                            <a:off x="1444519" y="139958"/>
                            <a:ext cx="48050" cy="187129"/>
                          </a:xfrm>
                          <a:prstGeom prst="rect">
                            <a:avLst/>
                          </a:prstGeom>
                          <a:ln>
                            <a:noFill/>
                          </a:ln>
                        </wps:spPr>
                        <wps:txbx>
                          <w:txbxContent>
                            <w:p w:rsidR="00EE13F6" w:rsidRDefault="002E5BC4">
                              <w:r>
                                <w:rPr>
                                  <w:b/>
                                  <w:color w:val="585858"/>
                                  <w:sz w:val="18"/>
                                </w:rPr>
                                <w:t>(</w:t>
                              </w:r>
                            </w:p>
                          </w:txbxContent>
                        </wps:txbx>
                        <wps:bodyPr horzOverflow="overflow" vert="horz" lIns="0" tIns="0" rIns="0" bIns="0" rtlCol="0">
                          <a:noAutofit/>
                        </wps:bodyPr>
                      </wps:wsp>
                      <wps:wsp>
                        <wps:cNvPr id="200719" name="Rectangle 200719"/>
                        <wps:cNvSpPr/>
                        <wps:spPr>
                          <a:xfrm>
                            <a:off x="1477601" y="139958"/>
                            <a:ext cx="3609715" cy="187129"/>
                          </a:xfrm>
                          <a:prstGeom prst="rect">
                            <a:avLst/>
                          </a:prstGeom>
                          <a:ln>
                            <a:noFill/>
                          </a:ln>
                        </wps:spPr>
                        <wps:txbx>
                          <w:txbxContent>
                            <w:p w:rsidR="00EE13F6" w:rsidRDefault="002E5BC4">
                              <w:r>
                                <w:rPr>
                                  <w:b/>
                                  <w:color w:val="585858"/>
                                  <w:sz w:val="18"/>
                                </w:rPr>
                                <w:t>ROA=3%;r=1%;T=10;sigma=10%;FTT</w:t>
                              </w:r>
                              <w:r>
                                <w:rPr>
                                  <w:b/>
                                  <w:color w:val="585858"/>
                                  <w:sz w:val="18"/>
                                </w:rPr>
                                <w:tab/>
                                <w:t>roundtriprate=0,2%</w:t>
                              </w:r>
                            </w:p>
                          </w:txbxContent>
                        </wps:txbx>
                        <wps:bodyPr horzOverflow="overflow" vert="horz" lIns="0" tIns="0" rIns="0" bIns="0" rtlCol="0">
                          <a:noAutofit/>
                        </wps:bodyPr>
                      </wps:wsp>
                      <wps:wsp>
                        <wps:cNvPr id="19292" name="Shape 19292"/>
                        <wps:cNvSpPr/>
                        <wps:spPr>
                          <a:xfrm>
                            <a:off x="1054561" y="2810117"/>
                            <a:ext cx="157150" cy="1"/>
                          </a:xfrm>
                          <a:custGeom>
                            <a:avLst/>
                            <a:gdLst/>
                            <a:ahLst/>
                            <a:cxnLst/>
                            <a:rect l="0" t="0" r="0" b="0"/>
                            <a:pathLst>
                              <a:path w="157150" h="1">
                                <a:moveTo>
                                  <a:pt x="0" y="0"/>
                                </a:moveTo>
                                <a:lnTo>
                                  <a:pt x="157150" y="1"/>
                                </a:lnTo>
                              </a:path>
                            </a:pathLst>
                          </a:custGeom>
                          <a:ln w="16466" cap="rnd">
                            <a:round/>
                          </a:ln>
                        </wps:spPr>
                        <wps:style>
                          <a:lnRef idx="1">
                            <a:srgbClr val="5E5E5E"/>
                          </a:lnRef>
                          <a:fillRef idx="0">
                            <a:srgbClr val="000000">
                              <a:alpha val="0"/>
                            </a:srgbClr>
                          </a:fillRef>
                          <a:effectRef idx="0">
                            <a:scrgbClr r="0" g="0" b="0"/>
                          </a:effectRef>
                          <a:fontRef idx="none"/>
                        </wps:style>
                        <wps:bodyPr/>
                      </wps:wsp>
                      <wps:wsp>
                        <wps:cNvPr id="19293" name="Rectangle 19293"/>
                        <wps:cNvSpPr/>
                        <wps:spPr>
                          <a:xfrm>
                            <a:off x="1229159" y="2764841"/>
                            <a:ext cx="422770" cy="120297"/>
                          </a:xfrm>
                          <a:prstGeom prst="rect">
                            <a:avLst/>
                          </a:prstGeom>
                          <a:ln>
                            <a:noFill/>
                          </a:ln>
                        </wps:spPr>
                        <wps:txbx>
                          <w:txbxContent>
                            <w:p w:rsidR="00EE13F6" w:rsidRDefault="002E5BC4">
                              <w:r>
                                <w:rPr>
                                  <w:color w:val="585858"/>
                                  <w:sz w:val="12"/>
                                </w:rPr>
                                <w:t>spread</w:t>
                              </w:r>
                              <w:r>
                                <w:rPr>
                                  <w:color w:val="585858"/>
                                  <w:sz w:val="12"/>
                                </w:rPr>
                                <w:tab/>
                                <w:t>1%</w:t>
                              </w:r>
                            </w:p>
                          </w:txbxContent>
                        </wps:txbx>
                        <wps:bodyPr horzOverflow="overflow" vert="horz" lIns="0" tIns="0" rIns="0" bIns="0" rtlCol="0">
                          <a:noAutofit/>
                        </wps:bodyPr>
                      </wps:wsp>
                      <wps:wsp>
                        <wps:cNvPr id="19294" name="Shape 19294"/>
                        <wps:cNvSpPr/>
                        <wps:spPr>
                          <a:xfrm>
                            <a:off x="1658349" y="2810117"/>
                            <a:ext cx="157150" cy="1"/>
                          </a:xfrm>
                          <a:custGeom>
                            <a:avLst/>
                            <a:gdLst/>
                            <a:ahLst/>
                            <a:cxnLst/>
                            <a:rect l="0" t="0" r="0" b="0"/>
                            <a:pathLst>
                              <a:path w="157150" h="1">
                                <a:moveTo>
                                  <a:pt x="0" y="0"/>
                                </a:moveTo>
                                <a:lnTo>
                                  <a:pt x="157150" y="1"/>
                                </a:lnTo>
                              </a:path>
                            </a:pathLst>
                          </a:custGeom>
                          <a:ln w="16466" cap="rnd">
                            <a:round/>
                          </a:ln>
                        </wps:spPr>
                        <wps:style>
                          <a:lnRef idx="1">
                            <a:srgbClr val="B3B3B3"/>
                          </a:lnRef>
                          <a:fillRef idx="0">
                            <a:srgbClr val="000000">
                              <a:alpha val="0"/>
                            </a:srgbClr>
                          </a:fillRef>
                          <a:effectRef idx="0">
                            <a:scrgbClr r="0" g="0" b="0"/>
                          </a:effectRef>
                          <a:fontRef idx="none"/>
                        </wps:style>
                        <wps:bodyPr/>
                      </wps:wsp>
                      <wps:wsp>
                        <wps:cNvPr id="19295" name="Rectangle 19295"/>
                        <wps:cNvSpPr/>
                        <wps:spPr>
                          <a:xfrm>
                            <a:off x="1831180" y="2764841"/>
                            <a:ext cx="521794" cy="120297"/>
                          </a:xfrm>
                          <a:prstGeom prst="rect">
                            <a:avLst/>
                          </a:prstGeom>
                          <a:ln>
                            <a:noFill/>
                          </a:ln>
                        </wps:spPr>
                        <wps:txbx>
                          <w:txbxContent>
                            <w:p w:rsidR="00EE13F6" w:rsidRDefault="002E5BC4">
                              <w:r>
                                <w:rPr>
                                  <w:color w:val="585858"/>
                                  <w:sz w:val="12"/>
                                </w:rPr>
                                <w:t>spread</w:t>
                              </w:r>
                              <w:r>
                                <w:rPr>
                                  <w:color w:val="585858"/>
                                  <w:sz w:val="12"/>
                                </w:rPr>
                                <w:tab/>
                              </w:r>
                              <w:r>
                                <w:rPr>
                                  <w:color w:val="585858"/>
                                  <w:sz w:val="12"/>
                                </w:rPr>
                                <w:tab/>
                                <w:t>1.5%</w:t>
                              </w:r>
                            </w:p>
                          </w:txbxContent>
                        </wps:txbx>
                        <wps:bodyPr horzOverflow="overflow" vert="horz" lIns="0" tIns="0" rIns="0" bIns="0" rtlCol="0">
                          <a:noAutofit/>
                        </wps:bodyPr>
                      </wps:wsp>
                      <wps:wsp>
                        <wps:cNvPr id="19296" name="Shape 19296"/>
                        <wps:cNvSpPr/>
                        <wps:spPr>
                          <a:xfrm>
                            <a:off x="2328306" y="2810117"/>
                            <a:ext cx="165421" cy="1"/>
                          </a:xfrm>
                          <a:custGeom>
                            <a:avLst/>
                            <a:gdLst/>
                            <a:ahLst/>
                            <a:cxnLst/>
                            <a:rect l="0" t="0" r="0" b="0"/>
                            <a:pathLst>
                              <a:path w="165421" h="1">
                                <a:moveTo>
                                  <a:pt x="0" y="0"/>
                                </a:moveTo>
                                <a:lnTo>
                                  <a:pt x="165421" y="1"/>
                                </a:lnTo>
                              </a:path>
                            </a:pathLst>
                          </a:custGeom>
                          <a:ln w="16466" cap="rnd">
                            <a:round/>
                          </a:ln>
                        </wps:spPr>
                        <wps:style>
                          <a:lnRef idx="1">
                            <a:srgbClr val="898989"/>
                          </a:lnRef>
                          <a:fillRef idx="0">
                            <a:srgbClr val="000000">
                              <a:alpha val="0"/>
                            </a:srgbClr>
                          </a:fillRef>
                          <a:effectRef idx="0">
                            <a:scrgbClr r="0" g="0" b="0"/>
                          </a:effectRef>
                          <a:fontRef idx="none"/>
                        </wps:style>
                        <wps:bodyPr/>
                      </wps:wsp>
                      <wps:wsp>
                        <wps:cNvPr id="19297" name="Rectangle 19297"/>
                        <wps:cNvSpPr/>
                        <wps:spPr>
                          <a:xfrm>
                            <a:off x="2506525" y="2764841"/>
                            <a:ext cx="422770" cy="120297"/>
                          </a:xfrm>
                          <a:prstGeom prst="rect">
                            <a:avLst/>
                          </a:prstGeom>
                          <a:ln>
                            <a:noFill/>
                          </a:ln>
                        </wps:spPr>
                        <wps:txbx>
                          <w:txbxContent>
                            <w:p w:rsidR="00EE13F6" w:rsidRDefault="002E5BC4">
                              <w:r>
                                <w:rPr>
                                  <w:color w:val="585858"/>
                                  <w:sz w:val="12"/>
                                </w:rPr>
                                <w:t>spread</w:t>
                              </w:r>
                              <w:r>
                                <w:rPr>
                                  <w:color w:val="585858"/>
                                  <w:sz w:val="12"/>
                                </w:rPr>
                                <w:tab/>
                                <w:t>2%</w:t>
                              </w:r>
                            </w:p>
                          </w:txbxContent>
                        </wps:txbx>
                        <wps:bodyPr horzOverflow="overflow" vert="horz" lIns="0" tIns="0" rIns="0" bIns="0" rtlCol="0">
                          <a:noAutofit/>
                        </wps:bodyPr>
                      </wps:wsp>
                      <wps:wsp>
                        <wps:cNvPr id="19298" name="Shape 19298"/>
                        <wps:cNvSpPr/>
                        <wps:spPr>
                          <a:xfrm>
                            <a:off x="2932093" y="2810117"/>
                            <a:ext cx="157150" cy="1"/>
                          </a:xfrm>
                          <a:custGeom>
                            <a:avLst/>
                            <a:gdLst/>
                            <a:ahLst/>
                            <a:cxnLst/>
                            <a:rect l="0" t="0" r="0" b="0"/>
                            <a:pathLst>
                              <a:path w="157150" h="1">
                                <a:moveTo>
                                  <a:pt x="0" y="0"/>
                                </a:moveTo>
                                <a:lnTo>
                                  <a:pt x="157150" y="1"/>
                                </a:lnTo>
                              </a:path>
                            </a:pathLst>
                          </a:custGeom>
                          <a:ln w="16466" cap="rnd">
                            <a:round/>
                          </a:ln>
                        </wps:spPr>
                        <wps:style>
                          <a:lnRef idx="1">
                            <a:srgbClr val="212121"/>
                          </a:lnRef>
                          <a:fillRef idx="0">
                            <a:srgbClr val="000000">
                              <a:alpha val="0"/>
                            </a:srgbClr>
                          </a:fillRef>
                          <a:effectRef idx="0">
                            <a:scrgbClr r="0" g="0" b="0"/>
                          </a:effectRef>
                          <a:fontRef idx="none"/>
                        </wps:style>
                        <wps:bodyPr/>
                      </wps:wsp>
                      <wps:wsp>
                        <wps:cNvPr id="19299" name="Rectangle 19299"/>
                        <wps:cNvSpPr/>
                        <wps:spPr>
                          <a:xfrm>
                            <a:off x="3108547" y="2764841"/>
                            <a:ext cx="499776" cy="120297"/>
                          </a:xfrm>
                          <a:prstGeom prst="rect">
                            <a:avLst/>
                          </a:prstGeom>
                          <a:ln>
                            <a:noFill/>
                          </a:ln>
                        </wps:spPr>
                        <wps:txbx>
                          <w:txbxContent>
                            <w:p w:rsidR="00EE13F6" w:rsidRDefault="002E5BC4">
                              <w:r>
                                <w:rPr>
                                  <w:color w:val="585858"/>
                                  <w:sz w:val="12"/>
                                </w:rPr>
                                <w:t>spread</w:t>
                              </w:r>
                              <w:r>
                                <w:rPr>
                                  <w:color w:val="585858"/>
                                  <w:sz w:val="12"/>
                                </w:rPr>
                                <w:tab/>
                                <w:t>2.5%</w:t>
                              </w:r>
                            </w:p>
                          </w:txbxContent>
                        </wps:txbx>
                        <wps:bodyPr horzOverflow="overflow" vert="horz" lIns="0" tIns="0" rIns="0" bIns="0" rtlCol="0">
                          <a:noAutofit/>
                        </wps:bodyPr>
                      </wps:wsp>
                      <wps:wsp>
                        <wps:cNvPr id="19300" name="Shape 19300"/>
                        <wps:cNvSpPr/>
                        <wps:spPr>
                          <a:xfrm>
                            <a:off x="3593779" y="2810117"/>
                            <a:ext cx="157150" cy="1"/>
                          </a:xfrm>
                          <a:custGeom>
                            <a:avLst/>
                            <a:gdLst/>
                            <a:ahLst/>
                            <a:cxnLst/>
                            <a:rect l="0" t="0" r="0" b="0"/>
                            <a:pathLst>
                              <a:path w="157150" h="1">
                                <a:moveTo>
                                  <a:pt x="0" y="0"/>
                                </a:moveTo>
                                <a:lnTo>
                                  <a:pt x="157150" y="1"/>
                                </a:lnTo>
                              </a:path>
                            </a:pathLst>
                          </a:custGeom>
                          <a:ln w="16466" cap="rnd">
                            <a:round/>
                          </a:ln>
                        </wps:spPr>
                        <wps:style>
                          <a:lnRef idx="1">
                            <a:srgbClr val="DADADA"/>
                          </a:lnRef>
                          <a:fillRef idx="0">
                            <a:srgbClr val="000000">
                              <a:alpha val="0"/>
                            </a:srgbClr>
                          </a:fillRef>
                          <a:effectRef idx="0">
                            <a:scrgbClr r="0" g="0" b="0"/>
                          </a:effectRef>
                          <a:fontRef idx="none"/>
                        </wps:style>
                        <wps:bodyPr/>
                      </wps:wsp>
                      <wps:wsp>
                        <wps:cNvPr id="19301" name="Rectangle 19301"/>
                        <wps:cNvSpPr/>
                        <wps:spPr>
                          <a:xfrm>
                            <a:off x="3767060" y="2764841"/>
                            <a:ext cx="422770" cy="120297"/>
                          </a:xfrm>
                          <a:prstGeom prst="rect">
                            <a:avLst/>
                          </a:prstGeom>
                          <a:ln>
                            <a:noFill/>
                          </a:ln>
                        </wps:spPr>
                        <wps:txbx>
                          <w:txbxContent>
                            <w:p w:rsidR="00EE13F6" w:rsidRDefault="002E5BC4">
                              <w:r>
                                <w:rPr>
                                  <w:color w:val="585858"/>
                                  <w:sz w:val="12"/>
                                </w:rPr>
                                <w:t>spread</w:t>
                              </w:r>
                              <w:r>
                                <w:rPr>
                                  <w:color w:val="585858"/>
                                  <w:sz w:val="12"/>
                                </w:rPr>
                                <w:tab/>
                                <w:t>3%</w:t>
                              </w:r>
                            </w:p>
                          </w:txbxContent>
                        </wps:txbx>
                        <wps:bodyPr horzOverflow="overflow" vert="horz" lIns="0" tIns="0" rIns="0" bIns="0" rtlCol="0">
                          <a:noAutofit/>
                        </wps:bodyPr>
                      </wps:wsp>
                      <wps:wsp>
                        <wps:cNvPr id="19302" name="Shape 19302"/>
                        <wps:cNvSpPr/>
                        <wps:spPr>
                          <a:xfrm>
                            <a:off x="0" y="5850"/>
                            <a:ext cx="4942179" cy="2940107"/>
                          </a:xfrm>
                          <a:custGeom>
                            <a:avLst/>
                            <a:gdLst/>
                            <a:ahLst/>
                            <a:cxnLst/>
                            <a:rect l="0" t="0" r="0" b="0"/>
                            <a:pathLst>
                              <a:path w="4942179" h="2940107">
                                <a:moveTo>
                                  <a:pt x="4942179" y="2940107"/>
                                </a:moveTo>
                                <a:lnTo>
                                  <a:pt x="0" y="2940107"/>
                                </a:lnTo>
                                <a:lnTo>
                                  <a:pt x="0" y="0"/>
                                </a:lnTo>
                              </a:path>
                            </a:pathLst>
                          </a:custGeom>
                          <a:ln w="8233" cap="flat">
                            <a:round/>
                          </a:ln>
                        </wps:spPr>
                        <wps:style>
                          <a:lnRef idx="1">
                            <a:srgbClr val="D9D9D9"/>
                          </a:lnRef>
                          <a:fillRef idx="0">
                            <a:srgbClr val="000000">
                              <a:alpha val="0"/>
                            </a:srgbClr>
                          </a:fillRef>
                          <a:effectRef idx="0">
                            <a:scrgbClr r="0" g="0" b="0"/>
                          </a:effectRef>
                          <a:fontRef idx="none"/>
                        </wps:style>
                        <wps:bodyPr/>
                      </wps:wsp>
                      <wps:wsp>
                        <wps:cNvPr id="19303" name="Rectangle 19303"/>
                        <wps:cNvSpPr/>
                        <wps:spPr>
                          <a:xfrm>
                            <a:off x="2244372" y="2322244"/>
                            <a:ext cx="764756" cy="147029"/>
                          </a:xfrm>
                          <a:prstGeom prst="rect">
                            <a:avLst/>
                          </a:prstGeom>
                          <a:ln>
                            <a:noFill/>
                          </a:ln>
                        </wps:spPr>
                        <wps:txbx>
                          <w:txbxContent>
                            <w:p w:rsidR="00EE13F6" w:rsidRDefault="002E5BC4">
                              <w:r>
                                <w:rPr>
                                  <w:b/>
                                  <w:sz w:val="14"/>
                                </w:rPr>
                                <w:t>Firm's</w:t>
                              </w:r>
                              <w:r>
                                <w:rPr>
                                  <w:b/>
                                  <w:sz w:val="14"/>
                                </w:rPr>
                                <w:tab/>
                                <w:t>leverage</w:t>
                              </w:r>
                            </w:p>
                          </w:txbxContent>
                        </wps:txbx>
                        <wps:bodyPr horzOverflow="overflow" vert="horz" lIns="0" tIns="0" rIns="0" bIns="0" rtlCol="0">
                          <a:noAutofit/>
                        </wps:bodyPr>
                      </wps:wsp>
                    </wpg:wgp>
                  </a:graphicData>
                </a:graphic>
              </wp:inline>
            </w:drawing>
          </mc:Choice>
          <mc:Fallback>
            <w:pict>
              <v:group id="Group 200811" o:spid="_x0000_s1183" style="width:389.15pt;height:231.95pt;mso-position-horizontal-relative:char;mso-position-vertical-relative:line" coordsize="49421,2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">
                <v:shape id="Shape 19200" o:spid="_x0000_s1184" style="position:absolute;left:3143;top:26248;width:46278;height:0;visibility:visible;mso-wrap-style:square;v-text-anchor:top" coordsize="462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0ZMQA&#10;AADeAAAADwAAAGRycy9kb3ducmV2LnhtbESP0YrCMBBF34X9hzCCb5oqUtxqFFmQXdYnqx8w24xN&#10;sZnUJtbu3xtB8G2Ge++ZO6tNb2vRUesrxwqmkwQEceF0xaWC03E3XoDwAVlj7ZgU/JOHzfpjsMJM&#10;uzsfqMtDKSKEfYYKTAhNJqUvDFn0E9cQR+3sWoshrm0pdYv3CLe1nCVJKi1WHC8YbOjLUHHJb1ZB&#10;+Nt382vepCY97vvv6Uz+Xums1GjYb5cgAvXhbX6lf3Ss/xmZ8Hwnz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NGTEAAAA3gAAAA8AAAAAAAAAAAAAAAAAmAIAAGRycy9k&#10;b3ducmV2LnhtbFBLBQYAAAAABAAEAPUAAACJAwAAAAA=&#10;" path="m4627879,l,e" filled="f" strokecolor="#d9d9d9" strokeweight=".22869mm">
                  <v:path arrowok="t" textboxrect="0,0,4627879,0"/>
                </v:shape>
                <v:shape id="Shape 19201" o:spid="_x0000_s1185" style="position:absolute;left:3143;top:24190;width:46278;height:0;visibility:visible;mso-wrap-style:square;v-text-anchor:top" coordsize="462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R/8MA&#10;AADeAAAADwAAAGRycy9kb3ducmV2LnhtbERPzWrCQBC+F3yHZQre6iZBQk1dpQhF0ZPRBxizYzY0&#10;Oxuz2xjfvlsQepuP73eW69G2YqDeN44VpLMEBHHldMO1gvPp6+0dhA/IGlvHpOBBHtarycsSC+3u&#10;fKShDLWIIewLVGBC6AopfWXIop+5jjhyV9dbDBH2tdQ93mO4bWWWJLm02HBsMNjRxlD1Xf5YBeFy&#10;GOa3sstNfjqM2zST+xtdlZq+jp8fIAKN4V/8dO90nL/IkhT+3ok3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yR/8MAAADeAAAADwAAAAAAAAAAAAAAAACYAgAAZHJzL2Rv&#10;d25yZXYueG1sUEsFBgAAAAAEAAQA9QAAAIgDAAAAAA==&#10;" path="m4627879,l,e" filled="f" strokecolor="#d9d9d9" strokeweight=".22869mm">
                  <v:path arrowok="t" textboxrect="0,0,4627879,0"/>
                </v:shape>
                <v:shape id="Shape 19202" o:spid="_x0000_s1186" style="position:absolute;left:3143;top:22214;width:46278;height:0;visibility:visible;mso-wrap-style:square;v-text-anchor:top" coordsize="462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PiMMA&#10;AADeAAAADwAAAGRycy9kb3ducmV2LnhtbERPzWrCQBC+C32HZYTedGMoQdNsRApFqadGH2DMjtnQ&#10;7GzMbmP69t1Cwdt8fL9TbCfbiZEG3zpWsFomIIhrp1tuFJxP74s1CB+QNXaOScEPediWT7MCc+3u&#10;/EljFRoRQ9jnqMCE0OdS+tqQRb90PXHkrm6wGCIcGqkHvMdw28k0STJpseXYYLCnN0P1V/VtFYTL&#10;cXy5VX1mstNx2q9S+XGjq1LP82n3CiLQFB7if/dBx/mbNEnh7514gy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4PiMMAAADeAAAADwAAAAAAAAAAAAAAAACYAgAAZHJzL2Rv&#10;d25yZXYueG1sUEsFBgAAAAAEAAQA9QAAAIgDAAAAAA==&#10;" path="m4627879,l,e" filled="f" strokecolor="#d9d9d9" strokeweight=".22869mm">
                  <v:path arrowok="t" textboxrect="0,0,4627879,0"/>
                </v:shape>
                <v:shape id="Shape 19203" o:spid="_x0000_s1187" style="position:absolute;left:3143;top:20156;width:46278;height:0;visibility:visible;mso-wrap-style:square;v-text-anchor:top" coordsize="462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qE8MA&#10;AADeAAAADwAAAGRycy9kb3ducmV2LnhtbERPzWrCQBC+F3yHZYTe6sYooUZXEaFY9NTYBxizYzaY&#10;nY3ZbYxv7xYKvc3H9zurzWAb0VPna8cKppMEBHHpdM2Vgu/Tx9s7CB+QNTaOScGDPGzWo5cV5trd&#10;+Yv6IlQihrDPUYEJoc2l9KUhi37iWuLIXVxnMUTYVVJ3eI/htpFpkmTSYs2xwWBLO0PltfixCsL5&#10;2M9vRZuZ7HQc9tNUHm50Uep1PGyXIAIN4V/85/7Ucf4iTWbw+06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KqE8MAAADeAAAADwAAAAAAAAAAAAAAAACYAgAAZHJzL2Rv&#10;d25yZXYueG1sUEsFBgAAAAAEAAQA9QAAAIgDAAAAAA==&#10;" path="m4627879,l,e" filled="f" strokecolor="#d9d9d9" strokeweight=".22869mm">
                  <v:path arrowok="t" textboxrect="0,0,4627879,0"/>
                </v:shape>
                <v:shape id="Shape 19204" o:spid="_x0000_s1188" style="position:absolute;left:3143;top:18180;width:46278;height:0;visibility:visible;mso-wrap-style:square;v-text-anchor:top" coordsize="462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yZ8IA&#10;AADeAAAADwAAAGRycy9kb3ducmV2LnhtbERPzYrCMBC+L/gOYQRva2qRslajiCAr68nqA4zN2BSb&#10;SW2ytfv2mwVhb/Px/c5qM9hG9NT52rGC2TQBQVw6XXOl4HLev3+A8AFZY+OYFPyQh8169LbCXLsn&#10;n6gvQiViCPscFZgQ2lxKXxqy6KeuJY7czXUWQ4RdJXWHzxhuG5kmSSYt1hwbDLa0M1Tei2+rIFyP&#10;/fxRtJnJzsfhc5bKrwfdlJqMh+0SRKAh/Itf7oOO8xdpMoe/d+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zJnwgAAAN4AAAAPAAAAAAAAAAAAAAAAAJgCAABkcnMvZG93&#10;bnJldi54bWxQSwUGAAAAAAQABAD1AAAAhwMAAAAA&#10;" path="m4627879,l,e" filled="f" strokecolor="#d9d9d9" strokeweight=".22869mm">
                  <v:path arrowok="t" textboxrect="0,0,4627879,0"/>
                </v:shape>
                <v:shape id="Shape 19205" o:spid="_x0000_s1189" style="position:absolute;left:3143;top:16122;width:46278;height:0;visibility:visible;mso-wrap-style:square;v-text-anchor:top" coordsize="462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X/MMA&#10;AADeAAAADwAAAGRycy9kb3ducmV2LnhtbERPzWrCQBC+F3yHZYTe6sagoUZXEaFY9NTYBxizYzaY&#10;nY3ZbYxv7xYKvc3H9zurzWAb0VPna8cKppMEBHHpdM2Vgu/Tx9s7CB+QNTaOScGDPGzWo5cV5trd&#10;+Yv6IlQihrDPUYEJoc2l9KUhi37iWuLIXVxnMUTYVVJ3eI/htpFpkmTSYs2xwWBLO0PltfixCsL5&#10;2M9uRZuZ7HQc9tNUHm50Uep1PGyXIAIN4V/85/7Ucf4iTebw+06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eX/MMAAADeAAAADwAAAAAAAAAAAAAAAACYAgAAZHJzL2Rv&#10;d25yZXYueG1sUEsFBgAAAAAEAAQA9QAAAIgDAAAAAA==&#10;" path="m4627879,l,e" filled="f" strokecolor="#d9d9d9" strokeweight=".22869mm">
                  <v:path arrowok="t" textboxrect="0,0,4627879,0"/>
                </v:shape>
                <v:shape id="Shape 19206" o:spid="_x0000_s1190" style="position:absolute;left:3143;top:14146;width:46278;height:0;visibility:visible;mso-wrap-style:square;v-text-anchor:top" coordsize="462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Ji8MA&#10;AADeAAAADwAAAGRycy9kb3ducmV2LnhtbERPzWrCQBC+F/oOywje6sYgoabZiBSKoqdGH2DMjtnQ&#10;7GzMbmN8+26h0Nt8fL9TbCbbiZEG3zpWsFwkIIhrp1tuFJxPHy+vIHxA1tg5JgUP8rApn58KzLW7&#10;8yeNVWhEDGGfowITQp9L6WtDFv3C9cSRu7rBYohwaKQe8B7DbSfTJMmkxZZjg8Ge3g3VX9W3VRAu&#10;x3F1q/rMZKfjtFum8nCjq1Lz2bR9AxFoCv/iP/dex/nrNMng9514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UJi8MAAADeAAAADwAAAAAAAAAAAAAAAACYAgAAZHJzL2Rv&#10;d25yZXYueG1sUEsFBgAAAAAEAAQA9QAAAIgDAAAAAA==&#10;" path="m4627879,l,e" filled="f" strokecolor="#d9d9d9" strokeweight=".22869mm">
                  <v:path arrowok="t" textboxrect="0,0,4627879,0"/>
                </v:shape>
                <v:shape id="Shape 19207" o:spid="_x0000_s1191" style="position:absolute;left:3143;top:12170;width:46278;height:0;visibility:visible;mso-wrap-style:square;v-text-anchor:top" coordsize="462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sEMMA&#10;AADeAAAADwAAAGRycy9kb3ducmV2LnhtbERPzWrCQBC+F3yHZYTe6sYgaY2uIkKx6KmxDzBmx2ww&#10;Oxuz2xjf3hUKvc3H9zvL9WAb0VPna8cKppMEBHHpdM2Vgp/j59sHCB+QNTaOScGdPKxXo5cl5trd&#10;+Jv6IlQihrDPUYEJoc2l9KUhi37iWuLInV1nMUTYVVJ3eIvhtpFpkmTSYs2xwWBLW0Plpfi1CsLp&#10;0M+uRZuZ7HgYdtNU7q90Vup1PGwWIAIN4V/85/7Scf48Td7h+U6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msEMMAAADeAAAADwAAAAAAAAAAAAAAAACYAgAAZHJzL2Rv&#10;d25yZXYueG1sUEsFBgAAAAAEAAQA9QAAAIgDAAAAAA==&#10;" path="m4627879,l,e" filled="f" strokecolor="#d9d9d9" strokeweight=".22869mm">
                  <v:path arrowok="t" textboxrect="0,0,4627879,0"/>
                </v:shape>
                <v:shape id="Shape 19208" o:spid="_x0000_s1192" style="position:absolute;left:3143;top:10112;width:46278;height:0;visibility:visible;mso-wrap-style:square;v-text-anchor:top" coordsize="462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YsYA&#10;AADeAAAADwAAAGRycy9kb3ducmV2LnhtbESPQW/CMAyF70j7D5En7QYp1VRthYDQpGnTOK3sB5jG&#10;NBWNU5qsdP9+PiBxs/We3/u83k6+UyMNsQ1sYLnIQBHXwbbcGPg5vM9fQMWEbLELTAb+KMJ28zBb&#10;Y2nDlb9prFKjJIRjiQZcSn2pdawdeYyL0BOLdgqDxyTr0Gg74FXCfafzLCu0x5alwWFPb47qc/Xr&#10;DaTjfny+VH3hisN++ljm+utCJ2OeHqfdClSiKd3Nt+tPK/iveSa88o7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4YsYAAADeAAAADwAAAAAAAAAAAAAAAACYAgAAZHJz&#10;L2Rvd25yZXYueG1sUEsFBgAAAAAEAAQA9QAAAIsDAAAAAA==&#10;" path="m4627879,l,e" filled="f" strokecolor="#d9d9d9" strokeweight=".22869mm">
                  <v:path arrowok="t" textboxrect="0,0,4627879,0"/>
                </v:shape>
                <v:shape id="Shape 19209" o:spid="_x0000_s1193" style="position:absolute;left:3143;top:6078;width:46278;height:0;visibility:visible;mso-wrap-style:square;v-text-anchor:top" coordsize="462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d+cIA&#10;AADeAAAADwAAAGRycy9kb3ducmV2LnhtbERPzYrCMBC+L/gOYYS9rallKWs1igiLsp6sPsDYjE2x&#10;mdQmW7tvbwRhb/Px/c5iNdhG9NT52rGC6SQBQVw6XXOl4HT8/vgC4QOyxsYxKfgjD6vl6G2BuXZ3&#10;PlBfhErEEPY5KjAhtLmUvjRk0U9cSxy5i+sshgi7SuoO7zHcNjJNkkxarDk2GGxpY6i8Fr9WQTjv&#10;+89b0WYmO+6H7TSVPze6KPU+HtZzEIGG8C9+uXc6zp+lyQye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p35wgAAAN4AAAAPAAAAAAAAAAAAAAAAAJgCAABkcnMvZG93&#10;bnJldi54bWxQSwUGAAAAAAQABAD1AAAAhwMAAAAA&#10;" path="m4627879,l,e" filled="f" strokecolor="#d9d9d9" strokeweight=".22869mm">
                  <v:path arrowok="t" textboxrect="0,0,4627879,0"/>
                </v:shape>
                <v:shape id="Shape 19210" o:spid="_x0000_s1194" style="position:absolute;left:45325;top:6078;width:0;height:20170;visibility:visible;mso-wrap-style:square;v-text-anchor:top" coordsize="0,201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pXMgA&#10;AADeAAAADwAAAGRycy9kb3ducmV2LnhtbESPQU8CMRCF7yb+h2ZMuBjpAsboSiGEBCIHD6IxHMft&#10;uN24nS5tYdd/zxxMvM1k3rz3vvly8K06U0xNYAOTcQGKuAq24drAx/vm7hFUysgW28Bk4JcSLBfX&#10;V3Msbej5jc77XCsx4VSiAZdzV2qdKkce0zh0xHL7DtFjljXW2kbsxdy3eloUD9pjw5LgsKO1o+pn&#10;f/IGDi1WO3//dejdbexmx+Pn68xujRndDKtnUJmG/C/++36xUv9pOhEAwZEZ9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iOlcyAAAAN4AAAAPAAAAAAAAAAAAAAAAAJgCAABk&#10;cnMvZG93bnJldi54bWxQSwUGAAAAAAQABAD1AAAAjQMAAAAA&#10;" path="m,2017046l,e" filled="f" strokecolor="#d9d9d9" strokeweight=".22869mm">
                  <v:path arrowok="t" textboxrect="0,0,0,2017046"/>
                </v:shape>
                <v:shape id="Shape 19211" o:spid="_x0000_s1195" style="position:absolute;left:40610;top:6078;width:0;height:20170;visibility:visible;mso-wrap-style:square;v-text-anchor:top" coordsize="0,201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Mx8YA&#10;AADeAAAADwAAAGRycy9kb3ducmV2LnhtbERPS2sCMRC+C/0PYQq9iGZXS9HVKKXQ0h568IF4HDfj&#10;ZnEzWZPU3f77plDobT6+5yzXvW3EjXyoHSvIxxkI4tLpmisF+93raAYiRGSNjWNS8E0B1qu7wRIL&#10;7Tre0G0bK5FCOBSowMTYFlKG0pDFMHYtceLOzluMCfpKao9dCreNnGTZk7RYc2ow2NKLofKy/bIK&#10;jg2WH/bxdOzM0LfT6/XwOdVvSj3c988LEJH6+C/+c7/rNH8+yXP4fSfd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RMx8YAAADeAAAADwAAAAAAAAAAAAAAAACYAgAAZHJz&#10;L2Rvd25yZXYueG1sUEsFBgAAAAAEAAQA9QAAAIsDAAAAAA==&#10;" path="m,2017046l,e" filled="f" strokecolor="#d9d9d9" strokeweight=".22869mm">
                  <v:path arrowok="t" textboxrect="0,0,0,2017046"/>
                </v:shape>
                <v:shape id="Shape 19212" o:spid="_x0000_s1196" style="position:absolute;left:35979;top:6078;width:0;height:20170;visibility:visible;mso-wrap-style:square;v-text-anchor:top" coordsize="0,201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SsMYA&#10;AADeAAAADwAAAGRycy9kb3ducmV2LnhtbERPS2sCMRC+C/0PYQq9iGZdS9HVKKXQ0h568IF4HDfj&#10;ZnEzWZPU3f77plDobT6+5yzXvW3EjXyoHSuYjDMQxKXTNVcK9rvX0QxEiMgaG8ek4JsCrFd3gyUW&#10;2nW8ods2ViKFcChQgYmxLaQMpSGLYexa4sSdnbcYE/SV1B67FG4bmWfZk7RYc2ow2NKLofKy/bIK&#10;jg2WH/bxdOzM0LfT6/XwOdVvSj3c988LEJH6+C/+c7/rNH+eT3L4fSfd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bSsMYAAADeAAAADwAAAAAAAAAAAAAAAACYAgAAZHJz&#10;L2Rvd25yZXYueG1sUEsFBgAAAAAEAAQA9QAAAIsDAAAAAA==&#10;" path="m,2017046l,e" filled="f" strokecolor="#d9d9d9" strokeweight=".22869mm">
                  <v:path arrowok="t" textboxrect="0,0,0,2017046"/>
                </v:shape>
                <v:shape id="Shape 19213" o:spid="_x0000_s1197" style="position:absolute;left:31264;top:6078;width:0;height:20170;visibility:visible;mso-wrap-style:square;v-text-anchor:top" coordsize="0,201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3K8YA&#10;AADeAAAADwAAAGRycy9kb3ducmV2LnhtbERPS2sCMRC+F/wPYYReSs3qFqmrUUqhpT304APxOG7G&#10;zeJmsiapu/33TaHgbT6+5yxWvW3ElXyoHSsYjzIQxKXTNVcKdtu3x2cQISJrbByTgh8KsFoO7hZY&#10;aNfxmq6bWIkUwqFABSbGtpAylIYshpFriRN3ct5iTNBXUnvsUrht5CTLptJizanBYEuvhsrz5tsq&#10;ODRYftqn46EzD77NL5f9V67flbof9i9zEJH6eBP/uz90mj+bjHP4eyf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p3K8YAAADeAAAADwAAAAAAAAAAAAAAAACYAgAAZHJz&#10;L2Rvd25yZXYueG1sUEsFBgAAAAAEAAQA9QAAAIsDAAAAAA==&#10;" path="m,2017046l,e" filled="f" strokecolor="#d9d9d9" strokeweight=".22869mm">
                  <v:path arrowok="t" textboxrect="0,0,0,2017046"/>
                </v:shape>
                <v:shape id="Shape 19214" o:spid="_x0000_s1198" style="position:absolute;left:26550;top:6078;width:0;height:20170;visibility:visible;mso-wrap-style:square;v-text-anchor:top" coordsize="0,201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vX8UA&#10;AADeAAAADwAAAGRycy9kb3ducmV2LnhtbERPS2sCMRC+C/6HMIIX0awPSrs1ihRa6qEHbRGP0810&#10;s7iZrEl013/fFAre5uN7znLd2VpcyYfKsYLpJANBXDhdcang6/N1/AgiRGSNtWNScKMA61W/t8Rc&#10;u5Z3dN3HUqQQDjkqMDE2uZShMGQxTFxDnLgf5y3GBH0ptcc2hdtazrLsQVqsODUYbOjFUHHaX6yC&#10;Y43F1i6+j60Z+WZ+Ph8+5vpNqeGg2zyDiNTFu/jf/a7T/KfZdAF/76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9fxQAAAN4AAAAPAAAAAAAAAAAAAAAAAJgCAABkcnMv&#10;ZG93bnJldi54bWxQSwUGAAAAAAQABAD1AAAAigMAAAAA&#10;" path="m,2017046l,e" filled="f" strokecolor="#d9d9d9" strokeweight=".22869mm">
                  <v:path arrowok="t" textboxrect="0,0,0,2017046"/>
                </v:shape>
                <v:shape id="Shape 19215" o:spid="_x0000_s1199" style="position:absolute;left:21918;top:6078;width:0;height:20170;visibility:visible;mso-wrap-style:square;v-text-anchor:top" coordsize="0,201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xMUA&#10;AADeAAAADwAAAGRycy9kb3ducmV2LnhtbERPS2sCMRC+F/ofwhR6KZr1ia5GEaGlPfRQFfE4bqab&#10;pZvJmqTu9t83QqG3+fies1x3thZX8qFyrGDQz0AQF05XXCo47J97MxAhImusHZOCHwqwXt3fLTHX&#10;ruUPuu5iKVIIhxwVmBibXMpQGLIY+q4hTtyn8xZjgr6U2mObwm0th1k2lRYrTg0GG9oaKr5231bB&#10;qcbizY7Pp9Y8+WZ0uRzfR/pFqceHbrMAEamL/+I/96tO8+fDwQRu76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rExQAAAN4AAAAPAAAAAAAAAAAAAAAAAJgCAABkcnMv&#10;ZG93bnJldi54bWxQSwUGAAAAAAQABAD1AAAAigMAAAAA&#10;" path="m,2017046l,e" filled="f" strokecolor="#d9d9d9" strokeweight=".22869mm">
                  <v:path arrowok="t" textboxrect="0,0,0,2017046"/>
                </v:shape>
                <v:shape id="Shape 19216" o:spid="_x0000_s1200" style="position:absolute;left:17203;top:6078;width:0;height:20170;visibility:visible;mso-wrap-style:square;v-text-anchor:top" coordsize="0,201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Us8UA&#10;AADeAAAADwAAAGRycy9kb3ducmV2LnhtbERPTWsCMRC9F/wPYYReimbVInZrlFKo6MFDVYrH6Wa6&#10;WbqZrEl0139vhEJv83ifM192thYX8qFyrGA0zEAQF05XXCo47D8GMxAhImusHZOCKwVYLnoPc8y1&#10;a/mTLrtYihTCIUcFJsYmlzIUhiyGoWuIE/fjvMWYoC+l9timcFvLcZZNpcWKU4PBht4NFb+7s1Vw&#10;rLHY2OfvY2uefDM5nb62E71S6rHfvb2CiNTFf/Gfe63T/JfxaAr3d9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dSzxQAAAN4AAAAPAAAAAAAAAAAAAAAAAJgCAABkcnMv&#10;ZG93bnJldi54bWxQSwUGAAAAAAQABAD1AAAAigMAAAAA&#10;" path="m,2017046l,e" filled="f" strokecolor="#d9d9d9" strokeweight=".22869mm">
                  <v:path arrowok="t" textboxrect="0,0,0,2017046"/>
                </v:shape>
                <v:shape id="Shape 19217" o:spid="_x0000_s1201" style="position:absolute;left:12489;top:6078;width:0;height:20170;visibility:visible;mso-wrap-style:square;v-text-anchor:top" coordsize="0,201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xKMYA&#10;AADeAAAADwAAAGRycy9kb3ducmV2LnhtbERPS2sCMRC+F/ofwhR6KZr1gY/VKCK0tIceqiIex810&#10;s3QzWZPU3f77Rij0Nh/fc5brztbiSj5UjhUM+hkI4sLpiksFh/1zbwYiRGSNtWNS8EMB1qv7uyXm&#10;2rX8QdddLEUK4ZCjAhNjk0sZCkMWQ981xIn7dN5iTNCXUntsU7it5TDLJtJixanBYENbQ8XX7tsq&#10;ONVYvNnx+dSaJ9+MLpfj+0i/KPX40G0WICJ18V/8537Vaf58OJjC7Z10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FxKMYAAADeAAAADwAAAAAAAAAAAAAAAACYAgAAZHJz&#10;L2Rvd25yZXYueG1sUEsFBgAAAAAEAAQA9QAAAIsDAAAAAA==&#10;" path="m,2017046l,e" filled="f" strokecolor="#d9d9d9" strokeweight=".22869mm">
                  <v:path arrowok="t" textboxrect="0,0,0,2017046"/>
                </v:shape>
                <v:shape id="Shape 19218" o:spid="_x0000_s1202" style="position:absolute;left:7857;top:6078;width:0;height:20170;visibility:visible;mso-wrap-style:square;v-text-anchor:top" coordsize="0,201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lWsgA&#10;AADeAAAADwAAAGRycy9kb3ducmV2LnhtbESPQU8CMRCF7yb+h2ZMuBjpAsboSiGEBCIHD6IxHMft&#10;uN24nS5tYdd/zxxMvM3kvXnvm/ly8K06U0xNYAOTcQGKuAq24drAx/vm7hFUysgW28Bk4JcSLBfX&#10;V3Msbej5jc77XCsJ4VSiAZdzV2qdKkce0zh0xKJ9h+gxyxprbSP2Eu5bPS2KB+2xYWlw2NHaUfWz&#10;P3kDhxarnb//OvTuNnaz4/HzdWa3xoxuhtUzqExD/jf/Xb9YwX+aToRX3pEZ9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uVayAAAAN4AAAAPAAAAAAAAAAAAAAAAAJgCAABk&#10;cnMvZG93bnJldi54bWxQSwUGAAAAAAQABAD1AAAAjQMAAAAA&#10;" path="m,2017046l,e" filled="f" strokecolor="#d9d9d9" strokeweight=".22869mm">
                  <v:path arrowok="t" textboxrect="0,0,0,2017046"/>
                </v:shape>
                <v:shape id="Shape 19219" o:spid="_x0000_s1203" style="position:absolute;left:3143;top:6078;width:0;height:20170;visibility:visible;mso-wrap-style:square;v-text-anchor:top" coordsize="1,201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fDMUA&#10;AADeAAAADwAAAGRycy9kb3ducmV2LnhtbERPS2vCQBC+F/oflin0ppsoWJO6SvBF8SDWlpyH7DQJ&#10;zc7G7Dam/94tCL3Nx/ecxWowjeipc7VlBfE4AkFcWF1zqeDzYzeag3AeWWNjmRT8koPV8vFhgam2&#10;V36n/uxLEULYpaig8r5NpXRFRQbd2LbEgfuynUEfYFdK3eE1hJtGTqJoJg3WHBoqbGldUfF9/jEK&#10;sv0sOm7zS0aH5LSZ2pe8jze5Us9PQ/YKwtPg/8V395sO85NJnMDf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F8MxQAAAN4AAAAPAAAAAAAAAAAAAAAAAJgCAABkcnMv&#10;ZG93bnJldi54bWxQSwUGAAAAAAQABAD1AAAAigMAAAAA&#10;" path="m,2017046l1,e" filled="f" strokecolor="#bfbfbf" strokeweight=".22869mm">
                  <v:path arrowok="t" textboxrect="0,0,1,2017046"/>
                </v:shape>
                <v:shape id="Shape 19220" o:spid="_x0000_s1204" style="position:absolute;left:3143;top:8136;width:46278;height:0;visibility:visible;mso-wrap-style:square;v-text-anchor:top" coordsize="4627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pHcUA&#10;AADeAAAADwAAAGRycy9kb3ducmV2LnhtbESPQUvDQBCF70L/wzIFb3bTVMTEbksp2AiCYLU9D9kx&#10;Cc3Oht01jf/eOQjeZpg3771vvZ1cr0YKsfNsYLnIQBHX3nbcGPj8eL57BBUTssXeMxn4oQjbzexm&#10;jaX1V36n8ZgaJSYcSzTQpjSUWse6JYdx4QdiuX354DDJGhptA17F3PU6z7IH7bBjSWhxoH1L9eX4&#10;7QyM53teFX0V3qjwoTq9Vgcs2Jjb+bR7ApVoSv/iv+8XK/WLPBcAwZEZ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mkdxQAAAN4AAAAPAAAAAAAAAAAAAAAAAJgCAABkcnMv&#10;ZG93bnJldi54bWxQSwUGAAAAAAQABAD1AAAAigMAAAAA&#10;" path="m4627879,1l,e" filled="f" strokecolor="#bfbfbf" strokeweight=".22869mm">
                  <v:path arrowok="t" textboxrect="0,0,4627879,1"/>
                </v:shape>
                <v:shape id="Shape 19222" o:spid="_x0000_s1205" style="position:absolute;left:5500;top:8836;width:42182;height:14737;visibility:visible;mso-wrap-style:square;v-text-anchor:top" coordsize="4218244,147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ZgMUA&#10;AADeAAAADwAAAGRycy9kb3ducmV2LnhtbERPS2vCQBC+C/0PyxS8iG4MWDV1FRULggfxAV6n2ckD&#10;s7Mhu43pv+8KBW/z8T1nsepMJVpqXGlZwXgUgSBOrS45V3C9fA1nIJxH1lhZJgW/5GC1fOstMNH2&#10;wSdqzz4XIYRdggoK7+tESpcWZNCNbE0cuMw2Bn2ATS51g48QbioZR9GHNFhyaCiwpm1B6f38YxTM&#10;dlk2mB6P61srJ5v7YfJN191Bqf57t/4E4anzL/G/e6/D/Hkcx/B8J9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9mAxQAAAN4AAAAPAAAAAAAAAAAAAAAAAJgCAABkcnMv&#10;ZG93bnJldi54bWxQSwUGAAAAAAQABAD1AAAAigMAAAAA&#10;" path="m,l471451,41164,934631,98794r471450,65863l1869261,255218r471451,131725l2812163,477505r463179,139958l3746793,839750r471451,633928e" filled="f" strokecolor="#5e5e5e" strokeweight=".45739mm">
                  <v:stroke endcap="round"/>
                  <v:path arrowok="t" textboxrect="0,0,4218244,1473678"/>
                </v:shape>
                <v:shape id="Shape 19224" o:spid="_x0000_s1206" style="position:absolute;left:5500;top:8918;width:42182;height:14655;visibility:visible;mso-wrap-style:square;v-text-anchor:top" coordsize="4218244,146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TsUA&#10;AADeAAAADwAAAGRycy9kb3ducmV2LnhtbERPzWrCQBC+F/oOywi91Y2piE1dpViKHrSi7QOM2TEb&#10;zM6G7GqiT+8KQm/z8f3OZNbZSpyp8aVjBYN+AoI4d7rkQsHf7/frGIQPyBorx6TgQh5m0+enCWba&#10;tbyl8y4UIoawz1CBCaHOpPS5IYu+72riyB1cYzFE2BRSN9jGcFvJNElG0mLJscFgTXND+XF3sgq+&#10;NotVt2/fRnO3GLc/171ZS22Ueul1nx8gAnXhX/xwL3Wc/56mQ7i/E2+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JOxQAAAN4AAAAPAAAAAAAAAAAAAAAAAJgCAABkcnMv&#10;ZG93bnJldi54bWxQSwUGAAAAAAQABAD1AAAAigMAAAAA&#10;" path="m,l471451,57630r463180,57630l1406081,189355r463180,98794l2340712,436340r471451,98795l3275342,675093r471451,238752l4218244,1465446e" filled="f" strokecolor="#b3b3b3" strokeweight=".45739mm">
                  <v:stroke endcap="round"/>
                  <v:path arrowok="t" textboxrect="0,0,4218244,1465446"/>
                </v:shape>
                <v:shape id="Shape 19226" o:spid="_x0000_s1207" style="position:absolute;left:5500;top:8013;width:42182;height:15560;visibility:visible;mso-wrap-style:square;v-text-anchor:top" coordsize="4218244,15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Pp8UA&#10;AADeAAAADwAAAGRycy9kb3ducmV2LnhtbERPzWrCQBC+F3yHZYReSt2Yg5jUVYogtuihpnmAaXaa&#10;pM3Oht3VpG/vCgVv8/H9zmozmk5cyPnWsoL5LAFBXFndcq2g/Nw9L0H4gKyxs0wK/sjDZj15WGGu&#10;7cAnuhShFjGEfY4KmhD6XEpfNWTQz2xPHLlv6wyGCF0ttcMhhptOpkmykAZbjg0N9rRtqPotzkbB&#10;8ufdu2447ssveyiy7DA8nY8fSj1Ox9cXEIHGcBf/u990nJ+l6QJu78Qb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8+nxQAAAN4AAAAPAAAAAAAAAAAAAAAAAJgCAABkcnMv&#10;ZG93bnJldi54bWxQSwUGAAAAAAQABAD1AAAAigMAAAAA&#10;" path="m,l471451,164657r463180,65862l1406081,312848r463180,107027l2340712,568066r471451,107027l3275342,823284r471451,238752l4218244,1556007e" filled="f" strokecolor="#898989" strokeweight=".45739mm">
                  <v:stroke endcap="round"/>
                  <v:path arrowok="t" textboxrect="0,0,4218244,1556007"/>
                </v:shape>
                <v:shape id="Shape 19228" o:spid="_x0000_s1208" style="position:absolute;left:5500;top:9165;width:42182;height:14325;visibility:visible;mso-wrap-style:square;v-text-anchor:top" coordsize="4218244,143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Z4McA&#10;AADeAAAADwAAAGRycy9kb3ducmV2LnhtbESPT2/CMAzF75P2HSIj7TZSephYIaAJaf+00wqbOJrG&#10;tB2NUyUZFD79fJjE7Vl+/vm9+XJwnTpSiK1nA5NxBoq48rbl2sBm/Xw/BRUTssXOMxk4U4Tl4vZm&#10;joX1J/6kY5lqJRCOBRpoUuoLrWPVkMM49j2x7PY+OEwyhlrbgCeBu07nWfagHbYsHxrsadVQdSh/&#10;nVC+vn/Cui1fP2xXZ+/nF9ptL2TM3Wh4moFKNKSr+f/6zUr8xzyXvFJHNO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2eDHAAAA3gAAAA8AAAAAAAAAAAAAAAAAmAIAAGRy&#10;cy9kb3ducmV2LnhtbFBLBQYAAAAABAAEAPUAAACMAwAAAAA=&#10;" path="m,l471451,65863r463180,65862l1406081,222287r463180,115259l2340712,493970r471451,115260l3275342,757421r471451,230520l4218244,1432514e" filled="f" strokecolor="#212121" strokeweight=".45739mm">
                  <v:stroke endcap="round"/>
                  <v:path arrowok="t" textboxrect="0,0,4218244,1432514"/>
                </v:shape>
                <v:shape id="Shape 19230" o:spid="_x0000_s1209" style="position:absolute;left:5500;top:9988;width:42182;height:13502;visibility:visible;mso-wrap-style:square;v-text-anchor:top" coordsize="4218244,135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PXMcA&#10;AADeAAAADwAAAGRycy9kb3ducmV2LnhtbESPQWvCQBCF7wX/wzJCb3UTBbXRVUQotAcD2lI9Dtkx&#10;CWZn0+xW03/fOQjeZpg3771vue5do67UhdqzgXSUgCIuvK25NPD1+fYyBxUissXGMxn4owDr1eBp&#10;iZn1N97T9RBLJSYcMjRQxdhmWoeiIodh5FtiuZ195zDK2pXadngTc9focZJMtcOaJaHClrYVFZfD&#10;rzOwm81Pe5wcj5zn3/VPj2nefKTGPA/7zQJUpD4+xPfvdyv1X8cTARAcm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bj1zHAAAA3gAAAA8AAAAAAAAAAAAAAAAAmAIAAGRy&#10;cy9kb3ducmV2LnhtbFBLBQYAAAAABAAEAPUAAACMAwAAAAA=&#10;" path="m,650394l471451,,934631,74095r471450,90562l1869261,288149r471451,164657l2812163,568066r463179,148191l3746793,946777r471451,403408e" filled="f" strokecolor="#dadada" strokeweight=".45739mm">
                  <v:stroke endcap="round"/>
                  <v:path arrowok="t" textboxrect="0,0,4218244,1350185"/>
                </v:shape>
                <v:rect id="Rectangle 19232" o:spid="_x0000_s1210" style="position:absolute;left:423;top:25790;width:330;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V68UA&#10;AADeAAAADwAAAGRycy9kb3ducmV2LnhtbERPTWvCQBC9F/wPywi91Y0pFJNmI6IteqxGsL0N2WkS&#10;zM6G7Nak/fVdQfA2j/c52XI0rbhQ7xrLCuazCARxaXXDlYJj8f60AOE8ssbWMin4JQfLfPKQYart&#10;wHu6HHwlQgi7FBXU3neplK6syaCb2Y44cN+2N+gD7CupexxCuGllHEUv0mDDoaHGjtY1lefDj1Gw&#10;XXSrz539G6r27Wt7+jglmyLxSj1Ox9UrCE+jv4tv7p0O85P4O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FXr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33" o:spid="_x0000_s1211" style="position:absolute;left:672;top:25790;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wcMQA&#10;AADeAAAADwAAAGRycy9kb3ducmV2LnhtbERPTYvCMBC9C/6HMMLeNFVBbDWKuCt6dFVQb0MztsVm&#10;Uppou/56s7Cwt3m8z5kvW1OKJ9WusKxgOIhAEKdWF5wpOB03/SkI55E1lpZJwQ85WC66nTkm2jb8&#10;Tc+Dz0QIYZeggtz7KpHSpTkZdANbEQfuZmuDPsA6k7rGJoSbUo6iaCINFhwacqxonVN6PzyMgu20&#10;Wl129tVk5dd1e96f489j7JX66LWrGQhPrf8X/7l3OsyPR+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8HD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1</w:t>
                        </w:r>
                      </w:p>
                    </w:txbxContent>
                  </v:textbox>
                </v:rect>
                <v:rect id="Rectangle 19234" o:spid="_x0000_s1212" style="position:absolute;left:1085;top:25790;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1oBMUA&#10;AADeAAAADwAAAGRycy9kb3ducmV2LnhtbERPTWvCQBC9C/6HZQredFMtYmJWEVvRY9VC6m3ITpPQ&#10;7GzIribtr+8WBG/zeJ+TrntTixu1rrKs4HkSgSDOra64UPBx3o0XIJxH1lhbJgU/5GC9Gg5STLTt&#10;+Ei3ky9ECGGXoILS+yaR0uUlGXQT2xAH7su2Bn2AbSF1i10IN7WcRtFcGqw4NJTY0Lak/Pt0NQr2&#10;i2bzebC/XVG/XfbZexa/nmOv1Oip3yxBeOr9Q3x3H3SYH09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gE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8</w:t>
                        </w:r>
                      </w:p>
                    </w:txbxContent>
                  </v:textbox>
                </v:rect>
                <v:rect id="Rectangle 19235" o:spid="_x0000_s1213" style="position:absolute;left:1499;top:25790;width:247;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Nn8UA&#10;AADeAAAADwAAAGRycy9kb3ducmV2LnhtbERPTWvCQBC9C/6HZQredFOlYmJWEVvRY9VC6m3ITpPQ&#10;7GzIribtr+8WBG/zeJ+TrntTixu1rrKs4HkSgSDOra64UPBx3o0XIJxH1lhbJgU/5GC9Gg5STLTt&#10;+Ei3ky9ECGGXoILS+yaR0uUlGXQT2xAH7su2Bn2AbSF1i10IN7WcRtFcGqw4NJTY0Lak/Pt0NQr2&#10;i2bzebC/XVG/XfbZexa/nmOv1Oip3yxBeOr9Q3x3H3SYH09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c2f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36" o:spid="_x0000_s1214" style="position:absolute;left:1664;top:25790;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T6MQA&#10;AADeAAAADwAAAGRycy9kb3ducmV2LnhtbERPS4vCMBC+L+x/CLPgbU1XQWw1iqwuevQF6m1oxrbY&#10;TEqTtdVfbwTB23x8zxlPW1OKK9WusKzgpxuBIE6tLjhTsN/9fQ9BOI+ssbRMCm7kYDr5/Bhjom3D&#10;G7pufSZCCLsEFeTeV4mULs3JoOvaijhwZ1sb9AHWmdQ1NiHclLIXRQNpsODQkGNFvzmll+2/UbAc&#10;VrPjyt6brFyclof1IZ7vYq9U56udjUB4av1b/HKvdJgf9/o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U+j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37" o:spid="_x0000_s1215" style="position:absolute;left:2078;top:25790;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2c8UA&#10;AADeAAAADwAAAGRycy9kb3ducmV2LnhtbERPTWvCQBC9C/6HZQredFOFamJWEVvRY9VC6m3ITpPQ&#10;7GzIribtr+8WBG/zeJ+TrntTixu1rrKs4HkSgSDOra64UPBx3o0XIJxH1lhbJgU/5GC9Gg5STLTt&#10;+Ei3ky9ECGGXoILS+yaR0uUlGXQT2xAH7su2Bn2AbSF1i10IN7WcRtGLNFhxaCixoW1J+ffpahTs&#10;F83m82B/u6J+u+yz9yx+PcdeqdFTv1mC8NT7h/juPugwP57O5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Zz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38" o:spid="_x0000_s1216" style="position:absolute;left:423;top:23778;width:330;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iAccA&#10;AADeAAAADwAAAGRycy9kb3ducmV2LnhtbESPT2vCQBDF74LfYRmhN91ooZjoKtI/6NFqQb0N2TEJ&#10;ZmdDdmvSfnrnUOhthvfmvd8s172r1Z3aUHk2MJ0koIhzbysuDHwdP8ZzUCEiW6w9k4EfCrBeDQdL&#10;zKzv+JPuh1goCeGQoYEyxibTOuQlOQwT3xCLdvWtwyhrW2jbYifhrtazJHnRDiuWhhIbei0pvx2+&#10;nYHtvNmcd/63K+r3y/a0P6VvxzQa8zTqNwtQkfr4b/673lnBT2f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gYgH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39" o:spid="_x0000_s1217" style="position:absolute;left:672;top:23778;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HmsMA&#10;AADeAAAADwAAAGRycy9kb3ducmV2LnhtbERPTYvCMBC9L/gfwgh7W1MVxFajiK7o0VVBvQ3N2Bab&#10;SWmytuuvNwuCt3m8z5nOW1OKO9WusKyg34tAEKdWF5wpOB7WX2MQziNrLC2Tgj9yMJ91PqaYaNvw&#10;D933PhMhhF2CCnLvq0RKl+Zk0PVsRRy4q60N+gDrTOoamxBuSjmIopE0WHBoyLGiZU7pbf9rFGzG&#10;1eK8tY8mK78vm9PuFK8OsVfqs9suJiA8tf4tfrm3OsyPB8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zHmsMAAADeAAAADwAAAAAAAAAAAAAAAACYAgAAZHJzL2Rv&#10;d25yZXYueG1sUEsFBgAAAAAEAAQA9QAAAIgDAAAAAA==&#10;" filled="f" stroked="f">
                  <v:textbox inset="0,0,0,0">
                    <w:txbxContent>
                      <w:p w:rsidR="00EE13F6" w:rsidRDefault="002E5BC4">
                        <w:r>
                          <w:rPr>
                            <w:rFonts w:ascii="Times New Roman" w:eastAsia="Times New Roman" w:hAnsi="Times New Roman" w:cs="Times New Roman"/>
                            <w:color w:val="585858"/>
                            <w:sz w:val="12"/>
                          </w:rPr>
                          <w:t>1</w:t>
                        </w:r>
                      </w:p>
                    </w:txbxContent>
                  </v:textbox>
                </v:rect>
                <v:rect id="Rectangle 19240" o:spid="_x0000_s1218" style="position:absolute;left:1085;top:23778;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descA&#10;AADeAAAADwAAAGRycy9kb3ducmV2LnhtbESPT2vCQBDF74LfYRmhN90opZjoKtI/6NFqQb0N2TEJ&#10;ZmdDdmvSfnrnUOhthnnz3vst172r1Z3aUHk2MJ0koIhzbysuDHwdP8ZzUCEiW6w9k4EfCrBeDQdL&#10;zKzv+JPuh1goMeGQoYEyxibTOuQlOQwT3xDL7epbh1HWttC2xU7MXa1nSfKiHVYsCSU29FpSfjt8&#10;OwPbebM57/xvV9Tvl+1pf0rfjmk05mnUbxagIvXxX/z3vbNSP509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QHXr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6</w:t>
                        </w:r>
                      </w:p>
                    </w:txbxContent>
                  </v:textbox>
                </v:rect>
                <v:rect id="Rectangle 19241" o:spid="_x0000_s1219" style="position:absolute;left:1499;top:23778;width:247;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44cQA&#10;AADeAAAADwAAAGRycy9kb3ducmV2LnhtbERPS4vCMBC+C/sfwix401QRsdUosqvo0ceC621oZtuy&#10;zaQ00VZ/vREEb/PxPWe2aE0prlS7wrKCQT8CQZxaXXCm4Oe47k1AOI+ssbRMCm7kYDH/6Mww0bbh&#10;PV0PPhMhhF2CCnLvq0RKl+Zk0PVtRRy4P1sb9AHWmdQ1NiHclHIYRWNpsODQkGNFXzml/4eLUbCZ&#10;VMvfrb03Wbk6b067U/x9jL1S3c92OQXhqfVv8cu91WF+PBwN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uOH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42" o:spid="_x0000_s1220" style="position:absolute;left:1664;top:23778;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4mlsUA&#10;AADeAAAADwAAAGRycy9kb3ducmV2LnhtbERPTWvCQBC9F/wPywi91Y2hFJNmI6IteqxGsL0N2WkS&#10;zM6G7Nak/fVdQfA2j/c52XI0rbhQ7xrLCuazCARxaXXDlYJj8f60AOE8ssbWMin4JQfLfPKQYart&#10;wHu6HHwlQgi7FBXU3neplK6syaCb2Y44cN+2N+gD7CupexxCuGllHEUv0mDDoaHGjtY1lefDj1Gw&#10;XXSrz539G6r27Wt7+jglmyLxSj1Ox9UrCE+jv4tv7p0O85P4O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iaW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43" o:spid="_x0000_s1221" style="position:absolute;left:2078;top:23778;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DDcUA&#10;AADeAAAADwAAAGRycy9kb3ducmV2LnhtbERPTWvCQBC9C/6HZQredFMtYmJWEVvRY9VC6m3ITpPQ&#10;7GzIribtr+8WBG/zeJ+TrntTixu1rrKs4HkSgSDOra64UPBx3o0XIJxH1lhbJgU/5GC9Gg5STLTt&#10;+Ei3ky9ECGGXoILS+yaR0uUlGXQT2xAH7su2Bn2AbSF1i10IN7WcRtFcGqw4NJTY0Lak/Pt0NQr2&#10;i2bzebC/XVG/XfbZexa/nmOv1Oip3yxBeOr9Q3x3H3SYH09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oMN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44" o:spid="_x0000_s1222" style="position:absolute;left:423;top:21766;width:33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becQA&#10;AADeAAAADwAAAGRycy9kb3ducmV2LnhtbERPTYvCMBC9C/6HMMLeNFVEbDWKuCt6dFVQb0MztsVm&#10;Uppou/56s7Cwt3m8z5kvW1OKJ9WusKxgOIhAEKdWF5wpOB03/SkI55E1lpZJwQ85WC66nTkm2jb8&#10;Tc+Dz0QIYZeggtz7KpHSpTkZdANbEQfuZmuDPsA6k7rGJoSbUo6iaCINFhwacqxonVN6PzyMgu20&#10;Wl129tVk5dd1e96f489j7JX66LWrGQhPrf8X/7l3OsyPR+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3n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45" o:spid="_x0000_s1223" style="position:absolute;left:672;top:21766;width:49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4sUA&#10;AADeAAAADwAAAGRycy9kb3ducmV2LnhtbERPTWvCQBC9C/6HZQredFOxYmJWEVvRY9VC6m3ITpPQ&#10;7GzIribtr+8WBG/zeJ+TrntTixu1rrKs4HkSgSDOra64UPBx3o0XIJxH1lhbJgU/5GC9Gg5STLTt&#10;+Ei3ky9ECGGXoILS+yaR0uUlGXQT2xAH7su2Bn2AbSF1i10IN7WcRtFcGqw4NJTY0Lak/Pt0NQr2&#10;i2bzebC/XVG/XfbZexa/nmOv1Oip3yxBeOr9Q3x3H3SYH09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77i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1</w:t>
                        </w:r>
                      </w:p>
                    </w:txbxContent>
                  </v:textbox>
                </v:rect>
                <v:rect id="Rectangle 19246" o:spid="_x0000_s1224" style="position:absolute;left:1085;top:21766;width:49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glcQA&#10;AADeAAAADwAAAGRycy9kb3ducmV2LnhtbERPS4vCMBC+L+x/CLPgbU1XRGw1iqwuevQF6m1oxrbY&#10;TEqTtdVfbwTB23x8zxlPW1OKK9WusKzgpxuBIE6tLjhTsN/9fQ9BOI+ssbRMCm7kYDr5/Bhjom3D&#10;G7pufSZCCLsEFeTeV4mULs3JoOvaijhwZ1sb9AHWmdQ1NiHclLIXRQNpsODQkGNFvzmll+2/UbAc&#10;VrPjyt6brFyclof1IZ7vYq9U56udjUB4av1b/HKvdJgf9/o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1IJX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4</w:t>
                        </w:r>
                      </w:p>
                    </w:txbxContent>
                  </v:textbox>
                </v:rect>
                <v:rect id="Rectangle 19247" o:spid="_x0000_s1225" style="position:absolute;left:1499;top:21766;width:24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FDsUA&#10;AADeAAAADwAAAGRycy9kb3ducmV2LnhtbERPTWvCQBC9C/6HZQredFORamJWEVvRY9VC6m3ITpPQ&#10;7GzIribtr+8WBG/zeJ+TrntTixu1rrKs4HkSgSDOra64UPBx3o0XIJxH1lhbJgU/5GC9Gg5STLTt&#10;+Ei3ky9ECGGXoILS+yaR0uUlGXQT2xAH7su2Bn2AbSF1i10IN7WcRtGLNFhxaCixoW1J+ffpahTs&#10;F83m82B/u6J+u+yz9yx+PcdeqdFTv1mC8NT7h/juPugwP57O5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YUO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48" o:spid="_x0000_s1226" style="position:absolute;left:1664;top:21766;width:49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fMcA&#10;AADeAAAADwAAAGRycy9kb3ducmV2LnhtbESPT2vCQBDF74LfYRmhN90opZjoKtI/6NFqQb0N2TEJ&#10;ZmdDdmvSfnrnUOhthvfmvd8s172r1Z3aUHk2MJ0koIhzbysuDHwdP8ZzUCEiW6w9k4EfCrBeDQdL&#10;zKzv+JPuh1goCeGQoYEyxibTOuQlOQwT3xCLdvWtwyhrW2jbYifhrtazJHnRDiuWhhIbei0pvx2+&#10;nYHtvNmcd/63K+r3y/a0P6VvxzQa8zTqNwtQkfr4b/673lnBT2f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mEXz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49" o:spid="_x0000_s1227" style="position:absolute;left:2078;top:21766;width:49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058MA&#10;AADeAAAADwAAAGRycy9kb3ducmV2LnhtbERPTYvCMBC9L/gfwgh7W1NFxFajiK7o0VVBvQ3N2Bab&#10;SWmytuuvNwuCt3m8z5nOW1OKO9WusKyg34tAEKdWF5wpOB7WX2MQziNrLC2Tgj9yMJ91PqaYaNvw&#10;D933PhMhhF2CCnLvq0RKl+Zk0PVsRRy4q60N+gDrTOoamxBuSjmIopE0WHBoyLGiZU7pbf9rFGzG&#10;1eK8tY8mK78vm9PuFK8OsVfqs9suJiA8tf4tfrm3OsyPB8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q058MAAADeAAAADwAAAAAAAAAAAAAAAACYAgAAZHJzL2Rv&#10;d25yZXYueG1sUEsFBgAAAAAEAAQA9QAAAIgDA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50" o:spid="_x0000_s1228" style="position:absolute;left:423;top:19755;width:330;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Lp8cA&#10;AADeAAAADwAAAGRycy9kb3ducmV2LnhtbESPT2vCQBDF74LfYRmhN90otJjoKtI/6NFqQb0N2TEJ&#10;ZmdDdmvSfnrnUOhthnnz3vst172r1Z3aUHk2MJ0koIhzbysuDHwdP8ZzUCEiW6w9k4EfCrBeDQdL&#10;zKzv+JPuh1goMeGQoYEyxibTOuQlOQwT3xDL7epbh1HWttC2xU7MXa1nSfKiHVYsCSU29FpSfjt8&#10;OwPbebM57/xvV9Tvl+1pf0rfjmk05mnUbxagIvXxX/z3vbNSP509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Ji6f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51" o:spid="_x0000_s1229" style="position:absolute;left:672;top:19755;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uPMQA&#10;AADeAAAADwAAAGRycy9kb3ducmV2LnhtbERPS4vCMBC+C/sfwix401RBsdUosqvo0ceC621oZtuy&#10;zaQ00VZ/vREEb/PxPWe2aE0prlS7wrKCQT8CQZxaXXCm4Oe47k1AOI+ssbRMCm7kYDH/6Mww0bbh&#10;PV0PPhMhhF2CCnLvq0RKl+Zk0PVtRRy4P1sb9AHWmdQ1NiHclHIYRWNpsODQkGNFXzml/4eLUbCZ&#10;VMvfrb03Wbk6b067U/x9jL1S3c92OQXhqfVv8cu91WF+PBwN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Ljz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1</w:t>
                        </w:r>
                      </w:p>
                    </w:txbxContent>
                  </v:textbox>
                </v:rect>
                <v:rect id="Rectangle 19252" o:spid="_x0000_s1230" style="position:absolute;left:1085;top:19755;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wS8UA&#10;AADeAAAADwAAAGRycy9kb3ducmV2LnhtbERPTWvCQBC9F/wPywi91Y2BFpNmI6IteqxGsL0N2WkS&#10;zM6G7Nak/fVdQfA2j/c52XI0rbhQ7xrLCuazCARxaXXDlYJj8f60AOE8ssbWMin4JQfLfPKQYart&#10;wHu6HHwlQgi7FBXU3neplK6syaCb2Y44cN+2N+gD7CupexxCuGllHEUv0mDDoaHGjtY1lefDj1Gw&#10;XXSrz539G6r27Wt7+jglmyLxSj1Ox9UrCE+jv4tv7p0O85P4O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7BL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2</w:t>
                        </w:r>
                      </w:p>
                    </w:txbxContent>
                  </v:textbox>
                </v:rect>
                <v:rect id="Rectangle 19253" o:spid="_x0000_s1231" style="position:absolute;left:1499;top:19755;width:247;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V0MUA&#10;AADeAAAADwAAAGRycy9kb3ducmV2LnhtbERPTWvCQBC9C/6HZQredFOlYmJWEVvRY9VC6m3ITpPQ&#10;7GzIribtr+8WBG/zeJ+TrntTixu1rrKs4HkSgSDOra64UPBx3o0XIJxH1lhbJgU/5GC9Gg5STLTt&#10;+Ei3ky9ECGGXoILS+yaR0uUlGXQT2xAH7su2Bn2AbSF1i10IN7WcRtFcGqw4NJTY0Lak/Pt0NQr2&#10;i2bzebC/XVG/XfbZexa/nmOv1Oip3yxBeOr9Q3x3H3SYH09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xXQ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54" o:spid="_x0000_s1232" style="position:absolute;left:1664;top:19755;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pMUA&#10;AADeAAAADwAAAGRycy9kb3ducmV2LnhtbERPTWvCQBC9C/6HZQredFOxYmJWEVvRY9VC6m3ITpPQ&#10;7GzIribtr+8WBG/zeJ+TrntTixu1rrKs4HkSgSDOra64UPBx3o0XIJxH1lhbJgU/5GC9Gg5STLTt&#10;+Ei3ky9ECGGXoILS+yaR0uUlGXQT2xAH7su2Bn2AbSF1i10IN7WcRtFcGqw4NJTY0Lak/Pt0NQr2&#10;i2bzebC/XVG/XfbZexa/nmOv1Oip3yxBeOr9Q3x3H3SYH09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o2k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55" o:spid="_x0000_s1233" style="position:absolute;left:2078;top:19755;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oP8QA&#10;AADeAAAADwAAAGRycy9kb3ducmV2LnhtbERPTYvCMBC9C/6HMMLeNFVQbDWKuCt6dFVQb0MztsVm&#10;Uppou/56s7Cwt3m8z5kvW1OKJ9WusKxgOIhAEKdWF5wpOB03/SkI55E1lpZJwQ85WC66nTkm2jb8&#10;Tc+Dz0QIYZeggtz7KpHSpTkZdANbEQfuZmuDPsA6k7rGJoSbUo6iaCINFhwacqxonVN6PzyMgu20&#10;Wl129tVk5dd1e96f489j7JX66LWrGQhPrf8X/7l3OsyPR+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D/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56" o:spid="_x0000_s1234" style="position:absolute;left:423;top:17754;width:303;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2SMQA&#10;AADeAAAADwAAAGRycy9kb3ducmV2LnhtbERPS4vCMBC+L+x/CLPgbU1XUGw1iqwuevQF6m1oxrbY&#10;TEqTtdVfbwTB23x8zxlPW1OKK9WusKzgpxuBIE6tLjhTsN/9fQ9BOI+ssbRMCm7kYDr5/Bhjom3D&#10;G7pufSZCCLsEFeTeV4mULs3JoOvaijhwZ1sb9AHWmdQ1NiHclLIXRQNpsODQkGNFvzmll+2/UbAc&#10;VrPjyt6brFyclof1IZ7vYq9U56udjUB4av1b/HKvdJgf9/o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tkjEAAAA3gAAAA8AAAAAAAAAAAAAAAAAmAIAAGRycy9k&#10;b3ducmV2LnhtbFBLBQYAAAAABAAEAPUAAACJAwAAAAA=&#10;" filled="f" stroked="f">
                  <v:textbox inset="0,0,0,0">
                    <w:txbxContent>
                      <w:p w:rsidR="00EE13F6" w:rsidRDefault="002E5BC4">
                        <w:r>
                          <w:rPr>
                            <w:color w:val="585858"/>
                            <w:sz w:val="12"/>
                          </w:rPr>
                          <w:t>-</w:t>
                        </w:r>
                      </w:p>
                    </w:txbxContent>
                  </v:textbox>
                </v:rect>
                <v:rect id="Rectangle 200752" o:spid="_x0000_s1235" style="position:absolute;left:1499;top:17754;width:247;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TKcYA&#10;AADfAAAADwAAAGRycy9kb3ducmV2LnhtbESPT4vCMBTE7wt+h/AEb2uq4K5Wo4h/0KOrgnp7NM+2&#10;2LyUJtqun94IC3scZuY3zGTWmEI8qHK5ZQW9bgSCOLE651TB8bD+HIJwHlljYZkU/JKD2bT1McFY&#10;25p/6LH3qQgQdjEqyLwvYyldkpFB17UlcfCutjLog6xSqSusA9wUsh9FX9JgzmEhw5IWGSW3/d0o&#10;2AzL+Xlrn3VarC6b0+40Wh5GXqlOu5mPQXhq/H/4r73VCgLxe9CH95/wBeT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lTKcYAAADfAAAADwAAAAAAAAAAAAAAAACYAgAAZHJz&#10;L2Rvd25yZXYueG1sUEsFBgAAAAAEAAQA9QAAAIsDAAAAAA==&#10;" filled="f" stroked="f">
                  <v:textbox inset="0,0,0,0">
                    <w:txbxContent>
                      <w:p w:rsidR="00EE13F6" w:rsidRDefault="002E5BC4">
                        <w:r>
                          <w:rPr>
                            <w:color w:val="585858"/>
                            <w:sz w:val="12"/>
                          </w:rPr>
                          <w:t>,</w:t>
                        </w:r>
                      </w:p>
                    </w:txbxContent>
                  </v:textbox>
                </v:rect>
                <v:rect id="Rectangle 200751" o:spid="_x0000_s1236" style="position:absolute;left:1664;top:17754;width:105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NXscA&#10;AADfAAAADwAAAGRycy9kb3ducmV2LnhtbESPQWvCQBSE7wX/w/IEb3WjYBtTVxG1mGObCNrbI/ua&#10;hGbfhuzWpP56t1DocZiZb5jVZjCNuFLnassKZtMIBHFhdc2lglP++hiDcB5ZY2OZFPyQg8169LDC&#10;RNue3+ma+VIECLsEFVTet4mUrqjIoJvaljh4n7Yz6IPsSqk77APcNHIeRU/SYM1hocKWdhUVX9m3&#10;UXCM2+0ltbe+bA4fx/PbebnPl16pyXjYvoDwNPj/8F871QoC8Xkxg98/4Q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zV7HAAAA3wAAAA8AAAAAAAAAAAAAAAAAmAIAAGRy&#10;cy9kb3ducmV2LnhtbFBLBQYAAAAABAAEAPUAAACMAwAAAAA=&#10;" filled="f" stroked="f">
                  <v:textbox inset="0,0,0,0">
                    <w:txbxContent>
                      <w:p w:rsidR="00EE13F6" w:rsidRDefault="002E5BC4">
                        <w:r>
                          <w:rPr>
                            <w:color w:val="585858"/>
                            <w:sz w:val="12"/>
                          </w:rPr>
                          <w:t>00</w:t>
                        </w:r>
                      </w:p>
                    </w:txbxContent>
                  </v:textbox>
                </v:rect>
                <v:rect id="Rectangle 200750" o:spid="_x0000_s1237" style="position:absolute;left:672;top:17754;width:105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oxccA&#10;AADfAAAADwAAAGRycy9kb3ducmV2LnhtbESPTWvCQBCG70L/wzKCN91YqNXoKtJW9OhHwXobstMk&#10;NDsbsqtJ++udQ8Hj8M77vDyLVecqdaMmlJ4NjEcJKOLM25JzA5+nzXAKKkRki5VnMvBLAVbLp94C&#10;U+tbPtDtGHMlEA4pGihirFOtQ1aQwzDyNbFk375xGOVscm0bbAXuKv2cJBPtsGRZKLCmt4Kyn+PV&#10;GdhO6/XXzv+1efVx2Z7359n7aRaNGfS79RxUpC4+nv/bO2tAiK8vYiA+4gJ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3aMXHAAAA3wAAAA8AAAAAAAAAAAAAAAAAmAIAAGRy&#10;cy9kb3ducmV2LnhtbFBLBQYAAAAABAAEAPUAAACMAwAAAAA=&#10;" filled="f" stroked="f">
                  <v:textbox inset="0,0,0,0">
                    <w:txbxContent>
                      <w:p w:rsidR="00EE13F6" w:rsidRDefault="002E5BC4">
                        <w:r>
                          <w:rPr>
                            <w:color w:val="585858"/>
                            <w:sz w:val="12"/>
                          </w:rPr>
                          <w:t>10</w:t>
                        </w:r>
                      </w:p>
                    </w:txbxContent>
                  </v:textbox>
                </v:rect>
                <v:rect id="Rectangle 19258" o:spid="_x0000_s1238" style="position:absolute;left:858;top:15731;width:32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occA&#10;AADeAAAADwAAAGRycy9kb3ducmV2LnhtbESPT2vCQBDF74LfYRmhN90otJjoKtI/6NFqQb0N2TEJ&#10;ZmdDdmvSfnrnUOhthvfmvd8s172r1Z3aUHk2MJ0koIhzbysuDHwdP8ZzUCEiW6w9k4EfCrBeDQdL&#10;zKzv+JPuh1goCeGQoYEyxibTOuQlOQwT3xCLdvWtwyhrW2jbYifhrtazJHnRDiuWhhIbei0pvx2+&#10;nYHtvNmcd/63K+r3y/a0P6VvxzQa8zTqNwtQkfr4b/673lnBT2f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6H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59" o:spid="_x0000_s1239" style="position:absolute;left:1106;top:15731;width:49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iOsMA&#10;AADeAAAADwAAAGRycy9kb3ducmV2LnhtbERPTYvCMBC9L/gfwgh7W1MFxVajiK7o0VVBvQ3N2Bab&#10;SWmytuuvNwuCt3m8z5nOW1OKO9WusKyg34tAEKdWF5wpOB7WX2MQziNrLC2Tgj9yMJ91PqaYaNvw&#10;D933PhMhhF2CCnLvq0RKl+Zk0PVsRRy4q60N+gDrTOoamxBuSjmIopE0WHBoyLGiZU7pbf9rFGzG&#10;1eK8tY8mK78vm9PuFK8OsVfqs9suJiA8tf4tfrm3OsyPB8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iOsMAAADeAAAADwAAAAAAAAAAAAAAAACYAgAAZHJzL2Rv&#10;d25yZXYueG1sUEsFBgAAAAAEAAQA9QAAAIgDAAAAAA==&#10;" filled="f" stroked="f">
                  <v:textbox inset="0,0,0,0">
                    <w:txbxContent>
                      <w:p w:rsidR="00EE13F6" w:rsidRDefault="002E5BC4">
                        <w:r>
                          <w:rPr>
                            <w:rFonts w:ascii="Times New Roman" w:eastAsia="Times New Roman" w:hAnsi="Times New Roman" w:cs="Times New Roman"/>
                            <w:color w:val="585858"/>
                            <w:sz w:val="12"/>
                          </w:rPr>
                          <w:t>8</w:t>
                        </w:r>
                      </w:p>
                    </w:txbxContent>
                  </v:textbox>
                </v:rect>
                <v:rect id="Rectangle 19260" o:spid="_x0000_s1240" style="position:absolute;left:1519;top:15731;width:24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BGscA&#10;AADeAAAADwAAAGRycy9kb3ducmV2LnhtbESPzW7CQAyE70h9h5Ur9QYbOCCSsiAEVHDkT4LerKyb&#10;RM16o+yWpDw9PlTqzZbHM/PNl72r1Z3aUHk2MB4loIhzbysuDFzOH8MZqBCRLdaeycAvBVguXgZz&#10;zKzv+Ej3UyyUmHDI0EAZY5NpHfKSHIaRb4jl9uVbh1HWttC2xU7MXa0nSTLVDiuWhBIbWpeUf59+&#10;nIHdrFnd9v7RFfX2c3c9XNPNOY3GvL32q3dQkfr4L/773lupn06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lQRr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61" o:spid="_x0000_s1241" style="position:absolute;left:1685;top:15731;width:49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kgcMA&#10;AADeAAAADwAAAGRycy9kb3ducmV2LnhtbERPS4vCMBC+C/6HMMLeNNWD2GoU2Qd69AXV29CMbdlm&#10;Upqs7frrjSB4m4/vOYtVZypxo8aVlhWMRxEI4szqknMFp+PPcAbCeWSNlWVS8E8OVst+b4GJti3v&#10;6XbwuQgh7BJUUHhfJ1K6rCCDbmRr4sBdbWPQB9jkUjfYhnBTyUkUTaXBkkNDgTV9FpT9Hv6Mgs2s&#10;Xp+39t7m1fdlk+7S+OsYe6U+Bt16DsJT59/il3urw/x4Mh3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nkgcMAAADeAAAADwAAAAAAAAAAAAAAAACYAgAAZHJzL2Rv&#10;d25yZXYueG1sUEsFBgAAAAAEAAQA9QAAAIgDA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62" o:spid="_x0000_s1242" style="position:absolute;left:2098;top:15731;width:49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69sUA&#10;AADeAAAADwAAAGRycy9kb3ducmV2LnhtbERPTWvCQBC9F/wPywi91U1zCCa6hlAt5tiqoN6G7DQJ&#10;zc6G7Nak/fXdQsHbPN7nrPPJdOJGg2stK3heRCCIK6tbrhWcjq9PSxDOI2vsLJOCb3KQb2YPa8y0&#10;HfmdbgdfixDCLkMFjfd9JqWrGjLoFrYnDtyHHQz6AIda6gHHEG46GUdRIg22HBoa7Omloerz8GUU&#10;7Jd9cSntz1h3u+v+/HZOt8fUK/U4n4oVCE+Tv4v/3aUO89M4i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3r2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63" o:spid="_x0000_s1243" style="position:absolute;left:858;top:13719;width:32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bcQA&#10;AADeAAAADwAAAGRycy9kb3ducmV2LnhtbERPS4vCMBC+L+x/CLPgbU1XQWw1iqwuevQF6m1oxrbY&#10;TEqTtdVfbwTB23x8zxlPW1OKK9WusKzgpxuBIE6tLjhTsN/9fQ9BOI+ssbRMCm7kYDr5/Bhjom3D&#10;G7pufSZCCLsEFeTeV4mULs3JoOvaijhwZ1sb9AHWmdQ1NiHclLIXRQNpsODQkGNFvzmll+2/UbAc&#10;VrPjyt6brFyclof1IZ7vYq9U56udjUB4av1b/HKvdJgf9wZ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3323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64" o:spid="_x0000_s1244" style="position:absolute;left:1106;top:13719;width:49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HGcQA&#10;AADeAAAADwAAAGRycy9kb3ducmV2LnhtbERPS4vCMBC+L+x/CLPgbU1XRGw1iqwuevQF6m1oxrbY&#10;TEqTtdVfbwTB23x8zxlPW1OKK9WusKzgpxuBIE6tLjhTsN/9fQ9BOI+ssbRMCm7kYDr5/Bhjom3D&#10;G7pufSZCCLsEFeTeV4mULs3JoOvaijhwZ1sb9AHWmdQ1NiHclLIXRQNpsODQkGNFvzmll+2/UbAc&#10;VrPjyt6brFyclof1IZ7vYq9U56udjUB4av1b/HKvdJgf9wZ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eRxn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6</w:t>
                        </w:r>
                      </w:p>
                    </w:txbxContent>
                  </v:textbox>
                </v:rect>
                <v:rect id="Rectangle 19265" o:spid="_x0000_s1245" style="position:absolute;left:1519;top:13719;width:24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igsQA&#10;AADeAAAADwAAAGRycy9kb3ducmV2LnhtbERPS4vCMBC+L+x/CLPgbU1XUGw1iqwuevQF6m1oxrbY&#10;TEqTtdVfbwTB23x8zxlPW1OKK9WusKzgpxuBIE6tLjhTsN/9fQ9BOI+ssbRMCm7kYDr5/Bhjom3D&#10;G7pufSZCCLsEFeTeV4mULs3JoOvaijhwZ1sb9AHWmdQ1NiHclLIXRQNpsODQkGNFvzmll+2/UbAc&#10;VrPjyt6brFyclof1IZ7vYq9U56udjUB4av1b/HKvdJgf9wZ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4oL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66" o:spid="_x0000_s1246" style="position:absolute;left:1685;top:13719;width:49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89cUA&#10;AADeAAAADwAAAGRycy9kb3ducmV2LnhtbERPS2vCQBC+F/wPywje6qYegkmzCaEP9GhV0N6G7DQJ&#10;zc6G7NZEf323UPA2H99zsmIynbjQ4FrLCp6WEQjiyuqWawXHw/vjGoTzyBo7y6TgSg6KfPaQYart&#10;yB902ftahBB2KSpovO9TKV3VkEG3tD1x4L7sYNAHONRSDziGcNPJVRTF0mDLoaHBnl4aqr73P0bB&#10;Zt2X5629jXX39rk57U7J6yHxSi3mU/kMwtPk7+J/91aH+ckqjuH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Hz1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67" o:spid="_x0000_s1247" style="position:absolute;left:2098;top:13719;width:49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ZbsQA&#10;AADeAAAADwAAAGRycy9kb3ducmV2LnhtbERPTYvCMBC9C/6HMMLeNNWD2moUcVf06Kqg3oZmbIvN&#10;pDTRdv31ZmFhb/N4nzNftqYUT6pdYVnBcBCBIE6tLjhTcDpu+lMQziNrLC2Tgh9ysFx0O3NMtG34&#10;m54Hn4kQwi5BBbn3VSKlS3My6Aa2Ig7czdYGfYB1JnWNTQg3pRxF0VgaLDg05FjROqf0fngYBdtp&#10;tbrs7KvJyq/r9rw/x5/H2Cv10WtXMxCeWv8v/nPvdJgfj8YT+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M2W7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68" o:spid="_x0000_s1248" style="position:absolute;left:858;top:11708;width:329;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NHMcA&#10;AADeAAAADwAAAGRycy9kb3ducmV2LnhtbESPzW7CQAyE70h9h5Ur9QYbOCCSsiAEVHDkT4LerKyb&#10;RM16o+yWpDw9PlTqzdaMZz7Pl72r1Z3aUHk2MB4loIhzbysuDFzOH8MZqBCRLdaeycAvBVguXgZz&#10;zKzv+Ej3UyyUhHDI0EAZY5NpHfKSHIaRb4hF+/KtwyhrW2jbYifhrtaTJJlqhxVLQ4kNrUvKv08/&#10;zsBu1qxue//oinr7ubserunmnEZj3l771TuoSH38N/9d763gp5Op8Mo7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TTRz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69" o:spid="_x0000_s1249" style="position:absolute;left:1106;top:11708;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h8QA&#10;AADeAAAADwAAAGRycy9kb3ducmV2LnhtbERPS4vCMBC+C/sfwix401QPYrtGEXXRo4+F7t6GZmyL&#10;zaQ0WVv99UYQvM3H95zZojOVuFLjSssKRsMIBHFmdcm5gp/T92AKwnlkjZVlUnAjB4v5R2+GibYt&#10;H+h69LkIIewSVFB4XydSuqwgg25oa+LAnW1j0AfY5FI32IZwU8lxFE2kwZJDQ4E1rQrKLsd/o2A7&#10;rZe/O3tv82rzt033abw+xV6p/me3/ALhqfNv8cu902F+PJ7E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f6If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4</w:t>
                        </w:r>
                      </w:p>
                    </w:txbxContent>
                  </v:textbox>
                </v:rect>
                <v:rect id="Rectangle 19270" o:spid="_x0000_s1250" style="position:absolute;left:1519;top:11708;width:248;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Xx8cA&#10;AADeAAAADwAAAGRycy9kb3ducmV2LnhtbESPzW7CQAyE70i8w8pIvcEGDi0JLAj1R3CkUAm4WVmT&#10;RGS9UXZL0j49PlTqzZbHM/Mt172r1Z3aUHk2MJ0koIhzbysuDHwdP8ZzUCEiW6w9k4EfCrBeDQdL&#10;zKzv+JPuh1goMeGQoYEyxibTOuQlOQwT3xDL7epbh1HWttC2xU7MXa1nSfKsHVYsCSU29FpSfjt8&#10;OwPbebM57/xvV9Tvl+1pf0rfjmk05mnUbxagIvXxX/z3vbNSP529CI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818f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71" o:spid="_x0000_s1251" style="position:absolute;left:1685;top:11708;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yXMQA&#10;AADeAAAADwAAAGRycy9kb3ducmV2LnhtbERPS4vCMBC+C/sfwix401QPaqtRZFfRo48F19vQzLZl&#10;m0lpoq3+eiMI3ubje85s0ZpSXKl2hWUFg34Egji1uuBMwc9x3ZuAcB5ZY2mZFNzIwWL+0Zlhom3D&#10;e7oefCZCCLsEFeTeV4mULs3JoOvbijhwf7Y26AOsM6lrbEK4KeUwikbSYMGhIceKvnJK/w8Xo2Az&#10;qZa/W3tvsnJ13px2p/j7GHulup/tcgrCU+vf4pd7q8P8eDgewP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wclz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72" o:spid="_x0000_s1252" style="position:absolute;left:2098;top:11708;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sK8UA&#10;AADeAAAADwAAAGRycy9kb3ducmV2LnhtbERPTWvCQBC9F/wPywi91Y05tCbNRkRb9FiNYHsbstMk&#10;mJ0N2a1J++u7guBtHu9zsuVoWnGh3jWWFcxnEQji0uqGKwXH4v1pAcJ5ZI2tZVLwSw6W+eQhw1Tb&#10;gfd0OfhKhBB2KSqove9SKV1Zk0E3sx1x4L5tb9AH2FdS9ziEcNPKOIqepcGGQ0ONHa1rKs+HH6Ng&#10;u+hWnzv7N1Tt29f29HFKNkXilXqcjqtXEJ5Gfxff3Dsd5ifxSwz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uwr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73" o:spid="_x0000_s1253" style="position:absolute;left:858;top:9696;width:329;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JsMUA&#10;AADeAAAADwAAAGRycy9kb3ducmV2LnhtbERPTWvCQBC9C/6HZQredFOFamJWEVvRY9VC6m3ITpPQ&#10;7GzIribtr+8WBG/zeJ+TrntTixu1rrKs4HkSgSDOra64UPBx3o0XIJxH1lhbJgU/5GC9Gg5STLTt&#10;+Ei3ky9ECGGXoILS+yaR0uUlGXQT2xAH7su2Bn2AbSF1i10IN7WcRtGLNFhxaCixoW1J+ffpahTs&#10;F83m82B/u6J+u+yz9yx+PcdeqdFTv1mC8NT7h/juPugwP57O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mw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74" o:spid="_x0000_s1254" style="position:absolute;left:1106;top:9696;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RxMUA&#10;AADeAAAADwAAAGRycy9kb3ducmV2LnhtbERPTWvCQBC9C/6HZQredFORamJWEVvRY9VC6m3ITpPQ&#10;7GzIribtr+8WBG/zeJ+TrntTixu1rrKs4HkSgSDOra64UPBx3o0XIJxH1lhbJgU/5GC9Gg5STLTt&#10;+Ei3ky9ECGGXoILS+yaR0uUlGXQT2xAH7su2Bn2AbSF1i10IN7WcRtGLNFhxaCixoW1J+ffpahTs&#10;F83m82B/u6J+u+yz9yx+PcdeqdFTv1mC8NT7h/juPugwP57O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9HE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2</w:t>
                        </w:r>
                      </w:p>
                    </w:txbxContent>
                  </v:textbox>
                </v:rect>
                <v:rect id="Rectangle 19275" o:spid="_x0000_s1255" style="position:absolute;left:1519;top:9696;width:248;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0X8UA&#10;AADeAAAADwAAAGRycy9kb3ducmV2LnhtbERPTWvCQBC9C/6HZQredFPBamJWEVvRY9VC6m3ITpPQ&#10;7GzIribtr+8WBG/zeJ+TrntTixu1rrKs4HkSgSDOra64UPBx3o0XIJxH1lhbJgU/5GC9Gg5STLTt&#10;+Ei3ky9ECGGXoILS+yaR0uUlGXQT2xAH7su2Bn2AbSF1i10IN7WcRtGLNFhxaCixoW1J+ffpahTs&#10;F83m82B/u6J+u+yz9yx+PcdeqdFTv1mC8NT7h/juPugwP57O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3Rf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19276" o:spid="_x0000_s1256" style="position:absolute;left:1685;top:9696;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qKMQA&#10;AADeAAAADwAAAGRycy9kb3ducmV2LnhtbERPTYvCMBC9C/6HMMLeNNWD2moUcVf06Kqg3oZmbIvN&#10;pDTRdv31ZmFhb/N4nzNftqYUT6pdYVnBcBCBIE6tLjhTcDpu+lMQziNrLC2Tgh9ysFx0O3NMtG34&#10;m54Hn4kQwi5BBbn3VSKlS3My6Aa2Ig7czdYGfYB1JnWNTQg3pRxF0VgaLDg05FjROqf0fngYBdtp&#10;tbrs7KvJyq/r9rw/x5/H2Cv10WtXMxCeWv8v/nPvdJgfjyZj+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Z6ij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19277" o:spid="_x0000_s1257" style="position:absolute;left:2098;top:9696;width:49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Ps8QA&#10;AADeAAAADwAAAGRycy9kb3ducmV2LnhtbERPS4vCMBC+L+x/CLPgbU3Xg9pqFFld9OgL1NvQjG2x&#10;mZQma6u/3giCt/n4njOetqYUV6pdYVnBTzcCQZxaXXCmYL/7+x6CcB5ZY2mZFNzIwXTy+THGRNuG&#10;N3Td+kyEEHYJKsi9rxIpXZqTQde1FXHgzrY26AOsM6lrbEK4KWUvivrSYMGhIceKfnNKL9t/o2A5&#10;rGbHlb03Wbk4LQ/rQzzfxV6pzlc7G4Hw1Pq3+OVe6TA/7g0G8Hwn3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T7P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0</w:t>
                        </w:r>
                      </w:p>
                    </w:txbxContent>
                  </v:textbox>
                </v:rect>
                <v:rect id="Rectangle 200724" o:spid="_x0000_s1258" style="position:absolute;left:1636;top:7695;width:105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du8YA&#10;AADfAAAADwAAAGRycy9kb3ducmV2LnhtbESPT4vCMBTE7wt+h/AEb2uqyK5Wo4h/0KOrgnp7NM+2&#10;2LyUJtqun94IC3scZuY3zGTWmEI8qHK5ZQW9bgSCOLE651TB8bD+HIJwHlljYZkU/JKD2bT1McFY&#10;25p/6LH3qQgQdjEqyLwvYyldkpFB17UlcfCutjLog6xSqSusA9wUsh9FX9JgzmEhw5IWGSW3/d0o&#10;2AzL+Xlrn3VarC6b0+40Wh5GXqlOu5mPQXhq/H/4r73VCgLxuz+A95/wBeT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odu8YAAADfAAAADwAAAAAAAAAAAAAAAACYAgAAZHJz&#10;L2Rvd25yZXYueG1sUEsFBgAAAAAEAAQA9QAAAIsDAAAAAA==&#10;" filled="f" stroked="f">
                  <v:textbox inset="0,0,0,0">
                    <w:txbxContent>
                      <w:p w:rsidR="00EE13F6" w:rsidRDefault="002E5BC4">
                        <w:r>
                          <w:rPr>
                            <w:color w:val="585858"/>
                            <w:sz w:val="12"/>
                          </w:rPr>
                          <w:t>00</w:t>
                        </w:r>
                      </w:p>
                    </w:txbxContent>
                  </v:textbox>
                </v:rect>
                <v:rect id="Rectangle 200723" o:spid="_x0000_s1259" style="position:absolute;left:1057;top:7695;width:50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Fz8YA&#10;AADfAAAADwAAAGRycy9kb3ducmV2LnhtbESPT4vCMBTE7wt+h/AEb2uqwq5Wo4h/0KOrgnp7NM+2&#10;2LyUJtqun94IC3scZuY3zGTWmEI8qHK5ZQW9bgSCOLE651TB8bD+HIJwHlljYZkU/JKD2bT1McFY&#10;25p/6LH3qQgQdjEqyLwvYyldkpFB17UlcfCutjLog6xSqSusA9wUsh9FX9JgzmEhw5IWGSW3/d0o&#10;2AzL+Xlrn3VarC6b0+40Wh5GXqlOu5mPQXhq/H/4r73VCgLxuz+A95/wBeT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OFz8YAAADfAAAADwAAAAAAAAAAAAAAAACYAgAAZHJz&#10;L2Rvd25yZXYueG1sUEsFBgAAAAAEAAQA9QAAAIsDAAAAAA==&#10;" filled="f" stroked="f">
                  <v:textbox inset="0,0,0,0">
                    <w:txbxContent>
                      <w:p w:rsidR="00EE13F6" w:rsidRDefault="002E5BC4">
                        <w:r>
                          <w:rPr>
                            <w:color w:val="585858"/>
                            <w:sz w:val="12"/>
                          </w:rPr>
                          <w:t>0</w:t>
                        </w:r>
                      </w:p>
                    </w:txbxContent>
                  </v:textbox>
                </v:rect>
                <v:rect id="Rectangle 200725" o:spid="_x0000_s1260" style="position:absolute;left:1471;top:7695;width:247;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4IMYA&#10;AADfAAAADwAAAGRycy9kb3ducmV2LnhtbESPT4vCMBTE7wt+h/AEb2uq4K5Wo4h/0KOrgnp7NM+2&#10;2LyUJtqun94IC3scZuY3zGTWmEI8qHK5ZQW9bgSCOLE651TB8bD+HIJwHlljYZkU/JKD2bT1McFY&#10;25p/6LH3qQgQdjEqyLwvYyldkpFB17UlcfCutjLog6xSqSusA9wUsh9FX9JgzmEhw5IWGSW3/d0o&#10;2AzL+Xlrn3VarC6b0+40Wh5GXqlOu5mPQXhq/H/4r73VCgLxuz+A95/wBeT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a4IMYAAADfAAAADwAAAAAAAAAAAAAAAACYAgAAZHJz&#10;L2Rvd25yZXYueG1sUEsFBgAAAAAEAAQA9QAAAIsDAAAAAA==&#10;" filled="f" stroked="f">
                  <v:textbox inset="0,0,0,0">
                    <w:txbxContent>
                      <w:p w:rsidR="00EE13F6" w:rsidRDefault="002E5BC4">
                        <w:r>
                          <w:rPr>
                            <w:color w:val="585858"/>
                            <w:sz w:val="12"/>
                          </w:rPr>
                          <w:t>,</w:t>
                        </w:r>
                      </w:p>
                    </w:txbxContent>
                  </v:textbox>
                </v:rect>
                <v:rect id="Rectangle 200721" o:spid="_x0000_s1261" style="position:absolute;left:1636;top:5683;width:105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2+I8YA&#10;AADfAAAADwAAAGRycy9kb3ducmV2LnhtbESPT4vCMBTE74LfITxhb5rqwT/VKKIrety1gnp7NM+2&#10;2LyUJmu7fvrNguBxmJnfMItVa0rxoNoVlhUMBxEI4tTqgjMFp2TXn4JwHlljaZkU/JKD1bLbWWCs&#10;bcPf9Dj6TAQIuxgV5N5XsZQuzcmgG9iKOHg3Wxv0QdaZ1DU2AW5KOYqisTRYcFjIsaJNTun9+GMU&#10;7KfV+nKwzyYrP6/789d5tk1mXqmPXrueg/DU+nf41T5oBYE4GQ3h/0/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2+I8YAAADfAAAADwAAAAAAAAAAAAAAAACYAgAAZHJz&#10;L2Rvd25yZXYueG1sUEsFBgAAAAAEAAQA9QAAAIsDAAAAAA==&#10;" filled="f" stroked="f">
                  <v:textbox inset="0,0,0,0">
                    <w:txbxContent>
                      <w:p w:rsidR="00EE13F6" w:rsidRDefault="002E5BC4">
                        <w:r>
                          <w:rPr>
                            <w:color w:val="585858"/>
                            <w:sz w:val="12"/>
                          </w:rPr>
                          <w:t>00</w:t>
                        </w:r>
                      </w:p>
                    </w:txbxContent>
                  </v:textbox>
                </v:rect>
                <v:rect id="Rectangle 200722" o:spid="_x0000_s1262" style="position:absolute;left:1471;top:5683;width:247;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8gVMYA&#10;AADfAAAADwAAAGRycy9kb3ducmV2LnhtbESPT4vCMBTE78J+h/AWvGlqD6tWo8iuix79s6DeHs2z&#10;LTYvpYm2+umNIOxxmJnfMNN5a0pxo9oVlhUM+hEI4tTqgjMFf/vf3giE88gaS8uk4E4O5rOPzhQT&#10;bRve0m3nMxEg7BJUkHtfJVK6NCeDrm8r4uCdbW3QB1lnUtfYBLgpZRxFX9JgwWEhx4q+c0ovu6tR&#10;sBpVi+PaPpqsXJ5Wh81h/LMfe6W6n+1iAsJT6//D7/ZaKwjEYRzD60/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8gVMYAAADfAAAADwAAAAAAAAAAAAAAAACYAgAAZHJz&#10;L2Rvd25yZXYueG1sUEsFBgAAAAAEAAQA9QAAAIsDAAAAAA==&#10;" filled="f" stroked="f">
                  <v:textbox inset="0,0,0,0">
                    <w:txbxContent>
                      <w:p w:rsidR="00EE13F6" w:rsidRDefault="002E5BC4">
                        <w:r>
                          <w:rPr>
                            <w:color w:val="585858"/>
                            <w:sz w:val="12"/>
                          </w:rPr>
                          <w:t>,</w:t>
                        </w:r>
                      </w:p>
                    </w:txbxContent>
                  </v:textbox>
                </v:rect>
                <v:rect id="Rectangle 200720" o:spid="_x0000_s1263" style="position:absolute;left:1057;top:5683;width:50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buMYA&#10;AADfAAAADwAAAGRycy9kb3ducmV2LnhtbESPQWvCQBCF7wX/wzKCt7qph6rRVURb9GhVsL0N2TEJ&#10;zc6G7NZEf71zKHgc3rzv8c2XnavUlZpQejbwNkxAEWfelpwbOB0/XyegQkS2WHkmAzcKsFz0XuaY&#10;Wt/yF10PMVcC4ZCigSLGOtU6ZAU5DENfE0t28Y3DKGeTa9tgK3BX6VGSvGuHJctCgTWtC8p+D3/O&#10;wHZSr753/t7m1cfP9rw/TzfHaTRm0O9WM1CRuvh8/m/vrAEhjkdiID7iAn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EbuMYAAADfAAAADwAAAAAAAAAAAAAAAACYAgAAZHJz&#10;L2Rvd25yZXYueG1sUEsFBgAAAAAEAAQA9QAAAIsDAAAAAA==&#10;" filled="f" stroked="f">
                  <v:textbox inset="0,0,0,0">
                    <w:txbxContent>
                      <w:p w:rsidR="00EE13F6" w:rsidRDefault="002E5BC4">
                        <w:r>
                          <w:rPr>
                            <w:color w:val="585858"/>
                            <w:sz w:val="12"/>
                          </w:rPr>
                          <w:t>2</w:t>
                        </w:r>
                      </w:p>
                    </w:txbxContent>
                  </v:textbox>
                </v:rect>
                <v:rect id="Rectangle 200726" o:spid="_x0000_s1264" style="position:absolute;left:4805;top:8618;width:50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mV8gA&#10;AADfAAAADwAAAGRycy9kb3ducmV2LnhtbESPzWrDMBCE74G8g9hCb7HcHPLjRgkhbYiPrV1we1us&#10;rW1qrYylxG6evioEchxm5htmsxtNKy7Uu8aygqcoBkFcWt1wpeAjP85WIJxH1thaJgW/5GC3nU42&#10;mGg78DtdMl+JAGGXoILa+y6R0pU1GXSR7YiD9217gz7IvpK6xyHATSvncbyQBhsOCzV2dKip/MnO&#10;RsFp1e0/U3sdqvb161S8FeuXfO2VenwY988gPI3+Hr61U60gEJfzBfz/CV9Ab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VCZXyAAAAN8AAAAPAAAAAAAAAAAAAAAAAJgCAABk&#10;cnMvZG93bnJldi54bWxQSwUGAAAAAAQABAD1AAAAjQMAAAAA&#10;" filled="f" stroked="f">
                  <v:textbox inset="0,0,0,0">
                    <w:txbxContent>
                      <w:p w:rsidR="00EE13F6" w:rsidRDefault="002E5BC4">
                        <w:r>
                          <w:rPr>
                            <w:color w:val="585858"/>
                            <w:sz w:val="12"/>
                          </w:rPr>
                          <w:t>1</w:t>
                        </w:r>
                      </w:p>
                    </w:txbxContent>
                  </v:textbox>
                </v:rect>
                <v:rect id="Rectangle 200727" o:spid="_x0000_s1265" style="position:absolute;left:5384;top:8618;width:105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DzMcA&#10;AADfAAAADwAAAGRycy9kb3ducmV2LnhtbESPQWvCQBSE74L/YXlCb2ajh5pEVxHbosdWhejtkX0m&#10;wezbkN2atL++Wyj0OMzMN8xqM5hGPKhztWUFsygGQVxYXXOp4Hx6myYgnEfW2FgmBV/kYLMej1aY&#10;advzBz2OvhQBwi5DBZX3bSalKyoy6CLbEgfvZjuDPsiulLrDPsBNI+dx/CwN1hwWKmxpV1FxP34a&#10;Bfuk3V4O9rsvm9frPn/P05dT6pV6mgzbJQhPg/8P/7UPWkEgLuYL+P0Tv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Yg8zHAAAA3wAAAA8AAAAAAAAAAAAAAAAAmAIAAGRy&#10;cy9kb3ducmV2LnhtbFBLBQYAAAAABAAEAPUAAACMAwAAAAA=&#10;" filled="f" stroked="f">
                  <v:textbox inset="0,0,0,0">
                    <w:txbxContent>
                      <w:p w:rsidR="00EE13F6" w:rsidRDefault="002E5BC4">
                        <w:r>
                          <w:rPr>
                            <w:color w:val="585858"/>
                            <w:sz w:val="12"/>
                          </w:rPr>
                          <w:t>25</w:t>
                        </w:r>
                      </w:p>
                    </w:txbxContent>
                  </v:textbox>
                </v:rect>
                <v:rect id="Rectangle 200728" o:spid="_x0000_s1266" style="position:absolute;left:5218;top:8618;width:248;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XvscA&#10;AADfAAAADwAAAGRycy9kb3ducmV2LnhtbESPwW7CMAyG75N4h8hI3EY6DgMKASHYBEcGSGw3qzFt&#10;tcapmowWnh4fJnG0fv+f/c2XnavUlZpQejbwNkxAEWfelpwbOB0/XyegQkS2WHkmAzcKsFz0XuaY&#10;Wt/yF10PMVcC4ZCigSLGOtU6ZAU5DENfE0t28Y3DKGOTa9tgK3BX6VGSvGuHJcuFAmtaF5T9Hv6c&#10;ge2kXn3v/L3Nq4+f7Xl/nm6O02jMoN+tZqAidfG5/N/eWQNCHI/kYfERF9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F77HAAAA3wAAAA8AAAAAAAAAAAAAAAAAmAIAAGRy&#10;cy9kb3ducmV2LnhtbFBLBQYAAAAABAAEAPUAAACMAwAAAAA=&#10;" filled="f" stroked="f">
                  <v:textbox inset="0,0,0,0">
                    <w:txbxContent>
                      <w:p w:rsidR="00EE13F6" w:rsidRDefault="002E5BC4">
                        <w:r>
                          <w:rPr>
                            <w:color w:val="585858"/>
                            <w:sz w:val="12"/>
                          </w:rPr>
                          <w:t>,</w:t>
                        </w:r>
                      </w:p>
                    </w:txbxContent>
                  </v:textbox>
                </v:rect>
                <v:rect id="Rectangle 200730" o:spid="_x0000_s1267" style="position:absolute;left:10069;top:8618;width:105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ZccA&#10;AADfAAAADwAAAGRycy9kb3ducmV2LnhtbESPTWvCQBCG70L/wzKCN93YgtXoKtJW9OhHwXobstMk&#10;NDsbsqtJ++udQ8Hj8M77vDyLVecqdaMmlJ4NjEcJKOLM25JzA5+nzXAKKkRki5VnMvBLAVbLp94C&#10;U+tbPtDtGHMlEA4pGihirFOtQ1aQwzDyNbFk375xGOVscm0bbAXuKv2cJBPtsGRZKLCmt4Kyn+PV&#10;GdhO6/XXzv+1efVx2Z7359n7aRaNGfS79RxUpC4+nv/bO2tAiK8vYiA+4gJ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ojWXHAAAA3wAAAA8AAAAAAAAAAAAAAAAAmAIAAGRy&#10;cy9kb3ducmV2LnhtbFBLBQYAAAAABAAEAPUAAACMAwAAAAA=&#10;" filled="f" stroked="f">
                  <v:textbox inset="0,0,0,0">
                    <w:txbxContent>
                      <w:p w:rsidR="00EE13F6" w:rsidRDefault="002E5BC4">
                        <w:r>
                          <w:rPr>
                            <w:color w:val="585858"/>
                            <w:sz w:val="12"/>
                          </w:rPr>
                          <w:t>43</w:t>
                        </w:r>
                      </w:p>
                    </w:txbxContent>
                  </v:textbox>
                </v:rect>
                <v:rect id="Rectangle 200731" o:spid="_x0000_s1268" style="position:absolute;left:9903;top:8618;width:248;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o/scA&#10;AADfAAAADwAAAGRycy9kb3ducmV2LnhtbESPQWvCQBSE7wX/w/IEb3WjQhtTVxG1mGObCNrbI/ua&#10;hGbfhuzWpP56t1DocZiZb5jVZjCNuFLnassKZtMIBHFhdc2lglP++hiDcB5ZY2OZFPyQg8169LDC&#10;RNue3+ma+VIECLsEFVTet4mUrqjIoJvaljh4n7Yz6IPsSqk77APcNHIeRU/SYM1hocKWdhUVX9m3&#10;UXCM2+0ltbe+bA4fx/PbebnPl16pyXjYvoDwNPj/8F871QoC8Xkxg98/4Q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kKP7HAAAA3wAAAA8AAAAAAAAAAAAAAAAAmAIAAGRy&#10;cy9kb3ducmV2LnhtbFBLBQYAAAAABAAEAPUAAACMAwAAAAA=&#10;" filled="f" stroked="f">
                  <v:textbox inset="0,0,0,0">
                    <w:txbxContent>
                      <w:p w:rsidR="00EE13F6" w:rsidRDefault="002E5BC4">
                        <w:r>
                          <w:rPr>
                            <w:color w:val="585858"/>
                            <w:sz w:val="12"/>
                          </w:rPr>
                          <w:t>,</w:t>
                        </w:r>
                      </w:p>
                    </w:txbxContent>
                  </v:textbox>
                </v:rect>
                <v:rect id="Rectangle 200729" o:spid="_x0000_s1269" style="position:absolute;left:9490;top:8618;width:501;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yJccA&#10;AADfAAAADwAAAGRycy9kb3ducmV2LnhtbESPQWvCQBSE7wX/w/KE3uqmOVgTXUW0khzbKNjeHtln&#10;Epp9G7Jbk/bXdwuCx2FmvmFWm9G04kq9aywreJ5FIIhLqxuuFJyOh6cFCOeRNbaWScEPOdisJw8r&#10;TLUd+J2uha9EgLBLUUHtfZdK6cqaDLqZ7YiDd7G9QR9kX0nd4xDgppVxFM2lwYbDQo0d7Woqv4pv&#10;oyBbdNuP3P4OVfv6mZ3fzsn+mHilHqfjdgnC0+jv4Vs71woC8SVO4P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siXHAAAA3wAAAA8AAAAAAAAAAAAAAAAAmAIAAGRy&#10;cy9kb3ducmV2LnhtbFBLBQYAAAAABAAEAPUAAACMAwAAAAA=&#10;" filled="f" stroked="f">
                  <v:textbox inset="0,0,0,0">
                    <w:txbxContent>
                      <w:p w:rsidR="00EE13F6" w:rsidRDefault="002E5BC4">
                        <w:r>
                          <w:rPr>
                            <w:color w:val="585858"/>
                            <w:sz w:val="12"/>
                          </w:rPr>
                          <w:t>1</w:t>
                        </w:r>
                      </w:p>
                    </w:txbxContent>
                  </v:textbox>
                </v:rect>
                <v:rect id="Rectangle 200733" o:spid="_x0000_s1270" style="position:absolute;left:14754;top:8618;width:105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TEscA&#10;AADfAAAADwAAAGRycy9kb3ducmV2LnhtbESPQWvCQBSE74X+h+UVequbKrQaXUVqS3K0UVBvj+wz&#10;CWbfhuw2Sf31rlDocZiZb5jFajC16Kh1lWUFr6MIBHFudcWFgv3u62UKwnlkjbVlUvBLDlbLx4cF&#10;xtr2/E1d5gsRIOxiVFB638RSurwkg25kG+LgnW1r0AfZFlK32Ae4qeU4it6kwYrDQokNfZSUX7If&#10;oyCZNutjaq99UX+eksP2MNvsZl6p56dhPQfhafD/4b92qhUE4vtkAvc/4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6ExLHAAAA3wAAAA8AAAAAAAAAAAAAAAAAmAIAAGRy&#10;cy9kb3ducmV2LnhtbFBLBQYAAAAABAAEAPUAAACMAwAAAAA=&#10;" filled="f" stroked="f">
                  <v:textbox inset="0,0,0,0">
                    <w:txbxContent>
                      <w:p w:rsidR="00EE13F6" w:rsidRDefault="002E5BC4">
                        <w:r>
                          <w:rPr>
                            <w:color w:val="585858"/>
                            <w:sz w:val="12"/>
                          </w:rPr>
                          <w:t>67</w:t>
                        </w:r>
                      </w:p>
                    </w:txbxContent>
                  </v:textbox>
                </v:rect>
                <v:rect id="Rectangle 200734" o:spid="_x0000_s1271" style="position:absolute;left:14588;top:8618;width:247;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LZsgA&#10;AADfAAAADwAAAGRycy9kb3ducmV2LnhtbESPT2vCQBTE7wW/w/KE3uqmVqxJXUX8gx5tLKS9PbKv&#10;STD7NmRXk/bTdwuCx2FmfsPMl72pxZVaV1lW8DyKQBDnVldcKPg47Z5mIJxH1lhbJgU/5GC5GDzM&#10;MdG243e6pr4QAcIuQQWl900ipctLMuhGtiEO3rdtDfog20LqFrsAN7UcR9FUGqw4LJTY0Lqk/Jxe&#10;jIL9rFl9HuxvV9Tbr312zOLNKfZKPQ771RsIT72/h2/tg1YQiK8vE/j/E7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4tmyAAAAN8AAAAPAAAAAAAAAAAAAAAAAJgCAABk&#10;cnMvZG93bnJldi54bWxQSwUGAAAAAAQABAD1AAAAjQMAAAAA&#10;" filled="f" stroked="f">
                  <v:textbox inset="0,0,0,0">
                    <w:txbxContent>
                      <w:p w:rsidR="00EE13F6" w:rsidRDefault="002E5BC4">
                        <w:r>
                          <w:rPr>
                            <w:color w:val="585858"/>
                            <w:sz w:val="12"/>
                          </w:rPr>
                          <w:t>,</w:t>
                        </w:r>
                      </w:p>
                    </w:txbxContent>
                  </v:textbox>
                </v:rect>
                <v:rect id="Rectangle 200732" o:spid="_x0000_s1272" style="position:absolute;left:14174;top:8618;width:50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2icYA&#10;AADfAAAADwAAAGRycy9kb3ducmV2LnhtbESPT4vCMBTE7wt+h/AEb2uqwq5Wo4h/0KOrgnp7NM+2&#10;2LyUJtqun94IC3scZuY3zGTWmEI8qHK5ZQW9bgSCOLE651TB8bD+HIJwHlljYZkU/JKD2bT1McFY&#10;25p/6LH3qQgQdjEqyLwvYyldkpFB17UlcfCutjLog6xSqSusA9wUsh9FX9JgzmEhw5IWGSW3/d0o&#10;2AzL+Xlrn3VarC6b0+40Wh5GXqlOu5mPQXhq/H/4r73VCgLxe9CH95/wBeT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a2icYAAADfAAAADwAAAAAAAAAAAAAAAACYAgAAZHJz&#10;L2Rvd25yZXYueG1sUEsFBgAAAAAEAAQA9QAAAIsDAAAAAA==&#10;" filled="f" stroked="f">
                  <v:textbox inset="0,0,0,0">
                    <w:txbxContent>
                      <w:p w:rsidR="00EE13F6" w:rsidRDefault="002E5BC4">
                        <w:r>
                          <w:rPr>
                            <w:color w:val="585858"/>
                            <w:sz w:val="12"/>
                          </w:rPr>
                          <w:t>1</w:t>
                        </w:r>
                      </w:p>
                    </w:txbxContent>
                  </v:textbox>
                </v:rect>
                <v:rect id="Rectangle 200736" o:spid="_x0000_s1273" style="position:absolute;left:19438;top:8618;width:105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wisgA&#10;AADfAAAADwAAAGRycy9kb3ducmV2LnhtbESPT2vCQBTE70K/w/KE3nRjC/5JXUXaSnJso6C9PbKv&#10;SWj2bchuk+indwtCj8PM/IZZbwdTi45aV1lWMJtGIIhzqysuFBwP+8kShPPIGmvLpOBCDrabh9Ea&#10;Y217/qQu84UIEHYxKii9b2IpXV6SQTe1DXHwvm1r0AfZFlK32Ae4qeVTFM2lwYrDQokNvZaU/2S/&#10;RkGybHbn1F77on7/Sk4fp9XbYeWVehwPuxcQngb/H763U60gEBfPc/j7E76A3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jbCKyAAAAN8AAAAPAAAAAAAAAAAAAAAAAJgCAABk&#10;cnMvZG93bnJldi54bWxQSwUGAAAAAAQABAD1AAAAjQMAAAAA&#10;" filled="f" stroked="f">
                  <v:textbox inset="0,0,0,0">
                    <w:txbxContent>
                      <w:p w:rsidR="00EE13F6" w:rsidRDefault="002E5BC4">
                        <w:r>
                          <w:rPr>
                            <w:color w:val="585858"/>
                            <w:sz w:val="12"/>
                          </w:rPr>
                          <w:t>00</w:t>
                        </w:r>
                      </w:p>
                    </w:txbxContent>
                  </v:textbox>
                </v:rect>
                <v:rect id="Rectangle 200737" o:spid="_x0000_s1274" style="position:absolute;left:19273;top:8618;width:247;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VEccA&#10;AADfAAAADwAAAGRycy9kb3ducmV2LnhtbESPS4vCQBCE74L/YWjBm05U8JF1FPGBHndV0L01mTYJ&#10;ZnpCZjTRX7+zsLDHoqq+oubLxhTiSZXLLSsY9CMQxInVOacKzqddbwrCeWSNhWVS8CIHy0W7NcdY&#10;25q/6Hn0qQgQdjEqyLwvYyldkpFB17clcfButjLog6xSqSusA9wUchhFY2kw57CQYUnrjJL78WEU&#10;7Kfl6nqw7zottt/7y+dltjnNvFLdTrP6AOGp8f/hv/ZBKwjEyWgCv3/C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BFRHHAAAA3wAAAA8AAAAAAAAAAAAAAAAAmAIAAGRy&#10;cy9kb3ducmV2LnhtbFBLBQYAAAAABAAEAPUAAACMAwAAAAA=&#10;" filled="f" stroked="f">
                  <v:textbox inset="0,0,0,0">
                    <w:txbxContent>
                      <w:p w:rsidR="00EE13F6" w:rsidRDefault="002E5BC4">
                        <w:r>
                          <w:rPr>
                            <w:color w:val="585858"/>
                            <w:sz w:val="12"/>
                          </w:rPr>
                          <w:t>,</w:t>
                        </w:r>
                      </w:p>
                    </w:txbxContent>
                  </v:textbox>
                </v:rect>
                <v:rect id="Rectangle 200735" o:spid="_x0000_s1275" style="position:absolute;left:18859;top:8618;width:50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u/cgA&#10;AADfAAAADwAAAGRycy9kb3ducmV2LnhtbESPT2vCQBTE7wW/w/KE3uqmFq1JXUX8gx5tLKS9PbKv&#10;STD7NmRXk/bTdwuCx2FmfsPMl72pxZVaV1lW8DyKQBDnVldcKPg47Z5mIJxH1lhbJgU/5GC5GDzM&#10;MdG243e6pr4QAcIuQQWl900ipctLMuhGtiEO3rdtDfog20LqFrsAN7UcR9FUGqw4LJTY0Lqk/Jxe&#10;jIL9rFl9HuxvV9Tbr312zOLNKfZKPQ771RsIT72/h2/tg1YQiK8vE/j/E7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y79yAAAAN8AAAAPAAAAAAAAAAAAAAAAAJgCAABk&#10;cnMvZG93bnJldi54bWxQSwUGAAAAAAQABAD1AAAAjQMAAAAA&#10;" filled="f" stroked="f">
                  <v:textbox inset="0,0,0,0">
                    <w:txbxContent>
                      <w:p w:rsidR="00EE13F6" w:rsidRDefault="002E5BC4">
                        <w:r>
                          <w:rPr>
                            <w:color w:val="585858"/>
                            <w:sz w:val="12"/>
                          </w:rPr>
                          <w:t>2</w:t>
                        </w:r>
                      </w:p>
                    </w:txbxContent>
                  </v:textbox>
                </v:rect>
                <v:rect id="Rectangle 200739" o:spid="_x0000_s1276" style="position:absolute;left:24123;top:8618;width:105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k+McA&#10;AADfAAAADwAAAGRycy9kb3ducmV2LnhtbESPT2vCQBTE74LfYXmCN91UQU10FfEPeqxasL09ss8k&#10;NPs2ZFcT++m7BaHHYWZ+wyxWrSnFg2pXWFbwNoxAEKdWF5wp+LjsBzMQziNrLC2Tgic5WC27nQUm&#10;2jZ8osfZZyJA2CWoIPe+SqR0aU4G3dBWxMG72dqgD7LOpK6xCXBTylEUTaTBgsNCjhVtckq/z3ej&#10;4DCr1p9H+9Nk5e7rcH2/xttL7JXq99r1HISn1v+HX+2jVhCI03EM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JPjHAAAA3wAAAA8AAAAAAAAAAAAAAAAAmAIAAGRy&#10;cy9kb3ducmV2LnhtbFBLBQYAAAAABAAEAPUAAACMAwAAAAA=&#10;" filled="f" stroked="f">
                  <v:textbox inset="0,0,0,0">
                    <w:txbxContent>
                      <w:p w:rsidR="00EE13F6" w:rsidRDefault="002E5BC4">
                        <w:r>
                          <w:rPr>
                            <w:color w:val="585858"/>
                            <w:sz w:val="12"/>
                          </w:rPr>
                          <w:t>50</w:t>
                        </w:r>
                      </w:p>
                    </w:txbxContent>
                  </v:textbox>
                </v:rect>
                <v:rect id="Rectangle 200740" o:spid="_x0000_s1277" style="position:absolute;left:23957;top:8618;width:248;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GMcA&#10;AADfAAAADwAAAGRycy9kb3ducmV2LnhtbESPTWvCQBCG70L/wzKCN91YitXoKtJW9OhHwXobstMk&#10;NDsbsqtJ++udQ8Hj8M77vDyLVecqdaMmlJ4NjEcJKOLM25JzA5+nzXAKKkRki5VnMvBLAVbLp94C&#10;U+tbPtDtGHMlEA4pGihirFOtQ1aQwzDyNbFk375xGOVscm0bbAXuKv2cJBPtsGRZKLCmt4Kyn+PV&#10;GdhO6/XXzv+1efVx2Z7359n7aRaNGfS79RxUpC4+nv/bO2tAiK8vYiA+4gJ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u/hjHAAAA3wAAAA8AAAAAAAAAAAAAAAAAmAIAAGRy&#10;cy9kb3ducmV2LnhtbFBLBQYAAAAABAAEAPUAAACMAwAAAAA=&#10;" filled="f" stroked="f">
                  <v:textbox inset="0,0,0,0">
                    <w:txbxContent>
                      <w:p w:rsidR="00EE13F6" w:rsidRDefault="002E5BC4">
                        <w:r>
                          <w:rPr>
                            <w:color w:val="585858"/>
                            <w:sz w:val="12"/>
                          </w:rPr>
                          <w:t>,</w:t>
                        </w:r>
                      </w:p>
                    </w:txbxContent>
                  </v:textbox>
                </v:rect>
                <v:rect id="Rectangle 200738" o:spid="_x0000_s1278" style="position:absolute;left:23544;top:8618;width:50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6BY8gA&#10;AADfAAAADwAAAGRycy9kb3ducmV2LnhtbESPTWvCQBCG70L/wzKCN93YgtXoKtJW9OhHwXobstMk&#10;NDsbsqtJ++udQ8Hj8M77zDyLVecqdaMmlJ4NjEcJKOLM25JzA5+nzXAKKkRki5VnMvBLAVbLp94C&#10;U+tbPtDtGHMlEA4pGihirFOtQ1aQwzDyNbFk375xGGVscm0bbAXuKv2cJBPtsGS5UGBNbwVlP8er&#10;M7Cd1uuvnf9r8+rjsj3vz7P30ywaM+h36zmoSF18LP+3d9aAEF9f5GHxERf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oFjyAAAAN8AAAAPAAAAAAAAAAAAAAAAAJgCAABk&#10;cnMvZG93bnJldi54bWxQSwUGAAAAAAQABAD1AAAAjQMAAAAA&#10;" filled="f" stroked="f">
                  <v:textbox inset="0,0,0,0">
                    <w:txbxContent>
                      <w:p w:rsidR="00EE13F6" w:rsidRDefault="002E5BC4">
                        <w:r>
                          <w:rPr>
                            <w:color w:val="585858"/>
                            <w:sz w:val="12"/>
                          </w:rPr>
                          <w:t>2</w:t>
                        </w:r>
                      </w:p>
                    </w:txbxContent>
                  </v:textbox>
                </v:rect>
                <v:rect id="Rectangle 200742" o:spid="_x0000_s1279" style="position:absolute;left:28808;top:8618;width:105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F9MYA&#10;AADfAAAADwAAAGRycy9kb3ducmV2LnhtbESPT4vCMBTE7wt+h/AEb2uqyK5Wo4h/0KOrgnp7NM+2&#10;2LyUJtqun94IC3scZuY3zGTWmEI8qHK5ZQW9bgSCOLE651TB8bD+HIJwHlljYZkU/JKD2bT1McFY&#10;25p/6LH3qQgQdjEqyLwvYyldkpFB17UlcfCutjLog6xSqSusA9wUsh9FX9JgzmEhw5IWGSW3/d0o&#10;2AzL+Xlrn3VarC6b0+40Wh5GXqlOu5mPQXhq/H/4r73VCgLxe9CH95/wBeT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DF9MYAAADfAAAADwAAAAAAAAAAAAAAAACYAgAAZHJz&#10;L2Rvd25yZXYueG1sUEsFBgAAAAAEAAQA9QAAAIsDAAAAAA==&#10;" filled="f" stroked="f">
                  <v:textbox inset="0,0,0,0">
                    <w:txbxContent>
                      <w:p w:rsidR="00EE13F6" w:rsidRDefault="002E5BC4">
                        <w:r>
                          <w:rPr>
                            <w:color w:val="585858"/>
                            <w:sz w:val="12"/>
                          </w:rPr>
                          <w:t>33</w:t>
                        </w:r>
                      </w:p>
                    </w:txbxContent>
                  </v:textbox>
                </v:rect>
                <v:rect id="Rectangle 200743" o:spid="_x0000_s1280" style="position:absolute;left:28642;top:8618;width:248;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gb8gA&#10;AADfAAAADwAAAGRycy9kb3ducmV2LnhtbESPT2vCQBTE7wW/w/KE3uqmVqxJXUX8gx5tLKS9PbKv&#10;STD7NmRXk/bTdwuCx2FmfsPMl72pxZVaV1lW8DyKQBDnVldcKPg47Z5mIJxH1lhbJgU/5GC5GDzM&#10;MdG243e6pr4QAcIuQQWl900ipctLMuhGtiEO3rdtDfog20LqFrsAN7UcR9FUGqw4LJTY0Lqk/Jxe&#10;jIL9rFl9HuxvV9Tbr312zOLNKfZKPQ771RsIT72/h2/tg1YQiK+TF/j/E7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BvyAAAAN8AAAAPAAAAAAAAAAAAAAAAAJgCAABk&#10;cnMvZG93bnJldi54bWxQSwUGAAAAAAQABAD1AAAAjQMAAAAA&#10;" filled="f" stroked="f">
                  <v:textbox inset="0,0,0,0">
                    <w:txbxContent>
                      <w:p w:rsidR="00EE13F6" w:rsidRDefault="002E5BC4">
                        <w:r>
                          <w:rPr>
                            <w:color w:val="585858"/>
                            <w:sz w:val="12"/>
                          </w:rPr>
                          <w:t>,</w:t>
                        </w:r>
                      </w:p>
                    </w:txbxContent>
                  </v:textbox>
                </v:rect>
                <v:rect id="Rectangle 200741" o:spid="_x0000_s1281" style="position:absolute;left:28229;top:8618;width:50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bg8cA&#10;AADfAAAADwAAAGRycy9kb3ducmV2LnhtbESPQWvCQBSE7wX/w/IEb3WjSBtTVxG1mGObCNrbI/ua&#10;hGbfhuzWpP56t1DocZiZb5jVZjCNuFLnassKZtMIBHFhdc2lglP++hiDcB5ZY2OZFPyQg8169LDC&#10;RNue3+ma+VIECLsEFVTet4mUrqjIoJvaljh4n7Yz6IPsSqk77APcNHIeRU/SYM1hocKWdhUVX9m3&#10;UXCM2+0ltbe+bA4fx/PbebnPl16pyXjYvoDwNPj/8F871QoC8Xkxg98/4Q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iW4PHAAAA3wAAAA8AAAAAAAAAAAAAAAAAmAIAAGRy&#10;cy9kb3ducmV2LnhtbFBLBQYAAAAABAAEAPUAAACMAwAAAAA=&#10;" filled="f" stroked="f">
                  <v:textbox inset="0,0,0,0">
                    <w:txbxContent>
                      <w:p w:rsidR="00EE13F6" w:rsidRDefault="002E5BC4">
                        <w:r>
                          <w:rPr>
                            <w:color w:val="585858"/>
                            <w:sz w:val="12"/>
                          </w:rPr>
                          <w:t>3</w:t>
                        </w:r>
                      </w:p>
                    </w:txbxContent>
                  </v:textbox>
                </v:rect>
                <v:rect id="Rectangle 200744" o:spid="_x0000_s1282" style="position:absolute;left:32913;top:8618;width:50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4G8cA&#10;AADfAAAADwAAAGRycy9kb3ducmV2LnhtbESPQWvCQBSE74X+h+UVequbirQaXUVqS3K0UVBvj+wz&#10;CWbfhuw2Sf31rlDocZiZb5jFajC16Kh1lWUFr6MIBHFudcWFgv3u62UKwnlkjbVlUvBLDlbLx4cF&#10;xtr2/E1d5gsRIOxiVFB638RSurwkg25kG+LgnW1r0AfZFlK32Ae4qeU4it6kwYrDQokNfZSUX7If&#10;oyCZNutjaq99UX+eksP2MNvsZl6p56dhPQfhafD/4b92qhUE4vtkAvc/4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BvHAAAA3wAAAA8AAAAAAAAAAAAAAAAAmAIAAGRy&#10;cy9kb3ducmV2LnhtbFBLBQYAAAAABAAEAPUAAACMAwAAAAA=&#10;" filled="f" stroked="f">
                  <v:textbox inset="0,0,0,0">
                    <w:txbxContent>
                      <w:p w:rsidR="00EE13F6" w:rsidRDefault="002E5BC4">
                        <w:r>
                          <w:rPr>
                            <w:color w:val="585858"/>
                            <w:sz w:val="12"/>
                          </w:rPr>
                          <w:t>4</w:t>
                        </w:r>
                      </w:p>
                    </w:txbxContent>
                  </v:textbox>
                </v:rect>
                <v:rect id="Rectangle 200746" o:spid="_x0000_s1283" style="position:absolute;left:33327;top:8618;width:248;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D98gA&#10;AADfAAAADwAAAGRycy9kb3ducmV2LnhtbESPT2vCQBTE70K/w/KE3nRjKf5JXUXaSnJso6C9PbKv&#10;SWj2bchuk+indwtCj8PM/IZZbwdTi45aV1lWMJtGIIhzqysuFBwP+8kShPPIGmvLpOBCDrabh9Ea&#10;Y217/qQu84UIEHYxKii9b2IpXV6SQTe1DXHwvm1r0AfZFlK32Ae4qeVTFM2lwYrDQokNvZaU/2S/&#10;RkGybHbn1F77on7/Sk4fp9XbYeWVehwPuxcQngb/H763U60gEBfPc/j7E76A3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i8P3yAAAAN8AAAAPAAAAAAAAAAAAAAAAAJgCAABk&#10;cnMvZG93bnJldi54bWxQSwUGAAAAAAQABAD1AAAAjQMAAAAA&#10;" filled="f" stroked="f">
                  <v:textbox inset="0,0,0,0">
                    <w:txbxContent>
                      <w:p w:rsidR="00EE13F6" w:rsidRDefault="002E5BC4">
                        <w:r>
                          <w:rPr>
                            <w:color w:val="585858"/>
                            <w:sz w:val="12"/>
                          </w:rPr>
                          <w:t>,</w:t>
                        </w:r>
                      </w:p>
                    </w:txbxContent>
                  </v:textbox>
                </v:rect>
                <v:rect id="Rectangle 200745" o:spid="_x0000_s1284" style="position:absolute;left:33493;top:8618;width:105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dgMgA&#10;AADfAAAADwAAAGRycy9kb3ducmV2LnhtbESPT2vCQBTE7wW/w/KE3uqmUq1JXUX8gx5tLKS9PbKv&#10;STD7NmRXk/bTdwuCx2FmfsPMl72pxZVaV1lW8DyKQBDnVldcKPg47Z5mIJxH1lhbJgU/5GC5GDzM&#10;MdG243e6pr4QAcIuQQWl900ipctLMuhGtiEO3rdtDfog20LqFrsAN7UcR9FUGqw4LJTY0Lqk/Jxe&#10;jIL9rFl9HuxvV9Tbr312zOLNKfZKPQ771RsIT72/h2/tg1YQiK8vE/j/E7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WV2AyAAAAN8AAAAPAAAAAAAAAAAAAAAAAJgCAABk&#10;cnMvZG93bnJldi54bWxQSwUGAAAAAAQABAD1AAAAjQMAAAAA&#10;" filled="f" stroked="f">
                  <v:textbox inset="0,0,0,0">
                    <w:txbxContent>
                      <w:p w:rsidR="00EE13F6" w:rsidRDefault="002E5BC4">
                        <w:r>
                          <w:rPr>
                            <w:color w:val="585858"/>
                            <w:sz w:val="12"/>
                          </w:rPr>
                          <w:t>00</w:t>
                        </w:r>
                      </w:p>
                    </w:txbxContent>
                  </v:textbox>
                </v:rect>
                <v:rect id="Rectangle 19287" o:spid="_x0000_s1285" style="position:absolute;left:38094;top:8618;width:50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MUA&#10;AADeAAAADwAAAGRycy9kb3ducmV2LnhtbERPS2vCQBC+F/oflil4q5t6qEnMRqQP9FhNQb0N2TEJ&#10;zc6G7NZEf31XEHqbj+852XI0rThT7xrLCl6mEQji0uqGKwXfxedzDMJ5ZI2tZVJwIQfL/PEhw1Tb&#10;gbd03vlKhBB2KSqove9SKV1Zk0E3tR1x4E62N+gD7CupexxCuGnlLIpepcGGQ0ONHb3VVP7sfo2C&#10;ddytDht7Har247jef+2T9yLxSk2extUChKfR/4vv7o0O85NZ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D+UxQAAAN4AAAAPAAAAAAAAAAAAAAAAAJgCAABkcnMv&#10;ZG93bnJldi54bWxQSwUGAAAAAAQABAD1AAAAigMAAAAA&#10;" filled="f" stroked="f">
                  <v:textbox inset="0,0,0,0">
                    <w:txbxContent>
                      <w:p w:rsidR="00EE13F6" w:rsidRDefault="002E5BC4">
                        <w:r>
                          <w:rPr>
                            <w:color w:val="585858"/>
                            <w:sz w:val="12"/>
                          </w:rPr>
                          <w:t>5</w:t>
                        </w:r>
                      </w:p>
                    </w:txbxContent>
                  </v:textbox>
                </v:rect>
                <v:rect id="Rectangle 200748" o:spid="_x0000_s1286" style="position:absolute;left:42862;top:8618;width:105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yHsgA&#10;AADfAAAADwAAAGRycy9kb3ducmV2LnhtbESPTWvCQBCG70L/wzKCN91YitXoKtJW9OhHwXobstMk&#10;NDsbsqtJ++udQ8Hj8M77zDyLVecqdaMmlJ4NjEcJKOLM25JzA5+nzXAKKkRki5VnMvBLAVbLp94C&#10;U+tbPtDtGHMlEA4pGihirFOtQ1aQwzDyNbFk375xGGVscm0bbAXuKv2cJBPtsGS5UGBNbwVlP8er&#10;M7Cd1uuvnf9r8+rjsj3vz7P30ywaM+h36zmoSF18LP+3d9aAEF9f5GHxERf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WPIeyAAAAN8AAAAPAAAAAAAAAAAAAAAAAJgCAABk&#10;cnMvZG93bnJldi54bWxQSwUGAAAAAAQABAD1AAAAjQMAAAAA&#10;" filled="f" stroked="f">
                  <v:textbox inset="0,0,0,0">
                    <w:txbxContent>
                      <w:p w:rsidR="00EE13F6" w:rsidRDefault="002E5BC4">
                        <w:r>
                          <w:rPr>
                            <w:color w:val="585858"/>
                            <w:sz w:val="12"/>
                          </w:rPr>
                          <w:t>67</w:t>
                        </w:r>
                      </w:p>
                    </w:txbxContent>
                  </v:textbox>
                </v:rect>
                <v:rect id="Rectangle 200749" o:spid="_x0000_s1287" style="position:absolute;left:42697;top:8618;width:247;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XhccA&#10;AADfAAAADwAAAGRycy9kb3ducmV2LnhtbESPT2vCQBTE74LfYXmCN91URE10FfEPeqxasL09ss8k&#10;NPs2ZFcT++m7BaHHYWZ+wyxWrSnFg2pXWFbwNoxAEKdWF5wp+LjsBzMQziNrLC2Tgic5WC27nQUm&#10;2jZ8osfZZyJA2CWoIPe+SqR0aU4G3dBWxMG72dqgD7LOpK6xCXBTylEUTaTBgsNCjhVtckq/z3ej&#10;4DCr1p9H+9Nk5e7rcH2/xttL7JXq99r1HISn1v+HX+2jVhCI03EM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UV4XHAAAA3wAAAA8AAAAAAAAAAAAAAAAAmAIAAGRy&#10;cy9kb3ducmV2LnhtbFBLBQYAAAAABAAEAPUAAACMAwAAAAA=&#10;" filled="f" stroked="f">
                  <v:textbox inset="0,0,0,0">
                    <w:txbxContent>
                      <w:p w:rsidR="00EE13F6" w:rsidRDefault="002E5BC4">
                        <w:r>
                          <w:rPr>
                            <w:color w:val="585858"/>
                            <w:sz w:val="12"/>
                          </w:rPr>
                          <w:t>,</w:t>
                        </w:r>
                      </w:p>
                    </w:txbxContent>
                  </v:textbox>
                </v:rect>
                <v:rect id="Rectangle 200747" o:spid="_x0000_s1288" style="position:absolute;left:42283;top:8618;width:50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mbMcA&#10;AADfAAAADwAAAGRycy9kb3ducmV2LnhtbESPS4vCQBCE74L/YWjBm04U8ZF1FPGBHndV0L01mTYJ&#10;ZnpCZjTRX7+zsLDHoqq+oubLxhTiSZXLLSsY9CMQxInVOacKzqddbwrCeWSNhWVS8CIHy0W7NcdY&#10;25q/6Hn0qQgQdjEqyLwvYyldkpFB17clcfButjLog6xSqSusA9wUchhFY2kw57CQYUnrjJL78WEU&#10;7Kfl6nqw7zottt/7y+dltjnNvFLdTrP6AOGp8f/hv/ZBKwjEyWgCv3/C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HZmzHAAAA3wAAAA8AAAAAAAAAAAAAAAAAmAIAAGRy&#10;cy9kb3ducmV2LnhtbFBLBQYAAAAABAAEAPUAAACMAwAAAAA=&#10;" filled="f" stroked="f">
                  <v:textbox inset="0,0,0,0">
                    <w:txbxContent>
                      <w:p w:rsidR="00EE13F6" w:rsidRDefault="002E5BC4">
                        <w:r>
                          <w:rPr>
                            <w:color w:val="585858"/>
                            <w:sz w:val="12"/>
                          </w:rPr>
                          <w:t>6</w:t>
                        </w:r>
                      </w:p>
                    </w:txbxContent>
                  </v:textbox>
                </v:rect>
                <v:rect id="Rectangle 19289" o:spid="_x0000_s1289" style="position:absolute;left:47216;top:8618;width:1052;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OfcMA&#10;AADeAAAADwAAAGRycy9kb3ducmV2LnhtbERPTYvCMBC9L/gfwgje1lQP0lajiO6ix10V1NvQjG2x&#10;mZQm2rq/fiMI3ubxPme26Ewl7tS40rKC0TACQZxZXXKu4LD//oxBOI+ssbJMCh7kYDHvfcww1bbl&#10;X7rvfC5CCLsUFRTe16mULivIoBvamjhwF9sY9AE2udQNtiHcVHIcRRNpsOTQUGBNq4Ky6+5mFGzi&#10;enna2r82r77Om+PPMVnvE6/UoN8tpyA8df4tfrm3OsxPxn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MOfcMAAADeAAAADwAAAAAAAAAAAAAAAACYAgAAZHJzL2Rv&#10;d25yZXYueG1sUEsFBgAAAAAEAAQA9QAAAIgDAAAAAA==&#10;" filled="f" stroked="f">
                  <v:textbox inset="0,0,0,0">
                    <w:txbxContent>
                      <w:p w:rsidR="00EE13F6" w:rsidRDefault="002E5BC4">
                        <w:r>
                          <w:rPr>
                            <w:color w:val="585858"/>
                            <w:sz w:val="12"/>
                          </w:rPr>
                          <w:t>10</w:t>
                        </w:r>
                      </w:p>
                    </w:txbxContent>
                  </v:textbox>
                </v:rect>
                <v:rect id="Rectangle 19290" o:spid="_x0000_s1290" style="position:absolute;left:10475;width:47856;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xPccA&#10;AADeAAAADwAAAGRycy9kb3ducmV2LnhtbESPQW/CMAyF75P2HyIj7TZSOEy0kFaIbYLjBkjAzWpM&#10;W9E4VZPRbr9+PkzazZaf33vfqhhdq+7Uh8azgdk0AUVcettwZeB4eH9egAoR2WLrmQx8U4Aif3xY&#10;YWb9wJ9038dKiQmHDA3UMXaZ1qGsyWGY+o5YblffO4yy9pW2PQ5i7lo9T5IX7bBhSaixo01N5W3/&#10;5QxsF936vPM/Q9W+Xbanj1P6ekijMU+Tcb0EFWmM/+K/752V+uk8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MT3HAAAA3gAAAA8AAAAAAAAAAAAAAAAAmAIAAGRy&#10;cy9kb3ducmV2LnhtbFBLBQYAAAAABAAEAPUAAACMAwAAAAA=&#10;" filled="f" stroked="f">
                  <v:textbox inset="0,0,0,0">
                    <w:txbxContent>
                      <w:p w:rsidR="00EE13F6" w:rsidRDefault="002E5BC4">
                        <w:r>
                          <w:rPr>
                            <w:b/>
                            <w:color w:val="585858"/>
                            <w:sz w:val="18"/>
                          </w:rPr>
                          <w:t>Short</w:t>
                        </w:r>
                        <w:r>
                          <w:rPr>
                            <w:b/>
                            <w:color w:val="585858"/>
                            <w:sz w:val="18"/>
                          </w:rPr>
                          <w:tab/>
                          <w:t>term</w:t>
                        </w:r>
                        <w:r>
                          <w:rPr>
                            <w:b/>
                            <w:color w:val="585858"/>
                            <w:sz w:val="18"/>
                          </w:rPr>
                          <w:tab/>
                          <w:t>equity</w:t>
                        </w:r>
                        <w:r>
                          <w:rPr>
                            <w:b/>
                            <w:color w:val="585858"/>
                            <w:sz w:val="18"/>
                          </w:rPr>
                          <w:tab/>
                          <w:t>price</w:t>
                        </w:r>
                        <w:r>
                          <w:rPr>
                            <w:b/>
                            <w:color w:val="585858"/>
                            <w:sz w:val="18"/>
                          </w:rPr>
                          <w:tab/>
                          <w:t>variation</w:t>
                        </w:r>
                        <w:r>
                          <w:rPr>
                            <w:b/>
                            <w:color w:val="585858"/>
                            <w:sz w:val="18"/>
                          </w:rPr>
                          <w:tab/>
                          <w:t>in</w:t>
                        </w:r>
                        <w:r>
                          <w:rPr>
                            <w:b/>
                            <w:color w:val="585858"/>
                            <w:sz w:val="18"/>
                          </w:rPr>
                          <w:tab/>
                          <w:t>%</w:t>
                        </w:r>
                        <w:r>
                          <w:rPr>
                            <w:b/>
                            <w:color w:val="585858"/>
                            <w:sz w:val="18"/>
                          </w:rPr>
                          <w:tab/>
                          <w:t>as</w:t>
                        </w:r>
                        <w:r>
                          <w:rPr>
                            <w:b/>
                            <w:color w:val="585858"/>
                            <w:sz w:val="18"/>
                          </w:rPr>
                          <w:tab/>
                          <w:t>a</w:t>
                        </w:r>
                        <w:r>
                          <w:rPr>
                            <w:b/>
                            <w:color w:val="585858"/>
                            <w:sz w:val="18"/>
                          </w:rPr>
                          <w:tab/>
                          <w:t>function</w:t>
                        </w:r>
                        <w:r>
                          <w:rPr>
                            <w:b/>
                            <w:color w:val="585858"/>
                            <w:sz w:val="18"/>
                          </w:rPr>
                          <w:tab/>
                          <w:t>of</w:t>
                        </w:r>
                        <w:r>
                          <w:rPr>
                            <w:b/>
                            <w:color w:val="585858"/>
                            <w:sz w:val="18"/>
                          </w:rPr>
                          <w:tab/>
                          <w:t>leverage</w:t>
                        </w:r>
                        <w:r>
                          <w:rPr>
                            <w:b/>
                            <w:color w:val="585858"/>
                            <w:sz w:val="18"/>
                          </w:rPr>
                          <w:tab/>
                          <w:t>and</w:t>
                        </w:r>
                        <w:r>
                          <w:rPr>
                            <w:b/>
                            <w:color w:val="585858"/>
                            <w:sz w:val="18"/>
                          </w:rPr>
                          <w:tab/>
                          <w:t>spread</w:t>
                        </w:r>
                        <w:r>
                          <w:rPr>
                            <w:b/>
                            <w:color w:val="585858"/>
                            <w:sz w:val="18"/>
                          </w:rPr>
                          <w:tab/>
                        </w:r>
                      </w:p>
                    </w:txbxContent>
                  </v:textbox>
                </v:rect>
                <v:rect id="Rectangle 200718" o:spid="_x0000_s1291" style="position:absolute;left:41900;top:1399;width:480;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dA8cA&#10;AADfAAAADwAAAGRycy9kb3ducmV2LnhtbESPTW/CMAyG75P4D5GRdhspO/BRCAixIThugATcrMa0&#10;FY1TNRnt+PXzYRJH6/X72M982blK3akJpWcDw0ECijjztuTcwPGweZuAChHZYuWZDPxSgOWi9zLH&#10;1PqWv+m+j7kSCIcUDRQx1qnWISvIYRj4mliyq28cRhmbXNsGW4G7Sr8nyUg7LFkuFFjTuqDstv9x&#10;BraTenXe+UebV5+X7enrNP04TKMxr/1uNQMVqYvP5f/2zhoQ4ngoD4uPuIB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r3QPHAAAA3wAAAA8AAAAAAAAAAAAAAAAAmAIAAGRy&#10;cy9kb3ducmV2LnhtbFBLBQYAAAAABAAEAPUAAACMAwAAAAA=&#10;" filled="f" stroked="f">
                  <v:textbox inset="0,0,0,0">
                    <w:txbxContent>
                      <w:p w:rsidR="00EE13F6" w:rsidRDefault="002E5BC4">
                        <w:r>
                          <w:rPr>
                            <w:b/>
                            <w:color w:val="585858"/>
                            <w:sz w:val="18"/>
                          </w:rPr>
                          <w:t>)</w:t>
                        </w:r>
                      </w:p>
                    </w:txbxContent>
                  </v:textbox>
                </v:rect>
                <v:rect id="Rectangle 200717" o:spid="_x0000_s1292" style="position:absolute;left:14445;top:1399;width:480;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JccYA&#10;AADfAAAADwAAAGRycy9kb3ducmV2LnhtbESPT4vCMBTE74LfITzBm6buwT/VKKIrenRVUG+P5tkW&#10;m5fSRFv99GZhYY/DzPyGmS0aU4gnVS63rGDQj0AQJ1bnnCo4HTe9MQjnkTUWlknBixws5u3WDGNt&#10;a/6h58GnIkDYxagg876MpXRJRgZd35bEwbvZyqAPskqlrrAOcFPIrygaSoM5h4UMS1pllNwPD6Ng&#10;Oy6Xl51912nxfd2e9+fJ+jjxSnU7zXIKwlPj/8N/7Z1WEIijwQh+/4QvIO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RJccYAAADfAAAADwAAAAAAAAAAAAAAAACYAgAAZHJz&#10;L2Rvd25yZXYueG1sUEsFBgAAAAAEAAQA9QAAAIsDAAAAAA==&#10;" filled="f" stroked="f">
                  <v:textbox inset="0,0,0,0">
                    <w:txbxContent>
                      <w:p w:rsidR="00EE13F6" w:rsidRDefault="002E5BC4">
                        <w:r>
                          <w:rPr>
                            <w:b/>
                            <w:color w:val="585858"/>
                            <w:sz w:val="18"/>
                          </w:rPr>
                          <w:t>(</w:t>
                        </w:r>
                      </w:p>
                    </w:txbxContent>
                  </v:textbox>
                </v:rect>
                <v:rect id="Rectangle 200719" o:spid="_x0000_s1293" style="position:absolute;left:14776;top:1399;width:36097;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4mMYA&#10;AADfAAAADwAAAGRycy9kb3ducmV2LnhtbESPQYvCMBSE74L/ITxhb5q6B9dWo4ir6NFVQb09mmdb&#10;bF5KE213f71ZEDwOM/MNM523phQPql1hWcFwEIEgTq0uOFNwPKz7YxDOI2ssLZOCX3Iwn3U7U0y0&#10;bfiHHnufiQBhl6CC3PsqkdKlORl0A1sRB+9qa4M+yDqTusYmwE0pP6NoJA0WHBZyrGiZU3rb342C&#10;zbhanLf2r8nK1WVz2p3i70PslfrotYsJCE+tf4df7a1WEIhfwxj+/4Qv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d4mMYAAADfAAAADwAAAAAAAAAAAAAAAACYAgAAZHJz&#10;L2Rvd25yZXYueG1sUEsFBgAAAAAEAAQA9QAAAIsDAAAAAA==&#10;" filled="f" stroked="f">
                  <v:textbox inset="0,0,0,0">
                    <w:txbxContent>
                      <w:p w:rsidR="00EE13F6" w:rsidRDefault="002E5BC4">
                        <w:r>
                          <w:rPr>
                            <w:b/>
                            <w:color w:val="585858"/>
                            <w:sz w:val="18"/>
                          </w:rPr>
                          <w:t>ROA=3%;r=1%;T=10;sigma=10%;FTT</w:t>
                        </w:r>
                        <w:r>
                          <w:rPr>
                            <w:b/>
                            <w:color w:val="585858"/>
                            <w:sz w:val="18"/>
                          </w:rPr>
                          <w:tab/>
                          <w:t>roundtriprate=0,2%</w:t>
                        </w:r>
                      </w:p>
                    </w:txbxContent>
                  </v:textbox>
                </v:rect>
                <v:shape id="Shape 19292" o:spid="_x0000_s1294" style="position:absolute;left:10545;top:28101;width:1572;height:0;visibility:visible;mso-wrap-style:square;v-text-anchor:top" coordsize="157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mo8MA&#10;AADeAAAADwAAAGRycy9kb3ducmV2LnhtbERPS2uDQBC+F/oflin01qzxEKLJKhJoaZpT8zoP7kRN&#10;3Flxt2r+fbZQ6G0+vues88m0YqDeNZYVzGcRCOLS6oYrBcfD+9sShPPIGlvLpOBODvLs+WmNqbYj&#10;f9Ow95UIIexSVFB736VSurImg25mO+LAXWxv0AfYV1L3OIZw08o4ihbSYMOhocaONjWVt/2PUTAc&#10;yu3HNTHuNC6L7oxVsfu6j0q9vkzFCoSnyf+L/9yfOsxP4iSG33fCD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fmo8MAAADeAAAADwAAAAAAAAAAAAAAAACYAgAAZHJzL2Rv&#10;d25yZXYueG1sUEsFBgAAAAAEAAQA9QAAAIgDAAAAAA==&#10;" path="m,l157150,1e" filled="f" strokecolor="#5e5e5e" strokeweight=".45739mm">
                  <v:stroke endcap="round"/>
                  <v:path arrowok="t" textboxrect="0,0,157150,1"/>
                </v:shape>
                <v:rect id="Rectangle 19293" o:spid="_x0000_s1295" style="position:absolute;left:12291;top:27648;width:4228;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vSsMA&#10;AADeAAAADwAAAGRycy9kb3ducmV2LnhtbERPTYvCMBC9L/gfwgh7W1MVxFajiK7o0VVBvQ3N2Bab&#10;SWmytuuvNwuCt3m8z5nOW1OKO9WusKyg34tAEKdWF5wpOB7WX2MQziNrLC2Tgj9yMJ91PqaYaNvw&#10;D933PhMhhF2CCnLvq0RKl+Zk0PVsRRy4q60N+gDrTOoamxBuSjmIopE0WHBoyLGiZU7pbf9rFGzG&#10;1eK8tY8mK78vm9PuFK8OsVfqs9suJiA8tf4tfrm3OsyPB/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KvSsMAAADeAAAADwAAAAAAAAAAAAAAAACYAgAAZHJzL2Rv&#10;d25yZXYueG1sUEsFBgAAAAAEAAQA9QAAAIgDAAAAAA==&#10;" filled="f" stroked="f">
                  <v:textbox inset="0,0,0,0">
                    <w:txbxContent>
                      <w:p w:rsidR="00EE13F6" w:rsidRDefault="002E5BC4">
                        <w:r>
                          <w:rPr>
                            <w:color w:val="585858"/>
                            <w:sz w:val="12"/>
                          </w:rPr>
                          <w:t>spread</w:t>
                        </w:r>
                        <w:r>
                          <w:rPr>
                            <w:color w:val="585858"/>
                            <w:sz w:val="12"/>
                          </w:rPr>
                          <w:tab/>
                          <w:t>1%</w:t>
                        </w:r>
                      </w:p>
                    </w:txbxContent>
                  </v:textbox>
                </v:rect>
                <v:shape id="Shape 19294" o:spid="_x0000_s1296" style="position:absolute;left:16583;top:28101;width:1571;height:0;visibility:visible;mso-wrap-style:square;v-text-anchor:top" coordsize="157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A9sUA&#10;AADeAAAADwAAAGRycy9kb3ducmV2LnhtbERPTWvCQBC9F/oflil4q5tGkZq6kVIQFA9FbUuPQ3ay&#10;CcnOhuyq0V/fFYTe5vE+Z7EcbCtO1PvasYKXcQKCuHC6ZqPg67B6fgXhA7LG1jEpuJCHZf74sMBM&#10;uzPv6LQPRsQQ9hkqqELoMil9UZFFP3YdceRK11sMEfZG6h7PMdy2Mk2SmbRYc2yosKOPiopmf7QK&#10;Bvnpf67rOv0uzdZsJro5/G4bpUZPw/sbiEBD+Bff3Wsd58/T+RRu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YD2xQAAAN4AAAAPAAAAAAAAAAAAAAAAAJgCAABkcnMv&#10;ZG93bnJldi54bWxQSwUGAAAAAAQABAD1AAAAigMAAAAA&#10;" path="m,l157150,1e" filled="f" strokecolor="#b3b3b3" strokeweight=".45739mm">
                  <v:stroke endcap="round"/>
                  <v:path arrowok="t" textboxrect="0,0,157150,1"/>
                </v:shape>
                <v:rect id="Rectangle 19295" o:spid="_x0000_s1297" style="position:absolute;left:18311;top:27648;width:5218;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SpcMA&#10;AADeAAAADwAAAGRycy9kb3ducmV2LnhtbERPTYvCMBC9L/gfwgh7W1MFxVajiK7o0VVBvQ3N2Bab&#10;SWmytuuvNwuCt3m8z5nOW1OKO9WusKyg34tAEKdWF5wpOB7WX2MQziNrLC2Tgj9yMJ91PqaYaNvw&#10;D933PhMhhF2CCnLvq0RKl+Zk0PVsRRy4q60N+gDrTOoamxBuSjmIopE0WHBoyLGiZU7pbf9rFGzG&#10;1eK8tY8mK78vm9PuFK8OsVfqs9suJiA8tf4tfrm3OsyPB/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eSpcMAAADeAAAADwAAAAAAAAAAAAAAAACYAgAAZHJzL2Rv&#10;d25yZXYueG1sUEsFBgAAAAAEAAQA9QAAAIgDAAAAAA==&#10;" filled="f" stroked="f">
                  <v:textbox inset="0,0,0,0">
                    <w:txbxContent>
                      <w:p w:rsidR="00EE13F6" w:rsidRDefault="002E5BC4">
                        <w:r>
                          <w:rPr>
                            <w:color w:val="585858"/>
                            <w:sz w:val="12"/>
                          </w:rPr>
                          <w:t>spread</w:t>
                        </w:r>
                        <w:r>
                          <w:rPr>
                            <w:color w:val="585858"/>
                            <w:sz w:val="12"/>
                          </w:rPr>
                          <w:tab/>
                        </w:r>
                        <w:r>
                          <w:rPr>
                            <w:color w:val="585858"/>
                            <w:sz w:val="12"/>
                          </w:rPr>
                          <w:tab/>
                          <w:t>1.5%</w:t>
                        </w:r>
                      </w:p>
                    </w:txbxContent>
                  </v:textbox>
                </v:rect>
                <v:shape id="Shape 19296" o:spid="_x0000_s1298" style="position:absolute;left:23283;top:28101;width:1654;height:0;visibility:visible;mso-wrap-style:square;v-text-anchor:top" coordsize="165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PucUA&#10;AADeAAAADwAAAGRycy9kb3ducmV2LnhtbERPS0sDMRC+C/6HMAVvNtseSrs2LSr4gIrQ1kN7m27G&#10;zeJmsiTjdvvvjSB4m4/vOcv14FvVU0xNYAOTcQGKuAq24drAx/7pdg4qCbLFNjAZuFCC9er6aoml&#10;DWfeUr+TWuUQTiUacCJdqXWqHHlM49ARZ+4zRI+SYay1jXjO4b7V06KYaY8N5waHHT06qr52395A&#10;fC7e5djsZXM5tf3L4bh9c+7BmJvRcH8HSmiQf/Gf+9Xm+YvpYga/7+Qb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I+5xQAAAN4AAAAPAAAAAAAAAAAAAAAAAJgCAABkcnMv&#10;ZG93bnJldi54bWxQSwUGAAAAAAQABAD1AAAAigMAAAAA&#10;" path="m,l165421,1e" filled="f" strokecolor="#898989" strokeweight=".45739mm">
                  <v:stroke endcap="round"/>
                  <v:path arrowok="t" textboxrect="0,0,165421,1"/>
                </v:shape>
                <v:rect id="Rectangle 19297" o:spid="_x0000_s1299" style="position:absolute;left:25065;top:27648;width:4227;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pScQA&#10;AADeAAAADwAAAGRycy9kb3ducmV2LnhtbERPTYvCMBC9L/gfwgh7W1M9qK1GEV3Ro6uCehuasS02&#10;k9JkbddfbxYEb/N4nzOdt6YUd6pdYVlBvxeBIE6tLjhTcDysv8YgnEfWWFomBX/kYD7rfEwx0bbh&#10;H7rvfSZCCLsEFeTeV4mULs3JoOvZijhwV1sb9AHWmdQ1NiHclHIQRUNpsODQkGNFy5zS2/7XKNiM&#10;q8V5ax9NVn5fNqfdKV4dYq/UZ7ddTEB4av1b/HJvdZgfD+IR/L8Tb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qUnEAAAA3gAAAA8AAAAAAAAAAAAAAAAAmAIAAGRycy9k&#10;b3ducmV2LnhtbFBLBQYAAAAABAAEAPUAAACJAwAAAAA=&#10;" filled="f" stroked="f">
                  <v:textbox inset="0,0,0,0">
                    <w:txbxContent>
                      <w:p w:rsidR="00EE13F6" w:rsidRDefault="002E5BC4">
                        <w:r>
                          <w:rPr>
                            <w:color w:val="585858"/>
                            <w:sz w:val="12"/>
                          </w:rPr>
                          <w:t>spread</w:t>
                        </w:r>
                        <w:r>
                          <w:rPr>
                            <w:color w:val="585858"/>
                            <w:sz w:val="12"/>
                          </w:rPr>
                          <w:tab/>
                          <w:t>2%</w:t>
                        </w:r>
                      </w:p>
                    </w:txbxContent>
                  </v:textbox>
                </v:rect>
                <v:shape id="Shape 19298" o:spid="_x0000_s1300" style="position:absolute;left:29320;top:28101;width:1572;height:0;visibility:visible;mso-wrap-style:square;v-text-anchor:top" coordsize="157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WC8YA&#10;AADeAAAADwAAAGRycy9kb3ducmV2LnhtbESPQWvCQBCF7wX/wzKCl1I3BitN6ipWKHrpQW3uQ3aa&#10;hGZnQ3arqb/eOQjeZnhv3vtmuR5cq87Uh8azgdk0AUVcettwZeD79PnyBipEZIutZzLwTwHWq9HT&#10;EnPrL3yg8zFWSkI45GigjrHLtQ5lTQ7D1HfEov343mGUta+07fEi4a7VaZIstMOGpaHGjrY1lb/H&#10;P2cgfXVfZTF/ZvrIip3dLU6hOFyNmYyHzTuoSEN8mO/Xeyv4WZoJr7wj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RWC8YAAADeAAAADwAAAAAAAAAAAAAAAACYAgAAZHJz&#10;L2Rvd25yZXYueG1sUEsFBgAAAAAEAAQA9QAAAIsDAAAAAA==&#10;" path="m,l157150,1e" filled="f" strokecolor="#212121" strokeweight=".45739mm">
                  <v:stroke endcap="round"/>
                  <v:path arrowok="t" textboxrect="0,0,157150,1"/>
                </v:shape>
                <v:rect id="Rectangle 19299" o:spid="_x0000_s1301" style="position:absolute;left:31085;top:27648;width:4998;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YoMUA&#10;AADeAAAADwAAAGRycy9kb3ducmV2LnhtbERPTWvCQBC9F/oflil4q5t6KG7qJkir6LFVIfU2ZMck&#10;NDsbslsT++u7guBtHu9zFvloW3Gm3jeONbxMExDEpTMNVxoO+/XzHIQPyAZbx6ThQh7y7PFhgalx&#10;A3/ReRcqEUPYp6ihDqFLpfRlTRb91HXEkTu53mKIsK+k6XGI4baVsyR5lRYbjg01dvReU/mz+7Ua&#10;NvNu+b11f0PVro6b4rNQH3sVtJ48jcs3EIHGcBff3FsT56uZU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pigxQAAAN4AAAAPAAAAAAAAAAAAAAAAAJgCAABkcnMv&#10;ZG93bnJldi54bWxQSwUGAAAAAAQABAD1AAAAigMAAAAA&#10;" filled="f" stroked="f">
                  <v:textbox inset="0,0,0,0">
                    <w:txbxContent>
                      <w:p w:rsidR="00EE13F6" w:rsidRDefault="002E5BC4">
                        <w:r>
                          <w:rPr>
                            <w:color w:val="585858"/>
                            <w:sz w:val="12"/>
                          </w:rPr>
                          <w:t>spread</w:t>
                        </w:r>
                        <w:r>
                          <w:rPr>
                            <w:color w:val="585858"/>
                            <w:sz w:val="12"/>
                          </w:rPr>
                          <w:tab/>
                          <w:t>2.5%</w:t>
                        </w:r>
                      </w:p>
                    </w:txbxContent>
                  </v:textbox>
                </v:rect>
                <v:shape id="Shape 19300" o:spid="_x0000_s1302" style="position:absolute;left:35937;top:28101;width:1572;height:0;visibility:visible;mso-wrap-style:square;v-text-anchor:top" coordsize="157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k0scA&#10;AADeAAAADwAAAGRycy9kb3ducmV2LnhtbESPT0/DMAzF70h8h8hIu7EUBtNWlk1jCIF22j9xthqv&#10;KTROabK2fHt8QOJmy8/vvd9iNfhaddTGKrCBu3EGirgItuLSwOn4ejsDFROyxTowGfihCKvl9dUC&#10;cxt63lN3SKUSE445GnApNbnWsXDkMY5DQyy3c2g9JlnbUtsWezH3tb7Psqn2WLEkOGxo46j4Oly8&#10;gbdL9bJZP+/894d+eOzP5dZ9dmjM6GZYP4FKNKR/8d/3u5X680km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CZNLHAAAA3gAAAA8AAAAAAAAAAAAAAAAAmAIAAGRy&#10;cy9kb3ducmV2LnhtbFBLBQYAAAAABAAEAPUAAACMAwAAAAA=&#10;" path="m,l157150,1e" filled="f" strokecolor="#dadada" strokeweight=".45739mm">
                  <v:stroke endcap="round"/>
                  <v:path arrowok="t" textboxrect="0,0,157150,1"/>
                </v:shape>
                <v:rect id="Rectangle 19301" o:spid="_x0000_s1303" style="position:absolute;left:37670;top:27648;width:4228;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OvMUA&#10;AADeAAAADwAAAGRycy9kb3ducmV2LnhtbERPTWvCQBC9F/oflil4azZaEBOzitSWeKxasL0N2TEJ&#10;zc6G7DaJ/vquIPQ2j/c52Xo0jeipc7VlBdMoBkFcWF1zqeDz+P68AOE8ssbGMim4kIP16vEhw1Tb&#10;gffUH3wpQgi7FBVU3replK6oyKCLbEscuLPtDPoAu1LqDocQbho5i+O5NFhzaKiwpdeKip/Dr1GQ&#10;L9rN185eh7J5+85PH6dke0y8UpOncbME4Wn0/+K7e6fD/OQlns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w68xQAAAN4AAAAPAAAAAAAAAAAAAAAAAJgCAABkcnMv&#10;ZG93bnJldi54bWxQSwUGAAAAAAQABAD1AAAAigMAAAAA&#10;" filled="f" stroked="f">
                  <v:textbox inset="0,0,0,0">
                    <w:txbxContent>
                      <w:p w:rsidR="00EE13F6" w:rsidRDefault="002E5BC4">
                        <w:r>
                          <w:rPr>
                            <w:color w:val="585858"/>
                            <w:sz w:val="12"/>
                          </w:rPr>
                          <w:t>spread</w:t>
                        </w:r>
                        <w:r>
                          <w:rPr>
                            <w:color w:val="585858"/>
                            <w:sz w:val="12"/>
                          </w:rPr>
                          <w:tab/>
                          <w:t>3%</w:t>
                        </w:r>
                      </w:p>
                    </w:txbxContent>
                  </v:textbox>
                </v:rect>
                <v:shape id="Shape 19302" o:spid="_x0000_s1304" style="position:absolute;top:58;width:49421;height:29401;visibility:visible;mso-wrap-style:square;v-text-anchor:top" coordsize="4942179,29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8XcQA&#10;AADeAAAADwAAAGRycy9kb3ducmV2LnhtbESP24rCMBCG7xd8hzCCd2uqgtRqKuIBvBBk1QcYm+kB&#10;m0lpotZ9+o0g7N0M881/WCw7U4sHta6yrGA0jEAQZ1ZXXCi4nHffMQjnkTXWlknBixws097XAhNt&#10;n/xDj5MvRBBhl6CC0vsmkdJlJRl0Q9sQh1tuW4M+rG0hdYvPIG5qOY6iqTRYcXAosaF1SdntdDcK&#10;Yrc920DU8TU7HGdmJ3/zzVGpQb9bzUF46vw//Pne6xB/NonG8K4TZ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0PF3EAAAA3gAAAA8AAAAAAAAAAAAAAAAAmAIAAGRycy9k&#10;b3ducmV2LnhtbFBLBQYAAAAABAAEAPUAAACJAwAAAAA=&#10;" path="m4942179,2940107l,2940107,,e" filled="f" strokecolor="#d9d9d9" strokeweight=".22869mm">
                  <v:path arrowok="t" textboxrect="0,0,4942179,2940107"/>
                </v:shape>
                <v:rect id="Rectangle 19303" o:spid="_x0000_s1305" style="position:absolute;left:22443;top:23222;width:764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1UMQA&#10;AADeAAAADwAAAGRycy9kb3ducmV2LnhtbERPS4vCMBC+C/sfwix401SFxVajyK6iRx8L6m1oxrbY&#10;TEoTbd1fbwRhb/PxPWc6b00p7lS7wrKCQT8CQZxaXXCm4Pew6o1BOI+ssbRMCh7kYD776Ewx0bbh&#10;Hd33PhMhhF2CCnLvq0RKl+Zk0PVtRRy4i60N+gDrTOoamxBuSjmMoi9psODQkGNF3zml1/3NKFiP&#10;q8VpY/+arFye18ftMf45xF6p7me7mIDw1Pp/8du90WF+PIp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NVDEAAAA3gAAAA8AAAAAAAAAAAAAAAAAmAIAAGRycy9k&#10;b3ducmV2LnhtbFBLBQYAAAAABAAEAPUAAACJAwAAAAA=&#10;" filled="f" stroked="f">
                  <v:textbox inset="0,0,0,0">
                    <w:txbxContent>
                      <w:p w:rsidR="00EE13F6" w:rsidRDefault="002E5BC4">
                        <w:r>
                          <w:rPr>
                            <w:b/>
                            <w:sz w:val="14"/>
                          </w:rPr>
                          <w:t>Firm's</w:t>
                        </w:r>
                        <w:r>
                          <w:rPr>
                            <w:b/>
                            <w:sz w:val="14"/>
                          </w:rPr>
                          <w:tab/>
                          <w:t>leverage</w:t>
                        </w:r>
                      </w:p>
                    </w:txbxContent>
                  </v:textbox>
                </v:rect>
                <w10:anchorlock/>
              </v:group>
            </w:pict>
          </mc:Fallback>
        </mc:AlternateContent>
      </w:r>
    </w:p>
    <w:p w:rsidR="00EE13F6" w:rsidRDefault="002E5BC4">
      <w:pPr>
        <w:spacing w:after="82"/>
        <w:ind w:right="553"/>
        <w:jc w:val="center"/>
      </w:pPr>
      <w:r>
        <w:rPr>
          <w:rFonts w:ascii="Arial" w:eastAsia="Arial" w:hAnsi="Arial" w:cs="Arial"/>
          <w:b/>
          <w:sz w:val="16"/>
        </w:rPr>
        <w:t xml:space="preserve"> </w:t>
      </w:r>
    </w:p>
    <w:p w:rsidR="00EE13F6" w:rsidRDefault="002E5BC4">
      <w:pPr>
        <w:spacing w:after="180"/>
        <w:ind w:left="1078"/>
      </w:pPr>
      <w:r>
        <w:rPr>
          <w:noProof/>
        </w:rPr>
        <mc:AlternateContent>
          <mc:Choice Requires="wpg">
            <w:drawing>
              <wp:inline distT="0" distB="0" distL="0" distR="0">
                <wp:extent cx="4844726" cy="2727948"/>
                <wp:effectExtent l="0" t="0" r="0" b="0"/>
                <wp:docPr id="200812" name="Group 200812"/>
                <wp:cNvGraphicFramePr/>
                <a:graphic xmlns:a="http://schemas.openxmlformats.org/drawingml/2006/main">
                  <a:graphicData uri="http://schemas.microsoft.com/office/word/2010/wordprocessingGroup">
                    <wpg:wgp>
                      <wpg:cNvGrpSpPr/>
                      <wpg:grpSpPr>
                        <a:xfrm>
                          <a:off x="0" y="0"/>
                          <a:ext cx="4844726" cy="2727948"/>
                          <a:chOff x="0" y="0"/>
                          <a:chExt cx="4844726" cy="2727948"/>
                        </a:xfrm>
                      </wpg:grpSpPr>
                      <wps:wsp>
                        <wps:cNvPr id="19311" name="Shape 19311"/>
                        <wps:cNvSpPr/>
                        <wps:spPr>
                          <a:xfrm>
                            <a:off x="287276" y="2692522"/>
                            <a:ext cx="4491952" cy="0"/>
                          </a:xfrm>
                          <a:custGeom>
                            <a:avLst/>
                            <a:gdLst/>
                            <a:ahLst/>
                            <a:cxnLst/>
                            <a:rect l="0" t="0" r="0" b="0"/>
                            <a:pathLst>
                              <a:path w="4491952">
                                <a:moveTo>
                                  <a:pt x="0" y="0"/>
                                </a:moveTo>
                                <a:lnTo>
                                  <a:pt x="4491952" y="0"/>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12" name="Shape 19312"/>
                        <wps:cNvSpPr/>
                        <wps:spPr>
                          <a:xfrm>
                            <a:off x="287276" y="2338390"/>
                            <a:ext cx="4491952" cy="0"/>
                          </a:xfrm>
                          <a:custGeom>
                            <a:avLst/>
                            <a:gdLst/>
                            <a:ahLst/>
                            <a:cxnLst/>
                            <a:rect l="0" t="0" r="0" b="0"/>
                            <a:pathLst>
                              <a:path w="4491952">
                                <a:moveTo>
                                  <a:pt x="0" y="0"/>
                                </a:moveTo>
                                <a:lnTo>
                                  <a:pt x="4491952" y="0"/>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13" name="Shape 19313"/>
                        <wps:cNvSpPr/>
                        <wps:spPr>
                          <a:xfrm>
                            <a:off x="287276" y="1984259"/>
                            <a:ext cx="4491952" cy="0"/>
                          </a:xfrm>
                          <a:custGeom>
                            <a:avLst/>
                            <a:gdLst/>
                            <a:ahLst/>
                            <a:cxnLst/>
                            <a:rect l="0" t="0" r="0" b="0"/>
                            <a:pathLst>
                              <a:path w="4491952">
                                <a:moveTo>
                                  <a:pt x="0" y="0"/>
                                </a:moveTo>
                                <a:lnTo>
                                  <a:pt x="4491952" y="0"/>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14" name="Shape 19314"/>
                        <wps:cNvSpPr/>
                        <wps:spPr>
                          <a:xfrm>
                            <a:off x="287276" y="1630128"/>
                            <a:ext cx="4491952" cy="0"/>
                          </a:xfrm>
                          <a:custGeom>
                            <a:avLst/>
                            <a:gdLst/>
                            <a:ahLst/>
                            <a:cxnLst/>
                            <a:rect l="0" t="0" r="0" b="0"/>
                            <a:pathLst>
                              <a:path w="4491952">
                                <a:moveTo>
                                  <a:pt x="0" y="0"/>
                                </a:moveTo>
                                <a:lnTo>
                                  <a:pt x="4491952" y="0"/>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15" name="Shape 19315"/>
                        <wps:cNvSpPr/>
                        <wps:spPr>
                          <a:xfrm>
                            <a:off x="287276" y="1270375"/>
                            <a:ext cx="4491952" cy="0"/>
                          </a:xfrm>
                          <a:custGeom>
                            <a:avLst/>
                            <a:gdLst/>
                            <a:ahLst/>
                            <a:cxnLst/>
                            <a:rect l="0" t="0" r="0" b="0"/>
                            <a:pathLst>
                              <a:path w="4491952">
                                <a:moveTo>
                                  <a:pt x="0" y="0"/>
                                </a:moveTo>
                                <a:lnTo>
                                  <a:pt x="4491952" y="0"/>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16" name="Shape 19316"/>
                        <wps:cNvSpPr/>
                        <wps:spPr>
                          <a:xfrm>
                            <a:off x="287276" y="916244"/>
                            <a:ext cx="4491952" cy="0"/>
                          </a:xfrm>
                          <a:custGeom>
                            <a:avLst/>
                            <a:gdLst/>
                            <a:ahLst/>
                            <a:cxnLst/>
                            <a:rect l="0" t="0" r="0" b="0"/>
                            <a:pathLst>
                              <a:path w="4491952">
                                <a:moveTo>
                                  <a:pt x="0" y="0"/>
                                </a:moveTo>
                                <a:lnTo>
                                  <a:pt x="4491952" y="0"/>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17" name="Shape 19317"/>
                        <wps:cNvSpPr/>
                        <wps:spPr>
                          <a:xfrm>
                            <a:off x="737777" y="562113"/>
                            <a:ext cx="0" cy="2130409"/>
                          </a:xfrm>
                          <a:custGeom>
                            <a:avLst/>
                            <a:gdLst/>
                            <a:ahLst/>
                            <a:cxnLst/>
                            <a:rect l="0" t="0" r="0" b="0"/>
                            <a:pathLst>
                              <a:path h="2130409">
                                <a:moveTo>
                                  <a:pt x="0" y="0"/>
                                </a:moveTo>
                                <a:lnTo>
                                  <a:pt x="0" y="2130409"/>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18" name="Shape 19318"/>
                        <wps:cNvSpPr/>
                        <wps:spPr>
                          <a:xfrm>
                            <a:off x="1181749" y="562113"/>
                            <a:ext cx="0" cy="2130409"/>
                          </a:xfrm>
                          <a:custGeom>
                            <a:avLst/>
                            <a:gdLst/>
                            <a:ahLst/>
                            <a:cxnLst/>
                            <a:rect l="0" t="0" r="0" b="0"/>
                            <a:pathLst>
                              <a:path h="2130409">
                                <a:moveTo>
                                  <a:pt x="0" y="0"/>
                                </a:moveTo>
                                <a:lnTo>
                                  <a:pt x="0" y="2130409"/>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19" name="Shape 19319"/>
                        <wps:cNvSpPr/>
                        <wps:spPr>
                          <a:xfrm>
                            <a:off x="1632250" y="562113"/>
                            <a:ext cx="0" cy="2130409"/>
                          </a:xfrm>
                          <a:custGeom>
                            <a:avLst/>
                            <a:gdLst/>
                            <a:ahLst/>
                            <a:cxnLst/>
                            <a:rect l="0" t="0" r="0" b="0"/>
                            <a:pathLst>
                              <a:path h="2130409">
                                <a:moveTo>
                                  <a:pt x="0" y="0"/>
                                </a:moveTo>
                                <a:lnTo>
                                  <a:pt x="0" y="2130409"/>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20" name="Shape 19320"/>
                        <wps:cNvSpPr/>
                        <wps:spPr>
                          <a:xfrm>
                            <a:off x="2082751" y="562113"/>
                            <a:ext cx="0" cy="2130409"/>
                          </a:xfrm>
                          <a:custGeom>
                            <a:avLst/>
                            <a:gdLst/>
                            <a:ahLst/>
                            <a:cxnLst/>
                            <a:rect l="0" t="0" r="0" b="0"/>
                            <a:pathLst>
                              <a:path h="2130409">
                                <a:moveTo>
                                  <a:pt x="0" y="0"/>
                                </a:moveTo>
                                <a:lnTo>
                                  <a:pt x="0" y="2130409"/>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21" name="Shape 19321"/>
                        <wps:cNvSpPr/>
                        <wps:spPr>
                          <a:xfrm>
                            <a:off x="2533252" y="562113"/>
                            <a:ext cx="0" cy="2130409"/>
                          </a:xfrm>
                          <a:custGeom>
                            <a:avLst/>
                            <a:gdLst/>
                            <a:ahLst/>
                            <a:cxnLst/>
                            <a:rect l="0" t="0" r="0" b="0"/>
                            <a:pathLst>
                              <a:path h="2130409">
                                <a:moveTo>
                                  <a:pt x="0" y="0"/>
                                </a:moveTo>
                                <a:lnTo>
                                  <a:pt x="0" y="2130409"/>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22" name="Shape 19322"/>
                        <wps:cNvSpPr/>
                        <wps:spPr>
                          <a:xfrm>
                            <a:off x="2977223" y="562113"/>
                            <a:ext cx="0" cy="2130409"/>
                          </a:xfrm>
                          <a:custGeom>
                            <a:avLst/>
                            <a:gdLst/>
                            <a:ahLst/>
                            <a:cxnLst/>
                            <a:rect l="0" t="0" r="0" b="0"/>
                            <a:pathLst>
                              <a:path h="2130409">
                                <a:moveTo>
                                  <a:pt x="0" y="0"/>
                                </a:moveTo>
                                <a:lnTo>
                                  <a:pt x="0" y="2130409"/>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23" name="Shape 19323"/>
                        <wps:cNvSpPr/>
                        <wps:spPr>
                          <a:xfrm>
                            <a:off x="3427725" y="562113"/>
                            <a:ext cx="0" cy="2130409"/>
                          </a:xfrm>
                          <a:custGeom>
                            <a:avLst/>
                            <a:gdLst/>
                            <a:ahLst/>
                            <a:cxnLst/>
                            <a:rect l="0" t="0" r="0" b="0"/>
                            <a:pathLst>
                              <a:path h="2130409">
                                <a:moveTo>
                                  <a:pt x="0" y="0"/>
                                </a:moveTo>
                                <a:lnTo>
                                  <a:pt x="0" y="2130409"/>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24" name="Shape 19324"/>
                        <wps:cNvSpPr/>
                        <wps:spPr>
                          <a:xfrm>
                            <a:off x="3878226" y="562113"/>
                            <a:ext cx="0" cy="2130409"/>
                          </a:xfrm>
                          <a:custGeom>
                            <a:avLst/>
                            <a:gdLst/>
                            <a:ahLst/>
                            <a:cxnLst/>
                            <a:rect l="0" t="0" r="0" b="0"/>
                            <a:pathLst>
                              <a:path h="2130409">
                                <a:moveTo>
                                  <a:pt x="0" y="0"/>
                                </a:moveTo>
                                <a:lnTo>
                                  <a:pt x="0" y="2130409"/>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25" name="Shape 19325"/>
                        <wps:cNvSpPr/>
                        <wps:spPr>
                          <a:xfrm>
                            <a:off x="4328726" y="562113"/>
                            <a:ext cx="0" cy="2130409"/>
                          </a:xfrm>
                          <a:custGeom>
                            <a:avLst/>
                            <a:gdLst/>
                            <a:ahLst/>
                            <a:cxnLst/>
                            <a:rect l="0" t="0" r="0" b="0"/>
                            <a:pathLst>
                              <a:path h="2130409">
                                <a:moveTo>
                                  <a:pt x="0" y="0"/>
                                </a:moveTo>
                                <a:lnTo>
                                  <a:pt x="0" y="2130409"/>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26" name="Shape 19326"/>
                        <wps:cNvSpPr/>
                        <wps:spPr>
                          <a:xfrm>
                            <a:off x="4779228" y="562113"/>
                            <a:ext cx="0" cy="2130409"/>
                          </a:xfrm>
                          <a:custGeom>
                            <a:avLst/>
                            <a:gdLst/>
                            <a:ahLst/>
                            <a:cxnLst/>
                            <a:rect l="0" t="0" r="0" b="0"/>
                            <a:pathLst>
                              <a:path h="2130409">
                                <a:moveTo>
                                  <a:pt x="0" y="0"/>
                                </a:moveTo>
                                <a:lnTo>
                                  <a:pt x="0" y="2130409"/>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27" name="Shape 19327"/>
                        <wps:cNvSpPr/>
                        <wps:spPr>
                          <a:xfrm>
                            <a:off x="287276" y="562113"/>
                            <a:ext cx="1" cy="2130409"/>
                          </a:xfrm>
                          <a:custGeom>
                            <a:avLst/>
                            <a:gdLst/>
                            <a:ahLst/>
                            <a:cxnLst/>
                            <a:rect l="0" t="0" r="0" b="0"/>
                            <a:pathLst>
                              <a:path w="1" h="2130409">
                                <a:moveTo>
                                  <a:pt x="0" y="2130409"/>
                                </a:moveTo>
                                <a:lnTo>
                                  <a:pt x="1" y="0"/>
                                </a:lnTo>
                              </a:path>
                            </a:pathLst>
                          </a:custGeom>
                          <a:ln w="5621" cap="flat">
                            <a:round/>
                          </a:ln>
                        </wps:spPr>
                        <wps:style>
                          <a:lnRef idx="1">
                            <a:srgbClr val="BFBFBF"/>
                          </a:lnRef>
                          <a:fillRef idx="0">
                            <a:srgbClr val="000000">
                              <a:alpha val="0"/>
                            </a:srgbClr>
                          </a:fillRef>
                          <a:effectRef idx="0">
                            <a:scrgbClr r="0" g="0" b="0"/>
                          </a:effectRef>
                          <a:fontRef idx="none"/>
                        </wps:style>
                        <wps:bodyPr/>
                      </wps:wsp>
                      <wps:wsp>
                        <wps:cNvPr id="19328" name="Shape 19328"/>
                        <wps:cNvSpPr/>
                        <wps:spPr>
                          <a:xfrm>
                            <a:off x="287276" y="562113"/>
                            <a:ext cx="4491952" cy="0"/>
                          </a:xfrm>
                          <a:custGeom>
                            <a:avLst/>
                            <a:gdLst/>
                            <a:ahLst/>
                            <a:cxnLst/>
                            <a:rect l="0" t="0" r="0" b="0"/>
                            <a:pathLst>
                              <a:path w="4491952">
                                <a:moveTo>
                                  <a:pt x="0" y="0"/>
                                </a:moveTo>
                                <a:lnTo>
                                  <a:pt x="4491952" y="0"/>
                                </a:lnTo>
                              </a:path>
                            </a:pathLst>
                          </a:custGeom>
                          <a:ln w="5621" cap="flat">
                            <a:round/>
                          </a:ln>
                        </wps:spPr>
                        <wps:style>
                          <a:lnRef idx="1">
                            <a:srgbClr val="BFBFBF"/>
                          </a:lnRef>
                          <a:fillRef idx="0">
                            <a:srgbClr val="000000">
                              <a:alpha val="0"/>
                            </a:srgbClr>
                          </a:fillRef>
                          <a:effectRef idx="0">
                            <a:scrgbClr r="0" g="0" b="0"/>
                          </a:effectRef>
                          <a:fontRef idx="none"/>
                        </wps:style>
                        <wps:bodyPr/>
                      </wps:wsp>
                      <wps:wsp>
                        <wps:cNvPr id="19330" name="Shape 19330"/>
                        <wps:cNvSpPr/>
                        <wps:spPr>
                          <a:xfrm>
                            <a:off x="512526" y="649240"/>
                            <a:ext cx="4041450" cy="1922427"/>
                          </a:xfrm>
                          <a:custGeom>
                            <a:avLst/>
                            <a:gdLst/>
                            <a:ahLst/>
                            <a:cxnLst/>
                            <a:rect l="0" t="0" r="0" b="0"/>
                            <a:pathLst>
                              <a:path w="4041450" h="1922427">
                                <a:moveTo>
                                  <a:pt x="0" y="0"/>
                                </a:moveTo>
                                <a:lnTo>
                                  <a:pt x="450501" y="44969"/>
                                </a:lnTo>
                                <a:lnTo>
                                  <a:pt x="894473" y="101180"/>
                                </a:lnTo>
                                <a:lnTo>
                                  <a:pt x="1344974" y="163013"/>
                                </a:lnTo>
                                <a:lnTo>
                                  <a:pt x="1795475" y="241709"/>
                                </a:lnTo>
                                <a:lnTo>
                                  <a:pt x="2245976" y="331647"/>
                                </a:lnTo>
                                <a:lnTo>
                                  <a:pt x="2689948" y="387858"/>
                                </a:lnTo>
                                <a:lnTo>
                                  <a:pt x="3140449" y="472175"/>
                                </a:lnTo>
                                <a:lnTo>
                                  <a:pt x="3590950" y="629567"/>
                                </a:lnTo>
                                <a:lnTo>
                                  <a:pt x="4041450" y="1922427"/>
                                </a:lnTo>
                              </a:path>
                            </a:pathLst>
                          </a:custGeom>
                          <a:ln w="11242" cap="rnd">
                            <a:round/>
                          </a:ln>
                        </wps:spPr>
                        <wps:style>
                          <a:lnRef idx="1">
                            <a:srgbClr val="5E5E5E"/>
                          </a:lnRef>
                          <a:fillRef idx="0">
                            <a:srgbClr val="000000">
                              <a:alpha val="0"/>
                            </a:srgbClr>
                          </a:fillRef>
                          <a:effectRef idx="0">
                            <a:scrgbClr r="0" g="0" b="0"/>
                          </a:effectRef>
                          <a:fontRef idx="none"/>
                        </wps:style>
                        <wps:bodyPr/>
                      </wps:wsp>
                      <wps:wsp>
                        <wps:cNvPr id="19332" name="Shape 19332"/>
                        <wps:cNvSpPr/>
                        <wps:spPr>
                          <a:xfrm>
                            <a:off x="512526" y="666103"/>
                            <a:ext cx="4041450" cy="1776277"/>
                          </a:xfrm>
                          <a:custGeom>
                            <a:avLst/>
                            <a:gdLst/>
                            <a:ahLst/>
                            <a:cxnLst/>
                            <a:rect l="0" t="0" r="0" b="0"/>
                            <a:pathLst>
                              <a:path w="4041450" h="1776277">
                                <a:moveTo>
                                  <a:pt x="0" y="0"/>
                                </a:moveTo>
                                <a:lnTo>
                                  <a:pt x="450501" y="50590"/>
                                </a:lnTo>
                                <a:lnTo>
                                  <a:pt x="894473" y="112423"/>
                                </a:lnTo>
                                <a:lnTo>
                                  <a:pt x="1344974" y="185497"/>
                                </a:lnTo>
                                <a:lnTo>
                                  <a:pt x="1795475" y="275436"/>
                                </a:lnTo>
                                <a:lnTo>
                                  <a:pt x="2245976" y="387858"/>
                                </a:lnTo>
                                <a:lnTo>
                                  <a:pt x="2689948" y="466554"/>
                                </a:lnTo>
                                <a:lnTo>
                                  <a:pt x="3140449" y="573355"/>
                                </a:lnTo>
                                <a:lnTo>
                                  <a:pt x="3590950" y="792580"/>
                                </a:lnTo>
                                <a:lnTo>
                                  <a:pt x="4041450" y="1776277"/>
                                </a:lnTo>
                              </a:path>
                            </a:pathLst>
                          </a:custGeom>
                          <a:ln w="11242" cap="rnd">
                            <a:round/>
                          </a:ln>
                        </wps:spPr>
                        <wps:style>
                          <a:lnRef idx="1">
                            <a:srgbClr val="B3B3B3"/>
                          </a:lnRef>
                          <a:fillRef idx="0">
                            <a:srgbClr val="000000">
                              <a:alpha val="0"/>
                            </a:srgbClr>
                          </a:fillRef>
                          <a:effectRef idx="0">
                            <a:scrgbClr r="0" g="0" b="0"/>
                          </a:effectRef>
                          <a:fontRef idx="none"/>
                        </wps:style>
                        <wps:bodyPr/>
                      </wps:wsp>
                      <wps:wsp>
                        <wps:cNvPr id="19334" name="Shape 19334"/>
                        <wps:cNvSpPr/>
                        <wps:spPr>
                          <a:xfrm>
                            <a:off x="512526" y="570544"/>
                            <a:ext cx="4041450" cy="1826868"/>
                          </a:xfrm>
                          <a:custGeom>
                            <a:avLst/>
                            <a:gdLst/>
                            <a:ahLst/>
                            <a:cxnLst/>
                            <a:rect l="0" t="0" r="0" b="0"/>
                            <a:pathLst>
                              <a:path w="4041450" h="1826868">
                                <a:moveTo>
                                  <a:pt x="0" y="0"/>
                                </a:moveTo>
                                <a:lnTo>
                                  <a:pt x="450501" y="168634"/>
                                </a:lnTo>
                                <a:lnTo>
                                  <a:pt x="894473" y="236088"/>
                                </a:lnTo>
                                <a:lnTo>
                                  <a:pt x="1344974" y="320404"/>
                                </a:lnTo>
                                <a:lnTo>
                                  <a:pt x="1795475" y="415964"/>
                                </a:lnTo>
                                <a:lnTo>
                                  <a:pt x="2245976" y="545250"/>
                                </a:lnTo>
                                <a:lnTo>
                                  <a:pt x="2689948" y="635188"/>
                                </a:lnTo>
                                <a:lnTo>
                                  <a:pt x="3140449" y="770095"/>
                                </a:lnTo>
                                <a:lnTo>
                                  <a:pt x="3590950" y="1011804"/>
                                </a:lnTo>
                                <a:lnTo>
                                  <a:pt x="4041450" y="1826868"/>
                                </a:lnTo>
                              </a:path>
                            </a:pathLst>
                          </a:custGeom>
                          <a:ln w="11242" cap="rnd">
                            <a:round/>
                          </a:ln>
                        </wps:spPr>
                        <wps:style>
                          <a:lnRef idx="1">
                            <a:srgbClr val="898989"/>
                          </a:lnRef>
                          <a:fillRef idx="0">
                            <a:srgbClr val="000000">
                              <a:alpha val="0"/>
                            </a:srgbClr>
                          </a:fillRef>
                          <a:effectRef idx="0">
                            <a:scrgbClr r="0" g="0" b="0"/>
                          </a:effectRef>
                          <a:fontRef idx="none"/>
                        </wps:style>
                        <wps:bodyPr/>
                      </wps:wsp>
                      <wps:wsp>
                        <wps:cNvPr id="19336" name="Shape 19336"/>
                        <wps:cNvSpPr/>
                        <wps:spPr>
                          <a:xfrm>
                            <a:off x="512526" y="694210"/>
                            <a:ext cx="4041450" cy="1686340"/>
                          </a:xfrm>
                          <a:custGeom>
                            <a:avLst/>
                            <a:gdLst/>
                            <a:ahLst/>
                            <a:cxnLst/>
                            <a:rect l="0" t="0" r="0" b="0"/>
                            <a:pathLst>
                              <a:path w="4041450" h="1686340">
                                <a:moveTo>
                                  <a:pt x="0" y="0"/>
                                </a:moveTo>
                                <a:lnTo>
                                  <a:pt x="450501" y="61832"/>
                                </a:lnTo>
                                <a:lnTo>
                                  <a:pt x="894473" y="140528"/>
                                </a:lnTo>
                                <a:lnTo>
                                  <a:pt x="1344974" y="230467"/>
                                </a:lnTo>
                                <a:lnTo>
                                  <a:pt x="1795475" y="337268"/>
                                </a:lnTo>
                                <a:lnTo>
                                  <a:pt x="2245976" y="477796"/>
                                </a:lnTo>
                                <a:lnTo>
                                  <a:pt x="2689948" y="578977"/>
                                </a:lnTo>
                                <a:lnTo>
                                  <a:pt x="3140449" y="725126"/>
                                </a:lnTo>
                                <a:lnTo>
                                  <a:pt x="3590950" y="978077"/>
                                </a:lnTo>
                                <a:lnTo>
                                  <a:pt x="4041450" y="1686340"/>
                                </a:lnTo>
                              </a:path>
                            </a:pathLst>
                          </a:custGeom>
                          <a:ln w="11242" cap="rnd">
                            <a:round/>
                          </a:ln>
                        </wps:spPr>
                        <wps:style>
                          <a:lnRef idx="1">
                            <a:srgbClr val="212121"/>
                          </a:lnRef>
                          <a:fillRef idx="0">
                            <a:srgbClr val="000000">
                              <a:alpha val="0"/>
                            </a:srgbClr>
                          </a:fillRef>
                          <a:effectRef idx="0">
                            <a:scrgbClr r="0" g="0" b="0"/>
                          </a:effectRef>
                          <a:fontRef idx="none"/>
                        </wps:style>
                        <wps:bodyPr/>
                      </wps:wsp>
                      <wps:wsp>
                        <wps:cNvPr id="19338" name="Shape 19338"/>
                        <wps:cNvSpPr/>
                        <wps:spPr>
                          <a:xfrm>
                            <a:off x="512526" y="649240"/>
                            <a:ext cx="4041450" cy="1720066"/>
                          </a:xfrm>
                          <a:custGeom>
                            <a:avLst/>
                            <a:gdLst/>
                            <a:ahLst/>
                            <a:cxnLst/>
                            <a:rect l="0" t="0" r="0" b="0"/>
                            <a:pathLst>
                              <a:path w="4041450" h="1720066">
                                <a:moveTo>
                                  <a:pt x="0" y="0"/>
                                </a:moveTo>
                                <a:lnTo>
                                  <a:pt x="450501" y="129286"/>
                                </a:lnTo>
                                <a:lnTo>
                                  <a:pt x="894473" y="207982"/>
                                </a:lnTo>
                                <a:lnTo>
                                  <a:pt x="1344974" y="303541"/>
                                </a:lnTo>
                                <a:lnTo>
                                  <a:pt x="1795475" y="421585"/>
                                </a:lnTo>
                                <a:lnTo>
                                  <a:pt x="2245976" y="578977"/>
                                </a:lnTo>
                                <a:lnTo>
                                  <a:pt x="2689948" y="685778"/>
                                </a:lnTo>
                                <a:lnTo>
                                  <a:pt x="3140449" y="837549"/>
                                </a:lnTo>
                                <a:lnTo>
                                  <a:pt x="3590950" y="1096121"/>
                                </a:lnTo>
                                <a:lnTo>
                                  <a:pt x="4041450" y="1720066"/>
                                </a:lnTo>
                              </a:path>
                            </a:pathLst>
                          </a:custGeom>
                          <a:ln w="11242" cap="rnd">
                            <a:round/>
                          </a:ln>
                        </wps:spPr>
                        <wps:style>
                          <a:lnRef idx="1">
                            <a:srgbClr val="DADADA"/>
                          </a:lnRef>
                          <a:fillRef idx="0">
                            <a:srgbClr val="000000">
                              <a:alpha val="0"/>
                            </a:srgbClr>
                          </a:fillRef>
                          <a:effectRef idx="0">
                            <a:scrgbClr r="0" g="0" b="0"/>
                          </a:effectRef>
                          <a:fontRef idx="none"/>
                        </wps:style>
                        <wps:bodyPr/>
                      </wps:wsp>
                      <wps:wsp>
                        <wps:cNvPr id="19340" name="Rectangle 19340"/>
                        <wps:cNvSpPr/>
                        <wps:spPr>
                          <a:xfrm>
                            <a:off x="43503" y="2666192"/>
                            <a:ext cx="23915" cy="82134"/>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19341" name="Rectangle 19341"/>
                        <wps:cNvSpPr/>
                        <wps:spPr>
                          <a:xfrm>
                            <a:off x="63090" y="2666192"/>
                            <a:ext cx="230705" cy="82134"/>
                          </a:xfrm>
                          <a:prstGeom prst="rect">
                            <a:avLst/>
                          </a:prstGeom>
                          <a:ln>
                            <a:noFill/>
                          </a:ln>
                        </wps:spPr>
                        <wps:txbx>
                          <w:txbxContent>
                            <w:p w:rsidR="00EE13F6" w:rsidRDefault="002E5BC4">
                              <w:r>
                                <w:rPr>
                                  <w:color w:val="585858"/>
                                  <w:sz w:val="8"/>
                                </w:rPr>
                                <w:t>30,000</w:t>
                              </w:r>
                            </w:p>
                          </w:txbxContent>
                        </wps:txbx>
                        <wps:bodyPr horzOverflow="overflow" vert="horz" lIns="0" tIns="0" rIns="0" bIns="0" rtlCol="0">
                          <a:noAutofit/>
                        </wps:bodyPr>
                      </wps:wsp>
                      <wps:wsp>
                        <wps:cNvPr id="19342" name="Rectangle 19342"/>
                        <wps:cNvSpPr/>
                        <wps:spPr>
                          <a:xfrm>
                            <a:off x="43503" y="2310758"/>
                            <a:ext cx="23915" cy="82134"/>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19343" name="Rectangle 19343"/>
                        <wps:cNvSpPr/>
                        <wps:spPr>
                          <a:xfrm>
                            <a:off x="63090" y="2310758"/>
                            <a:ext cx="230705" cy="82134"/>
                          </a:xfrm>
                          <a:prstGeom prst="rect">
                            <a:avLst/>
                          </a:prstGeom>
                          <a:ln>
                            <a:noFill/>
                          </a:ln>
                        </wps:spPr>
                        <wps:txbx>
                          <w:txbxContent>
                            <w:p w:rsidR="00EE13F6" w:rsidRDefault="002E5BC4">
                              <w:r>
                                <w:rPr>
                                  <w:color w:val="585858"/>
                                  <w:sz w:val="8"/>
                                </w:rPr>
                                <w:t>25,000</w:t>
                              </w:r>
                            </w:p>
                          </w:txbxContent>
                        </wps:txbx>
                        <wps:bodyPr horzOverflow="overflow" vert="horz" lIns="0" tIns="0" rIns="0" bIns="0" rtlCol="0">
                          <a:noAutofit/>
                        </wps:bodyPr>
                      </wps:wsp>
                      <wps:wsp>
                        <wps:cNvPr id="19344" name="Rectangle 19344"/>
                        <wps:cNvSpPr/>
                        <wps:spPr>
                          <a:xfrm>
                            <a:off x="43503" y="1955324"/>
                            <a:ext cx="23915" cy="82135"/>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19345" name="Rectangle 19345"/>
                        <wps:cNvSpPr/>
                        <wps:spPr>
                          <a:xfrm>
                            <a:off x="63090" y="1955324"/>
                            <a:ext cx="230705" cy="82135"/>
                          </a:xfrm>
                          <a:prstGeom prst="rect">
                            <a:avLst/>
                          </a:prstGeom>
                          <a:ln>
                            <a:noFill/>
                          </a:ln>
                        </wps:spPr>
                        <wps:txbx>
                          <w:txbxContent>
                            <w:p w:rsidR="00EE13F6" w:rsidRDefault="002E5BC4">
                              <w:r>
                                <w:rPr>
                                  <w:color w:val="585858"/>
                                  <w:sz w:val="8"/>
                                </w:rPr>
                                <w:t>20,000</w:t>
                              </w:r>
                            </w:p>
                          </w:txbxContent>
                        </wps:txbx>
                        <wps:bodyPr horzOverflow="overflow" vert="horz" lIns="0" tIns="0" rIns="0" bIns="0" rtlCol="0">
                          <a:noAutofit/>
                        </wps:bodyPr>
                      </wps:wsp>
                      <wps:wsp>
                        <wps:cNvPr id="19346" name="Rectangle 19346"/>
                        <wps:cNvSpPr/>
                        <wps:spPr>
                          <a:xfrm>
                            <a:off x="43503" y="1599890"/>
                            <a:ext cx="23915" cy="82135"/>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19347" name="Rectangle 19347"/>
                        <wps:cNvSpPr/>
                        <wps:spPr>
                          <a:xfrm>
                            <a:off x="63090" y="1599890"/>
                            <a:ext cx="230705" cy="82135"/>
                          </a:xfrm>
                          <a:prstGeom prst="rect">
                            <a:avLst/>
                          </a:prstGeom>
                          <a:ln>
                            <a:noFill/>
                          </a:ln>
                        </wps:spPr>
                        <wps:txbx>
                          <w:txbxContent>
                            <w:p w:rsidR="00EE13F6" w:rsidRDefault="002E5BC4">
                              <w:r>
                                <w:rPr>
                                  <w:color w:val="585858"/>
                                  <w:sz w:val="8"/>
                                </w:rPr>
                                <w:t>15,000</w:t>
                              </w:r>
                            </w:p>
                          </w:txbxContent>
                        </wps:txbx>
                        <wps:bodyPr horzOverflow="overflow" vert="horz" lIns="0" tIns="0" rIns="0" bIns="0" rtlCol="0">
                          <a:noAutofit/>
                        </wps:bodyPr>
                      </wps:wsp>
                      <wps:wsp>
                        <wps:cNvPr id="19348" name="Rectangle 19348"/>
                        <wps:cNvSpPr/>
                        <wps:spPr>
                          <a:xfrm>
                            <a:off x="43503" y="1244455"/>
                            <a:ext cx="23915" cy="82135"/>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19349" name="Rectangle 19349"/>
                        <wps:cNvSpPr/>
                        <wps:spPr>
                          <a:xfrm>
                            <a:off x="63090" y="1244455"/>
                            <a:ext cx="230705" cy="82135"/>
                          </a:xfrm>
                          <a:prstGeom prst="rect">
                            <a:avLst/>
                          </a:prstGeom>
                          <a:ln>
                            <a:noFill/>
                          </a:ln>
                        </wps:spPr>
                        <wps:txbx>
                          <w:txbxContent>
                            <w:p w:rsidR="00EE13F6" w:rsidRDefault="002E5BC4">
                              <w:r>
                                <w:rPr>
                                  <w:color w:val="585858"/>
                                  <w:sz w:val="8"/>
                                </w:rPr>
                                <w:t>10,000</w:t>
                              </w:r>
                            </w:p>
                          </w:txbxContent>
                        </wps:txbx>
                        <wps:bodyPr horzOverflow="overflow" vert="horz" lIns="0" tIns="0" rIns="0" bIns="0" rtlCol="0">
                          <a:noAutofit/>
                        </wps:bodyPr>
                      </wps:wsp>
                      <wps:wsp>
                        <wps:cNvPr id="19350" name="Rectangle 19350"/>
                        <wps:cNvSpPr/>
                        <wps:spPr>
                          <a:xfrm>
                            <a:off x="71447" y="889021"/>
                            <a:ext cx="23915" cy="82135"/>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19351" name="Rectangle 19351"/>
                        <wps:cNvSpPr/>
                        <wps:spPr>
                          <a:xfrm>
                            <a:off x="91034" y="889021"/>
                            <a:ext cx="187284" cy="82135"/>
                          </a:xfrm>
                          <a:prstGeom prst="rect">
                            <a:avLst/>
                          </a:prstGeom>
                          <a:ln>
                            <a:noFill/>
                          </a:ln>
                        </wps:spPr>
                        <wps:txbx>
                          <w:txbxContent>
                            <w:p w:rsidR="00EE13F6" w:rsidRDefault="002E5BC4">
                              <w:r>
                                <w:rPr>
                                  <w:color w:val="585858"/>
                                  <w:sz w:val="8"/>
                                </w:rPr>
                                <w:t>5,000</w:t>
                              </w:r>
                            </w:p>
                          </w:txbxContent>
                        </wps:txbx>
                        <wps:bodyPr horzOverflow="overflow" vert="horz" lIns="0" tIns="0" rIns="0" bIns="0" rtlCol="0">
                          <a:noAutofit/>
                        </wps:bodyPr>
                      </wps:wsp>
                      <wps:wsp>
                        <wps:cNvPr id="19352" name="Rectangle 19352"/>
                        <wps:cNvSpPr/>
                        <wps:spPr>
                          <a:xfrm>
                            <a:off x="93516" y="533588"/>
                            <a:ext cx="187284" cy="82136"/>
                          </a:xfrm>
                          <a:prstGeom prst="rect">
                            <a:avLst/>
                          </a:prstGeom>
                          <a:ln>
                            <a:noFill/>
                          </a:ln>
                        </wps:spPr>
                        <wps:txbx>
                          <w:txbxContent>
                            <w:p w:rsidR="00EE13F6" w:rsidRDefault="002E5BC4">
                              <w:r>
                                <w:rPr>
                                  <w:color w:val="585858"/>
                                  <w:sz w:val="8"/>
                                </w:rPr>
                                <w:t>0,000</w:t>
                              </w:r>
                            </w:p>
                          </w:txbxContent>
                        </wps:txbx>
                        <wps:bodyPr horzOverflow="overflow" vert="horz" lIns="0" tIns="0" rIns="0" bIns="0" rtlCol="0">
                          <a:noAutofit/>
                        </wps:bodyPr>
                      </wps:wsp>
                      <wps:wsp>
                        <wps:cNvPr id="200756" name="Rectangle 200756"/>
                        <wps:cNvSpPr/>
                        <wps:spPr>
                          <a:xfrm>
                            <a:off x="456477" y="596578"/>
                            <a:ext cx="39623" cy="82135"/>
                          </a:xfrm>
                          <a:prstGeom prst="rect">
                            <a:avLst/>
                          </a:prstGeom>
                          <a:ln>
                            <a:noFill/>
                          </a:ln>
                        </wps:spPr>
                        <wps:txbx>
                          <w:txbxContent>
                            <w:p w:rsidR="00EE13F6" w:rsidRDefault="002E5BC4">
                              <w:r>
                                <w:rPr>
                                  <w:color w:val="585858"/>
                                  <w:sz w:val="8"/>
                                </w:rPr>
                                <w:t>1</w:t>
                              </w:r>
                            </w:p>
                          </w:txbxContent>
                        </wps:txbx>
                        <wps:bodyPr horzOverflow="overflow" vert="horz" lIns="0" tIns="0" rIns="0" bIns="0" rtlCol="0">
                          <a:noAutofit/>
                        </wps:bodyPr>
                      </wps:wsp>
                      <wps:wsp>
                        <wps:cNvPr id="200757" name="Rectangle 200757"/>
                        <wps:cNvSpPr/>
                        <wps:spPr>
                          <a:xfrm>
                            <a:off x="502205" y="596578"/>
                            <a:ext cx="83044" cy="82135"/>
                          </a:xfrm>
                          <a:prstGeom prst="rect">
                            <a:avLst/>
                          </a:prstGeom>
                          <a:ln>
                            <a:noFill/>
                          </a:ln>
                        </wps:spPr>
                        <wps:txbx>
                          <w:txbxContent>
                            <w:p w:rsidR="00EE13F6" w:rsidRDefault="002E5BC4">
                              <w:r>
                                <w:rPr>
                                  <w:color w:val="585858"/>
                                  <w:sz w:val="8"/>
                                </w:rPr>
                                <w:t>25</w:t>
                              </w:r>
                            </w:p>
                          </w:txbxContent>
                        </wps:txbx>
                        <wps:bodyPr horzOverflow="overflow" vert="horz" lIns="0" tIns="0" rIns="0" bIns="0" rtlCol="0">
                          <a:noAutofit/>
                        </wps:bodyPr>
                      </wps:wsp>
                      <wps:wsp>
                        <wps:cNvPr id="200758" name="Rectangle 200758"/>
                        <wps:cNvSpPr/>
                        <wps:spPr>
                          <a:xfrm>
                            <a:off x="489125" y="596578"/>
                            <a:ext cx="19538" cy="82135"/>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200760" name="Rectangle 200760"/>
                        <wps:cNvSpPr/>
                        <wps:spPr>
                          <a:xfrm>
                            <a:off x="951147" y="596578"/>
                            <a:ext cx="83044" cy="82135"/>
                          </a:xfrm>
                          <a:prstGeom prst="rect">
                            <a:avLst/>
                          </a:prstGeom>
                          <a:ln>
                            <a:noFill/>
                          </a:ln>
                        </wps:spPr>
                        <wps:txbx>
                          <w:txbxContent>
                            <w:p w:rsidR="00EE13F6" w:rsidRDefault="002E5BC4">
                              <w:r>
                                <w:rPr>
                                  <w:color w:val="585858"/>
                                  <w:sz w:val="8"/>
                                </w:rPr>
                                <w:t>43</w:t>
                              </w:r>
                            </w:p>
                          </w:txbxContent>
                        </wps:txbx>
                        <wps:bodyPr horzOverflow="overflow" vert="horz" lIns="0" tIns="0" rIns="0" bIns="0" rtlCol="0">
                          <a:noAutofit/>
                        </wps:bodyPr>
                      </wps:wsp>
                      <wps:wsp>
                        <wps:cNvPr id="200761" name="Rectangle 200761"/>
                        <wps:cNvSpPr/>
                        <wps:spPr>
                          <a:xfrm>
                            <a:off x="938067" y="596578"/>
                            <a:ext cx="19538" cy="82135"/>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200759" name="Rectangle 200759"/>
                        <wps:cNvSpPr/>
                        <wps:spPr>
                          <a:xfrm>
                            <a:off x="905419" y="596578"/>
                            <a:ext cx="39623" cy="82135"/>
                          </a:xfrm>
                          <a:prstGeom prst="rect">
                            <a:avLst/>
                          </a:prstGeom>
                          <a:ln>
                            <a:noFill/>
                          </a:ln>
                        </wps:spPr>
                        <wps:txbx>
                          <w:txbxContent>
                            <w:p w:rsidR="00EE13F6" w:rsidRDefault="002E5BC4">
                              <w:r>
                                <w:rPr>
                                  <w:color w:val="585858"/>
                                  <w:sz w:val="8"/>
                                </w:rPr>
                                <w:t>1</w:t>
                              </w:r>
                            </w:p>
                          </w:txbxContent>
                        </wps:txbx>
                        <wps:bodyPr horzOverflow="overflow" vert="horz" lIns="0" tIns="0" rIns="0" bIns="0" rtlCol="0">
                          <a:noAutofit/>
                        </wps:bodyPr>
                      </wps:wsp>
                      <wps:wsp>
                        <wps:cNvPr id="200764" name="Rectangle 200764"/>
                        <wps:cNvSpPr/>
                        <wps:spPr>
                          <a:xfrm>
                            <a:off x="1387008" y="596578"/>
                            <a:ext cx="19538" cy="82135"/>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200762" name="Rectangle 200762"/>
                        <wps:cNvSpPr/>
                        <wps:spPr>
                          <a:xfrm>
                            <a:off x="1354360" y="596578"/>
                            <a:ext cx="39623" cy="82135"/>
                          </a:xfrm>
                          <a:prstGeom prst="rect">
                            <a:avLst/>
                          </a:prstGeom>
                          <a:ln>
                            <a:noFill/>
                          </a:ln>
                        </wps:spPr>
                        <wps:txbx>
                          <w:txbxContent>
                            <w:p w:rsidR="00EE13F6" w:rsidRDefault="002E5BC4">
                              <w:r>
                                <w:rPr>
                                  <w:color w:val="585858"/>
                                  <w:sz w:val="8"/>
                                </w:rPr>
                                <w:t>1</w:t>
                              </w:r>
                            </w:p>
                          </w:txbxContent>
                        </wps:txbx>
                        <wps:bodyPr horzOverflow="overflow" vert="horz" lIns="0" tIns="0" rIns="0" bIns="0" rtlCol="0">
                          <a:noAutofit/>
                        </wps:bodyPr>
                      </wps:wsp>
                      <wps:wsp>
                        <wps:cNvPr id="200763" name="Rectangle 200763"/>
                        <wps:cNvSpPr/>
                        <wps:spPr>
                          <a:xfrm>
                            <a:off x="1400088" y="596578"/>
                            <a:ext cx="83044" cy="82135"/>
                          </a:xfrm>
                          <a:prstGeom prst="rect">
                            <a:avLst/>
                          </a:prstGeom>
                          <a:ln>
                            <a:noFill/>
                          </a:ln>
                        </wps:spPr>
                        <wps:txbx>
                          <w:txbxContent>
                            <w:p w:rsidR="00EE13F6" w:rsidRDefault="002E5BC4">
                              <w:r>
                                <w:rPr>
                                  <w:color w:val="585858"/>
                                  <w:sz w:val="8"/>
                                </w:rPr>
                                <w:t>67</w:t>
                              </w:r>
                            </w:p>
                          </w:txbxContent>
                        </wps:txbx>
                        <wps:bodyPr horzOverflow="overflow" vert="horz" lIns="0" tIns="0" rIns="0" bIns="0" rtlCol="0">
                          <a:noAutofit/>
                        </wps:bodyPr>
                      </wps:wsp>
                      <wps:wsp>
                        <wps:cNvPr id="200765" name="Rectangle 200765"/>
                        <wps:cNvSpPr/>
                        <wps:spPr>
                          <a:xfrm>
                            <a:off x="1803303" y="596578"/>
                            <a:ext cx="39623" cy="82135"/>
                          </a:xfrm>
                          <a:prstGeom prst="rect">
                            <a:avLst/>
                          </a:prstGeom>
                          <a:ln>
                            <a:noFill/>
                          </a:ln>
                        </wps:spPr>
                        <wps:txbx>
                          <w:txbxContent>
                            <w:p w:rsidR="00EE13F6" w:rsidRDefault="002E5BC4">
                              <w:r>
                                <w:rPr>
                                  <w:color w:val="585858"/>
                                  <w:sz w:val="8"/>
                                </w:rPr>
                                <w:t>2</w:t>
                              </w:r>
                            </w:p>
                          </w:txbxContent>
                        </wps:txbx>
                        <wps:bodyPr horzOverflow="overflow" vert="horz" lIns="0" tIns="0" rIns="0" bIns="0" rtlCol="0">
                          <a:noAutofit/>
                        </wps:bodyPr>
                      </wps:wsp>
                      <wps:wsp>
                        <wps:cNvPr id="200767" name="Rectangle 200767"/>
                        <wps:cNvSpPr/>
                        <wps:spPr>
                          <a:xfrm>
                            <a:off x="1835950" y="596578"/>
                            <a:ext cx="19538" cy="82135"/>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200766" name="Rectangle 200766"/>
                        <wps:cNvSpPr/>
                        <wps:spPr>
                          <a:xfrm>
                            <a:off x="1849031" y="596578"/>
                            <a:ext cx="83044" cy="82135"/>
                          </a:xfrm>
                          <a:prstGeom prst="rect">
                            <a:avLst/>
                          </a:prstGeom>
                          <a:ln>
                            <a:noFill/>
                          </a:ln>
                        </wps:spPr>
                        <wps:txbx>
                          <w:txbxContent>
                            <w:p w:rsidR="00EE13F6" w:rsidRDefault="002E5BC4">
                              <w:r>
                                <w:rPr>
                                  <w:color w:val="585858"/>
                                  <w:sz w:val="8"/>
                                </w:rPr>
                                <w:t>00</w:t>
                              </w:r>
                            </w:p>
                          </w:txbxContent>
                        </wps:txbx>
                        <wps:bodyPr horzOverflow="overflow" vert="horz" lIns="0" tIns="0" rIns="0" bIns="0" rtlCol="0">
                          <a:noAutofit/>
                        </wps:bodyPr>
                      </wps:wsp>
                      <wps:wsp>
                        <wps:cNvPr id="200768" name="Rectangle 200768"/>
                        <wps:cNvSpPr/>
                        <wps:spPr>
                          <a:xfrm>
                            <a:off x="2252244" y="596578"/>
                            <a:ext cx="39623" cy="82135"/>
                          </a:xfrm>
                          <a:prstGeom prst="rect">
                            <a:avLst/>
                          </a:prstGeom>
                          <a:ln>
                            <a:noFill/>
                          </a:ln>
                        </wps:spPr>
                        <wps:txbx>
                          <w:txbxContent>
                            <w:p w:rsidR="00EE13F6" w:rsidRDefault="002E5BC4">
                              <w:r>
                                <w:rPr>
                                  <w:color w:val="585858"/>
                                  <w:sz w:val="8"/>
                                </w:rPr>
                                <w:t>2</w:t>
                              </w:r>
                            </w:p>
                          </w:txbxContent>
                        </wps:txbx>
                        <wps:bodyPr horzOverflow="overflow" vert="horz" lIns="0" tIns="0" rIns="0" bIns="0" rtlCol="0">
                          <a:noAutofit/>
                        </wps:bodyPr>
                      </wps:wsp>
                      <wps:wsp>
                        <wps:cNvPr id="200770" name="Rectangle 200770"/>
                        <wps:cNvSpPr/>
                        <wps:spPr>
                          <a:xfrm>
                            <a:off x="2284892" y="596578"/>
                            <a:ext cx="19538" cy="82135"/>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200769" name="Rectangle 200769"/>
                        <wps:cNvSpPr/>
                        <wps:spPr>
                          <a:xfrm>
                            <a:off x="2297972" y="596578"/>
                            <a:ext cx="83044" cy="82135"/>
                          </a:xfrm>
                          <a:prstGeom prst="rect">
                            <a:avLst/>
                          </a:prstGeom>
                          <a:ln>
                            <a:noFill/>
                          </a:ln>
                        </wps:spPr>
                        <wps:txbx>
                          <w:txbxContent>
                            <w:p w:rsidR="00EE13F6" w:rsidRDefault="002E5BC4">
                              <w:r>
                                <w:rPr>
                                  <w:color w:val="585858"/>
                                  <w:sz w:val="8"/>
                                </w:rPr>
                                <w:t>50</w:t>
                              </w:r>
                            </w:p>
                          </w:txbxContent>
                        </wps:txbx>
                        <wps:bodyPr horzOverflow="overflow" vert="horz" lIns="0" tIns="0" rIns="0" bIns="0" rtlCol="0">
                          <a:noAutofit/>
                        </wps:bodyPr>
                      </wps:wsp>
                      <wps:wsp>
                        <wps:cNvPr id="200771" name="Rectangle 200771"/>
                        <wps:cNvSpPr/>
                        <wps:spPr>
                          <a:xfrm>
                            <a:off x="2701186" y="596578"/>
                            <a:ext cx="39623" cy="82135"/>
                          </a:xfrm>
                          <a:prstGeom prst="rect">
                            <a:avLst/>
                          </a:prstGeom>
                          <a:ln>
                            <a:noFill/>
                          </a:ln>
                        </wps:spPr>
                        <wps:txbx>
                          <w:txbxContent>
                            <w:p w:rsidR="00EE13F6" w:rsidRDefault="002E5BC4">
                              <w:r>
                                <w:rPr>
                                  <w:color w:val="585858"/>
                                  <w:sz w:val="8"/>
                                </w:rPr>
                                <w:t>3</w:t>
                              </w:r>
                            </w:p>
                          </w:txbxContent>
                        </wps:txbx>
                        <wps:bodyPr horzOverflow="overflow" vert="horz" lIns="0" tIns="0" rIns="0" bIns="0" rtlCol="0">
                          <a:noAutofit/>
                        </wps:bodyPr>
                      </wps:wsp>
                      <wps:wsp>
                        <wps:cNvPr id="200772" name="Rectangle 200772"/>
                        <wps:cNvSpPr/>
                        <wps:spPr>
                          <a:xfrm>
                            <a:off x="2746914" y="596578"/>
                            <a:ext cx="83044" cy="82135"/>
                          </a:xfrm>
                          <a:prstGeom prst="rect">
                            <a:avLst/>
                          </a:prstGeom>
                          <a:ln>
                            <a:noFill/>
                          </a:ln>
                        </wps:spPr>
                        <wps:txbx>
                          <w:txbxContent>
                            <w:p w:rsidR="00EE13F6" w:rsidRDefault="002E5BC4">
                              <w:r>
                                <w:rPr>
                                  <w:color w:val="585858"/>
                                  <w:sz w:val="8"/>
                                </w:rPr>
                                <w:t>33</w:t>
                              </w:r>
                            </w:p>
                          </w:txbxContent>
                        </wps:txbx>
                        <wps:bodyPr horzOverflow="overflow" vert="horz" lIns="0" tIns="0" rIns="0" bIns="0" rtlCol="0">
                          <a:noAutofit/>
                        </wps:bodyPr>
                      </wps:wsp>
                      <wps:wsp>
                        <wps:cNvPr id="200773" name="Rectangle 200773"/>
                        <wps:cNvSpPr/>
                        <wps:spPr>
                          <a:xfrm>
                            <a:off x="2733834" y="596578"/>
                            <a:ext cx="19538" cy="82135"/>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200775" name="Rectangle 200775"/>
                        <wps:cNvSpPr/>
                        <wps:spPr>
                          <a:xfrm>
                            <a:off x="3195856" y="596578"/>
                            <a:ext cx="83045" cy="82135"/>
                          </a:xfrm>
                          <a:prstGeom prst="rect">
                            <a:avLst/>
                          </a:prstGeom>
                          <a:ln>
                            <a:noFill/>
                          </a:ln>
                        </wps:spPr>
                        <wps:txbx>
                          <w:txbxContent>
                            <w:p w:rsidR="00EE13F6" w:rsidRDefault="002E5BC4">
                              <w:r>
                                <w:rPr>
                                  <w:color w:val="585858"/>
                                  <w:sz w:val="8"/>
                                </w:rPr>
                                <w:t>00</w:t>
                              </w:r>
                            </w:p>
                          </w:txbxContent>
                        </wps:txbx>
                        <wps:bodyPr horzOverflow="overflow" vert="horz" lIns="0" tIns="0" rIns="0" bIns="0" rtlCol="0">
                          <a:noAutofit/>
                        </wps:bodyPr>
                      </wps:wsp>
                      <wps:wsp>
                        <wps:cNvPr id="200774" name="Rectangle 200774"/>
                        <wps:cNvSpPr/>
                        <wps:spPr>
                          <a:xfrm>
                            <a:off x="3150128" y="596578"/>
                            <a:ext cx="39623" cy="82135"/>
                          </a:xfrm>
                          <a:prstGeom prst="rect">
                            <a:avLst/>
                          </a:prstGeom>
                          <a:ln>
                            <a:noFill/>
                          </a:ln>
                        </wps:spPr>
                        <wps:txbx>
                          <w:txbxContent>
                            <w:p w:rsidR="00EE13F6" w:rsidRDefault="002E5BC4">
                              <w:r>
                                <w:rPr>
                                  <w:color w:val="585858"/>
                                  <w:sz w:val="8"/>
                                </w:rPr>
                                <w:t>4</w:t>
                              </w:r>
                            </w:p>
                          </w:txbxContent>
                        </wps:txbx>
                        <wps:bodyPr horzOverflow="overflow" vert="horz" lIns="0" tIns="0" rIns="0" bIns="0" rtlCol="0">
                          <a:noAutofit/>
                        </wps:bodyPr>
                      </wps:wsp>
                      <wps:wsp>
                        <wps:cNvPr id="200776" name="Rectangle 200776"/>
                        <wps:cNvSpPr/>
                        <wps:spPr>
                          <a:xfrm>
                            <a:off x="3182776" y="596578"/>
                            <a:ext cx="19538" cy="82135"/>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200778" name="Rectangle 200778"/>
                        <wps:cNvSpPr/>
                        <wps:spPr>
                          <a:xfrm>
                            <a:off x="3644797" y="596578"/>
                            <a:ext cx="83045" cy="82135"/>
                          </a:xfrm>
                          <a:prstGeom prst="rect">
                            <a:avLst/>
                          </a:prstGeom>
                          <a:ln>
                            <a:noFill/>
                          </a:ln>
                        </wps:spPr>
                        <wps:txbx>
                          <w:txbxContent>
                            <w:p w:rsidR="00EE13F6" w:rsidRDefault="002E5BC4">
                              <w:r>
                                <w:rPr>
                                  <w:color w:val="585858"/>
                                  <w:sz w:val="8"/>
                                </w:rPr>
                                <w:t>00</w:t>
                              </w:r>
                            </w:p>
                          </w:txbxContent>
                        </wps:txbx>
                        <wps:bodyPr horzOverflow="overflow" vert="horz" lIns="0" tIns="0" rIns="0" bIns="0" rtlCol="0">
                          <a:noAutofit/>
                        </wps:bodyPr>
                      </wps:wsp>
                      <wps:wsp>
                        <wps:cNvPr id="200779" name="Rectangle 200779"/>
                        <wps:cNvSpPr/>
                        <wps:spPr>
                          <a:xfrm>
                            <a:off x="3631717" y="596578"/>
                            <a:ext cx="19538" cy="82135"/>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200777" name="Rectangle 200777"/>
                        <wps:cNvSpPr/>
                        <wps:spPr>
                          <a:xfrm>
                            <a:off x="3599070" y="596578"/>
                            <a:ext cx="39623" cy="82135"/>
                          </a:xfrm>
                          <a:prstGeom prst="rect">
                            <a:avLst/>
                          </a:prstGeom>
                          <a:ln>
                            <a:noFill/>
                          </a:ln>
                        </wps:spPr>
                        <wps:txbx>
                          <w:txbxContent>
                            <w:p w:rsidR="00EE13F6" w:rsidRDefault="002E5BC4">
                              <w:r>
                                <w:rPr>
                                  <w:color w:val="585858"/>
                                  <w:sz w:val="8"/>
                                </w:rPr>
                                <w:t>5</w:t>
                              </w:r>
                            </w:p>
                          </w:txbxContent>
                        </wps:txbx>
                        <wps:bodyPr horzOverflow="overflow" vert="horz" lIns="0" tIns="0" rIns="0" bIns="0" rtlCol="0">
                          <a:noAutofit/>
                        </wps:bodyPr>
                      </wps:wsp>
                      <wps:wsp>
                        <wps:cNvPr id="200782" name="Rectangle 200782"/>
                        <wps:cNvSpPr/>
                        <wps:spPr>
                          <a:xfrm>
                            <a:off x="4080659" y="596578"/>
                            <a:ext cx="19538" cy="82135"/>
                          </a:xfrm>
                          <a:prstGeom prst="rect">
                            <a:avLst/>
                          </a:prstGeom>
                          <a:ln>
                            <a:noFill/>
                          </a:ln>
                        </wps:spPr>
                        <wps:txbx>
                          <w:txbxContent>
                            <w:p w:rsidR="00EE13F6" w:rsidRDefault="002E5BC4">
                              <w:r>
                                <w:rPr>
                                  <w:color w:val="585858"/>
                                  <w:sz w:val="8"/>
                                </w:rPr>
                                <w:t>,</w:t>
                              </w:r>
                            </w:p>
                          </w:txbxContent>
                        </wps:txbx>
                        <wps:bodyPr horzOverflow="overflow" vert="horz" lIns="0" tIns="0" rIns="0" bIns="0" rtlCol="0">
                          <a:noAutofit/>
                        </wps:bodyPr>
                      </wps:wsp>
                      <wps:wsp>
                        <wps:cNvPr id="200780" name="Rectangle 200780"/>
                        <wps:cNvSpPr/>
                        <wps:spPr>
                          <a:xfrm>
                            <a:off x="4048011" y="596578"/>
                            <a:ext cx="39623" cy="82135"/>
                          </a:xfrm>
                          <a:prstGeom prst="rect">
                            <a:avLst/>
                          </a:prstGeom>
                          <a:ln>
                            <a:noFill/>
                          </a:ln>
                        </wps:spPr>
                        <wps:txbx>
                          <w:txbxContent>
                            <w:p w:rsidR="00EE13F6" w:rsidRDefault="002E5BC4">
                              <w:r>
                                <w:rPr>
                                  <w:color w:val="585858"/>
                                  <w:sz w:val="8"/>
                                </w:rPr>
                                <w:t>6</w:t>
                              </w:r>
                            </w:p>
                          </w:txbxContent>
                        </wps:txbx>
                        <wps:bodyPr horzOverflow="overflow" vert="horz" lIns="0" tIns="0" rIns="0" bIns="0" rtlCol="0">
                          <a:noAutofit/>
                        </wps:bodyPr>
                      </wps:wsp>
                      <wps:wsp>
                        <wps:cNvPr id="200781" name="Rectangle 200781"/>
                        <wps:cNvSpPr/>
                        <wps:spPr>
                          <a:xfrm>
                            <a:off x="4093739" y="596578"/>
                            <a:ext cx="83045" cy="82135"/>
                          </a:xfrm>
                          <a:prstGeom prst="rect">
                            <a:avLst/>
                          </a:prstGeom>
                          <a:ln>
                            <a:noFill/>
                          </a:ln>
                        </wps:spPr>
                        <wps:txbx>
                          <w:txbxContent>
                            <w:p w:rsidR="00EE13F6" w:rsidRDefault="002E5BC4">
                              <w:r>
                                <w:rPr>
                                  <w:color w:val="585858"/>
                                  <w:sz w:val="8"/>
                                </w:rPr>
                                <w:t>67</w:t>
                              </w:r>
                            </w:p>
                          </w:txbxContent>
                        </wps:txbx>
                        <wps:bodyPr horzOverflow="overflow" vert="horz" lIns="0" tIns="0" rIns="0" bIns="0" rtlCol="0">
                          <a:noAutofit/>
                        </wps:bodyPr>
                      </wps:wsp>
                      <wps:wsp>
                        <wps:cNvPr id="19362" name="Rectangle 19362"/>
                        <wps:cNvSpPr/>
                        <wps:spPr>
                          <a:xfrm>
                            <a:off x="4516525" y="596578"/>
                            <a:ext cx="83045" cy="82135"/>
                          </a:xfrm>
                          <a:prstGeom prst="rect">
                            <a:avLst/>
                          </a:prstGeom>
                          <a:ln>
                            <a:noFill/>
                          </a:ln>
                        </wps:spPr>
                        <wps:txbx>
                          <w:txbxContent>
                            <w:p w:rsidR="00EE13F6" w:rsidRDefault="002E5BC4">
                              <w:r>
                                <w:rPr>
                                  <w:color w:val="585858"/>
                                  <w:sz w:val="8"/>
                                </w:rPr>
                                <w:t>10</w:t>
                              </w:r>
                            </w:p>
                          </w:txbxContent>
                        </wps:txbx>
                        <wps:bodyPr horzOverflow="overflow" vert="horz" lIns="0" tIns="0" rIns="0" bIns="0" rtlCol="0">
                          <a:noAutofit/>
                        </wps:bodyPr>
                      </wps:wsp>
                      <wps:wsp>
                        <wps:cNvPr id="19363" name="Rectangle 19363"/>
                        <wps:cNvSpPr/>
                        <wps:spPr>
                          <a:xfrm>
                            <a:off x="840583" y="109766"/>
                            <a:ext cx="4454931" cy="127766"/>
                          </a:xfrm>
                          <a:prstGeom prst="rect">
                            <a:avLst/>
                          </a:prstGeom>
                          <a:ln>
                            <a:noFill/>
                          </a:ln>
                        </wps:spPr>
                        <wps:txbx>
                          <w:txbxContent>
                            <w:p w:rsidR="00EE13F6" w:rsidRDefault="002E5BC4">
                              <w:r>
                                <w:rPr>
                                  <w:b/>
                                  <w:color w:val="585858"/>
                                  <w:sz w:val="12"/>
                                </w:rPr>
                                <w:t>Short</w:t>
                              </w:r>
                              <w:r>
                                <w:rPr>
                                  <w:b/>
                                  <w:color w:val="585858"/>
                                  <w:sz w:val="12"/>
                                </w:rPr>
                                <w:tab/>
                                <w:t>Term</w:t>
                              </w:r>
                              <w:r>
                                <w:rPr>
                                  <w:b/>
                                  <w:color w:val="585858"/>
                                  <w:sz w:val="12"/>
                                </w:rPr>
                                <w:tab/>
                                <w:t>Equity</w:t>
                              </w:r>
                              <w:r>
                                <w:rPr>
                                  <w:b/>
                                  <w:color w:val="585858"/>
                                  <w:sz w:val="12"/>
                                </w:rPr>
                                <w:tab/>
                                <w:t>price</w:t>
                              </w:r>
                              <w:r>
                                <w:rPr>
                                  <w:b/>
                                  <w:color w:val="585858"/>
                                  <w:sz w:val="12"/>
                                </w:rPr>
                                <w:tab/>
                                <w:t>variation</w:t>
                              </w:r>
                              <w:r>
                                <w:rPr>
                                  <w:b/>
                                  <w:color w:val="585858"/>
                                  <w:sz w:val="12"/>
                                </w:rPr>
                                <w:tab/>
                                <w:t>in</w:t>
                              </w:r>
                              <w:r>
                                <w:rPr>
                                  <w:b/>
                                  <w:color w:val="585858"/>
                                  <w:sz w:val="12"/>
                                </w:rPr>
                                <w:tab/>
                                <w:t>percents</w:t>
                              </w:r>
                              <w:r>
                                <w:rPr>
                                  <w:b/>
                                  <w:color w:val="585858"/>
                                  <w:sz w:val="12"/>
                                </w:rPr>
                                <w:tab/>
                                <w:t>as</w:t>
                              </w:r>
                              <w:r>
                                <w:rPr>
                                  <w:b/>
                                  <w:color w:val="585858"/>
                                  <w:sz w:val="12"/>
                                </w:rPr>
                                <w:tab/>
                                <w:t>a</w:t>
                              </w:r>
                              <w:r>
                                <w:rPr>
                                  <w:b/>
                                  <w:color w:val="585858"/>
                                  <w:sz w:val="12"/>
                                </w:rPr>
                                <w:tab/>
                                <w:t>function</w:t>
                              </w:r>
                              <w:r>
                                <w:rPr>
                                  <w:b/>
                                  <w:color w:val="585858"/>
                                  <w:sz w:val="12"/>
                                </w:rPr>
                                <w:tab/>
                                <w:t>of</w:t>
                              </w:r>
                              <w:r>
                                <w:rPr>
                                  <w:b/>
                                  <w:color w:val="585858"/>
                                  <w:sz w:val="12"/>
                                </w:rPr>
                                <w:tab/>
                                <w:t>leverage</w:t>
                              </w:r>
                              <w:r>
                                <w:rPr>
                                  <w:b/>
                                  <w:color w:val="585858"/>
                                  <w:sz w:val="12"/>
                                </w:rPr>
                                <w:tab/>
                                <w:t>and</w:t>
                              </w:r>
                              <w:r>
                                <w:rPr>
                                  <w:b/>
                                  <w:color w:val="585858"/>
                                  <w:sz w:val="12"/>
                                </w:rPr>
                                <w:tab/>
                                <w:t>Credit</w:t>
                              </w:r>
                              <w:r>
                                <w:rPr>
                                  <w:b/>
                                  <w:color w:val="585858"/>
                                  <w:sz w:val="12"/>
                                </w:rPr>
                                <w:tab/>
                                <w:t>spread</w:t>
                              </w:r>
                              <w:r>
                                <w:rPr>
                                  <w:b/>
                                  <w:color w:val="585858"/>
                                  <w:sz w:val="12"/>
                                </w:rPr>
                                <w:tab/>
                              </w:r>
                            </w:p>
                          </w:txbxContent>
                        </wps:txbx>
                        <wps:bodyPr horzOverflow="overflow" vert="horz" lIns="0" tIns="0" rIns="0" bIns="0" rtlCol="0">
                          <a:noAutofit/>
                        </wps:bodyPr>
                      </wps:wsp>
                      <wps:wsp>
                        <wps:cNvPr id="200754" name="Rectangle 200754"/>
                        <wps:cNvSpPr/>
                        <wps:spPr>
                          <a:xfrm>
                            <a:off x="3771711" y="205325"/>
                            <a:ext cx="37929" cy="127766"/>
                          </a:xfrm>
                          <a:prstGeom prst="rect">
                            <a:avLst/>
                          </a:prstGeom>
                          <a:ln>
                            <a:noFill/>
                          </a:ln>
                        </wps:spPr>
                        <wps:txbx>
                          <w:txbxContent>
                            <w:p w:rsidR="00EE13F6" w:rsidRDefault="002E5BC4">
                              <w:r>
                                <w:rPr>
                                  <w:b/>
                                  <w:color w:val="585858"/>
                                  <w:sz w:val="12"/>
                                </w:rPr>
                                <w:t>)</w:t>
                              </w:r>
                            </w:p>
                          </w:txbxContent>
                        </wps:txbx>
                        <wps:bodyPr horzOverflow="overflow" vert="horz" lIns="0" tIns="0" rIns="0" bIns="0" rtlCol="0">
                          <a:noAutofit/>
                        </wps:bodyPr>
                      </wps:wsp>
                      <wps:wsp>
                        <wps:cNvPr id="200753" name="Rectangle 200753"/>
                        <wps:cNvSpPr/>
                        <wps:spPr>
                          <a:xfrm>
                            <a:off x="1212736" y="205325"/>
                            <a:ext cx="37930" cy="127766"/>
                          </a:xfrm>
                          <a:prstGeom prst="rect">
                            <a:avLst/>
                          </a:prstGeom>
                          <a:ln>
                            <a:noFill/>
                          </a:ln>
                        </wps:spPr>
                        <wps:txbx>
                          <w:txbxContent>
                            <w:p w:rsidR="00EE13F6" w:rsidRDefault="002E5BC4">
                              <w:r>
                                <w:rPr>
                                  <w:b/>
                                  <w:color w:val="585858"/>
                                  <w:sz w:val="12"/>
                                </w:rPr>
                                <w:t>(</w:t>
                              </w:r>
                            </w:p>
                          </w:txbxContent>
                        </wps:txbx>
                        <wps:bodyPr horzOverflow="overflow" vert="horz" lIns="0" tIns="0" rIns="0" bIns="0" rtlCol="0">
                          <a:noAutofit/>
                        </wps:bodyPr>
                      </wps:wsp>
                      <wps:wsp>
                        <wps:cNvPr id="200755" name="Rectangle 200755"/>
                        <wps:cNvSpPr/>
                        <wps:spPr>
                          <a:xfrm>
                            <a:off x="1238851" y="205325"/>
                            <a:ext cx="3370442" cy="127766"/>
                          </a:xfrm>
                          <a:prstGeom prst="rect">
                            <a:avLst/>
                          </a:prstGeom>
                          <a:ln>
                            <a:noFill/>
                          </a:ln>
                        </wps:spPr>
                        <wps:txbx>
                          <w:txbxContent>
                            <w:p w:rsidR="00EE13F6" w:rsidRDefault="002E5BC4">
                              <w:r>
                                <w:rPr>
                                  <w:b/>
                                  <w:color w:val="585858"/>
                                  <w:sz w:val="12"/>
                                </w:rPr>
                                <w:t>ROA=5%;sigma=10%;T=5;</w:t>
                              </w:r>
                              <w:r>
                                <w:rPr>
                                  <w:b/>
                                  <w:color w:val="585858"/>
                                  <w:sz w:val="12"/>
                                </w:rPr>
                                <w:tab/>
                                <w:t>r=1%;</w:t>
                              </w:r>
                              <w:r>
                                <w:rPr>
                                  <w:b/>
                                  <w:color w:val="585858"/>
                                  <w:sz w:val="12"/>
                                </w:rPr>
                                <w:tab/>
                                <w:t>Tax=35%;</w:t>
                              </w:r>
                              <w:r>
                                <w:rPr>
                                  <w:b/>
                                  <w:color w:val="585858"/>
                                  <w:sz w:val="12"/>
                                </w:rPr>
                                <w:tab/>
                                <w:t>FTT</w:t>
                              </w:r>
                              <w:r>
                                <w:rPr>
                                  <w:b/>
                                  <w:color w:val="585858"/>
                                  <w:sz w:val="12"/>
                                </w:rPr>
                                <w:tab/>
                                <w:t>roundtrip</w:t>
                              </w:r>
                              <w:r>
                                <w:rPr>
                                  <w:b/>
                                  <w:color w:val="585858"/>
                                  <w:sz w:val="12"/>
                                </w:rPr>
                                <w:tab/>
                                <w:t>rate=0,2%</w:t>
                              </w:r>
                            </w:p>
                          </w:txbxContent>
                        </wps:txbx>
                        <wps:bodyPr horzOverflow="overflow" vert="horz" lIns="0" tIns="0" rIns="0" bIns="0" rtlCol="0">
                          <a:noAutofit/>
                        </wps:bodyPr>
                      </wps:wsp>
                      <wps:wsp>
                        <wps:cNvPr id="19365" name="Shape 19365"/>
                        <wps:cNvSpPr/>
                        <wps:spPr>
                          <a:xfrm>
                            <a:off x="1263361" y="2633501"/>
                            <a:ext cx="124051" cy="1"/>
                          </a:xfrm>
                          <a:custGeom>
                            <a:avLst/>
                            <a:gdLst/>
                            <a:ahLst/>
                            <a:cxnLst/>
                            <a:rect l="0" t="0" r="0" b="0"/>
                            <a:pathLst>
                              <a:path w="124051" h="1">
                                <a:moveTo>
                                  <a:pt x="0" y="0"/>
                                </a:moveTo>
                                <a:lnTo>
                                  <a:pt x="124051" y="1"/>
                                </a:lnTo>
                              </a:path>
                            </a:pathLst>
                          </a:custGeom>
                          <a:ln w="11242" cap="rnd">
                            <a:round/>
                          </a:ln>
                        </wps:spPr>
                        <wps:style>
                          <a:lnRef idx="1">
                            <a:srgbClr val="5E5E5E"/>
                          </a:lnRef>
                          <a:fillRef idx="0">
                            <a:srgbClr val="000000">
                              <a:alpha val="0"/>
                            </a:srgbClr>
                          </a:fillRef>
                          <a:effectRef idx="0">
                            <a:scrgbClr r="0" g="0" b="0"/>
                          </a:effectRef>
                          <a:fontRef idx="none"/>
                        </wps:style>
                        <wps:bodyPr/>
                      </wps:wsp>
                      <wps:wsp>
                        <wps:cNvPr id="19366" name="Rectangle 19366"/>
                        <wps:cNvSpPr/>
                        <wps:spPr>
                          <a:xfrm>
                            <a:off x="1401185" y="2602588"/>
                            <a:ext cx="333725" cy="82134"/>
                          </a:xfrm>
                          <a:prstGeom prst="rect">
                            <a:avLst/>
                          </a:prstGeom>
                          <a:ln>
                            <a:noFill/>
                          </a:ln>
                        </wps:spPr>
                        <wps:txbx>
                          <w:txbxContent>
                            <w:p w:rsidR="00EE13F6" w:rsidRDefault="002E5BC4">
                              <w:r>
                                <w:rPr>
                                  <w:color w:val="585858"/>
                                  <w:sz w:val="8"/>
                                </w:rPr>
                                <w:t>spread</w:t>
                              </w:r>
                              <w:r>
                                <w:rPr>
                                  <w:color w:val="585858"/>
                                  <w:sz w:val="8"/>
                                </w:rPr>
                                <w:tab/>
                                <w:t>1%</w:t>
                              </w:r>
                            </w:p>
                          </w:txbxContent>
                        </wps:txbx>
                        <wps:bodyPr horzOverflow="overflow" vert="horz" lIns="0" tIns="0" rIns="0" bIns="0" rtlCol="0">
                          <a:noAutofit/>
                        </wps:bodyPr>
                      </wps:wsp>
                      <wps:wsp>
                        <wps:cNvPr id="19367" name="Shape 19367"/>
                        <wps:cNvSpPr/>
                        <wps:spPr>
                          <a:xfrm>
                            <a:off x="1739978" y="2633501"/>
                            <a:ext cx="124051" cy="1"/>
                          </a:xfrm>
                          <a:custGeom>
                            <a:avLst/>
                            <a:gdLst/>
                            <a:ahLst/>
                            <a:cxnLst/>
                            <a:rect l="0" t="0" r="0" b="0"/>
                            <a:pathLst>
                              <a:path w="124051" h="1">
                                <a:moveTo>
                                  <a:pt x="0" y="0"/>
                                </a:moveTo>
                                <a:lnTo>
                                  <a:pt x="124051" y="1"/>
                                </a:lnTo>
                              </a:path>
                            </a:pathLst>
                          </a:custGeom>
                          <a:ln w="11242" cap="rnd">
                            <a:round/>
                          </a:ln>
                        </wps:spPr>
                        <wps:style>
                          <a:lnRef idx="1">
                            <a:srgbClr val="B3B3B3"/>
                          </a:lnRef>
                          <a:fillRef idx="0">
                            <a:srgbClr val="000000">
                              <a:alpha val="0"/>
                            </a:srgbClr>
                          </a:fillRef>
                          <a:effectRef idx="0">
                            <a:scrgbClr r="0" g="0" b="0"/>
                          </a:effectRef>
                          <a:fontRef idx="none"/>
                        </wps:style>
                        <wps:bodyPr/>
                      </wps:wsp>
                      <wps:wsp>
                        <wps:cNvPr id="19368" name="Rectangle 19368"/>
                        <wps:cNvSpPr/>
                        <wps:spPr>
                          <a:xfrm>
                            <a:off x="1876407" y="2602588"/>
                            <a:ext cx="411893" cy="82134"/>
                          </a:xfrm>
                          <a:prstGeom prst="rect">
                            <a:avLst/>
                          </a:prstGeom>
                          <a:ln>
                            <a:noFill/>
                          </a:ln>
                        </wps:spPr>
                        <wps:txbx>
                          <w:txbxContent>
                            <w:p w:rsidR="00EE13F6" w:rsidRDefault="002E5BC4">
                              <w:r>
                                <w:rPr>
                                  <w:color w:val="585858"/>
                                  <w:sz w:val="8"/>
                                </w:rPr>
                                <w:t>spread</w:t>
                              </w:r>
                              <w:r>
                                <w:rPr>
                                  <w:color w:val="585858"/>
                                  <w:sz w:val="8"/>
                                </w:rPr>
                                <w:tab/>
                              </w:r>
                              <w:r>
                                <w:rPr>
                                  <w:color w:val="585858"/>
                                  <w:sz w:val="8"/>
                                </w:rPr>
                                <w:tab/>
                                <w:t>1.5%</w:t>
                              </w:r>
                            </w:p>
                          </w:txbxContent>
                        </wps:txbx>
                        <wps:bodyPr horzOverflow="overflow" vert="horz" lIns="0" tIns="0" rIns="0" bIns="0" rtlCol="0">
                          <a:noAutofit/>
                        </wps:bodyPr>
                      </wps:wsp>
                      <wps:wsp>
                        <wps:cNvPr id="19369" name="Shape 19369"/>
                        <wps:cNvSpPr/>
                        <wps:spPr>
                          <a:xfrm>
                            <a:off x="2268828" y="2633501"/>
                            <a:ext cx="130580" cy="1"/>
                          </a:xfrm>
                          <a:custGeom>
                            <a:avLst/>
                            <a:gdLst/>
                            <a:ahLst/>
                            <a:cxnLst/>
                            <a:rect l="0" t="0" r="0" b="0"/>
                            <a:pathLst>
                              <a:path w="130580" h="1">
                                <a:moveTo>
                                  <a:pt x="0" y="0"/>
                                </a:moveTo>
                                <a:lnTo>
                                  <a:pt x="130580" y="1"/>
                                </a:lnTo>
                              </a:path>
                            </a:pathLst>
                          </a:custGeom>
                          <a:ln w="11242" cap="rnd">
                            <a:round/>
                          </a:ln>
                        </wps:spPr>
                        <wps:style>
                          <a:lnRef idx="1">
                            <a:srgbClr val="898989"/>
                          </a:lnRef>
                          <a:fillRef idx="0">
                            <a:srgbClr val="000000">
                              <a:alpha val="0"/>
                            </a:srgbClr>
                          </a:fillRef>
                          <a:effectRef idx="0">
                            <a:scrgbClr r="0" g="0" b="0"/>
                          </a:effectRef>
                          <a:fontRef idx="none"/>
                        </wps:style>
                        <wps:bodyPr/>
                      </wps:wsp>
                      <wps:wsp>
                        <wps:cNvPr id="19370" name="Rectangle 19370"/>
                        <wps:cNvSpPr/>
                        <wps:spPr>
                          <a:xfrm>
                            <a:off x="2409511" y="2602588"/>
                            <a:ext cx="333725" cy="82134"/>
                          </a:xfrm>
                          <a:prstGeom prst="rect">
                            <a:avLst/>
                          </a:prstGeom>
                          <a:ln>
                            <a:noFill/>
                          </a:ln>
                        </wps:spPr>
                        <wps:txbx>
                          <w:txbxContent>
                            <w:p w:rsidR="00EE13F6" w:rsidRDefault="002E5BC4">
                              <w:r>
                                <w:rPr>
                                  <w:color w:val="585858"/>
                                  <w:sz w:val="8"/>
                                </w:rPr>
                                <w:t>spread</w:t>
                              </w:r>
                              <w:r>
                                <w:rPr>
                                  <w:color w:val="585858"/>
                                  <w:sz w:val="8"/>
                                </w:rPr>
                                <w:tab/>
                                <w:t>2%</w:t>
                              </w:r>
                            </w:p>
                          </w:txbxContent>
                        </wps:txbx>
                        <wps:bodyPr horzOverflow="overflow" vert="horz" lIns="0" tIns="0" rIns="0" bIns="0" rtlCol="0">
                          <a:noAutofit/>
                        </wps:bodyPr>
                      </wps:wsp>
                      <wps:wsp>
                        <wps:cNvPr id="19371" name="Shape 19371"/>
                        <wps:cNvSpPr/>
                        <wps:spPr>
                          <a:xfrm>
                            <a:off x="2745444" y="2633501"/>
                            <a:ext cx="124051" cy="1"/>
                          </a:xfrm>
                          <a:custGeom>
                            <a:avLst/>
                            <a:gdLst/>
                            <a:ahLst/>
                            <a:cxnLst/>
                            <a:rect l="0" t="0" r="0" b="0"/>
                            <a:pathLst>
                              <a:path w="124051" h="1">
                                <a:moveTo>
                                  <a:pt x="0" y="0"/>
                                </a:moveTo>
                                <a:lnTo>
                                  <a:pt x="124051" y="1"/>
                                </a:lnTo>
                              </a:path>
                            </a:pathLst>
                          </a:custGeom>
                          <a:ln w="11242" cap="rnd">
                            <a:round/>
                          </a:ln>
                        </wps:spPr>
                        <wps:style>
                          <a:lnRef idx="1">
                            <a:srgbClr val="212121"/>
                          </a:lnRef>
                          <a:fillRef idx="0">
                            <a:srgbClr val="000000">
                              <a:alpha val="0"/>
                            </a:srgbClr>
                          </a:fillRef>
                          <a:effectRef idx="0">
                            <a:scrgbClr r="0" g="0" b="0"/>
                          </a:effectRef>
                          <a:fontRef idx="none"/>
                        </wps:style>
                        <wps:bodyPr/>
                      </wps:wsp>
                      <wps:wsp>
                        <wps:cNvPr id="19372" name="Rectangle 19372"/>
                        <wps:cNvSpPr/>
                        <wps:spPr>
                          <a:xfrm>
                            <a:off x="2884733" y="2602588"/>
                            <a:ext cx="394512" cy="82134"/>
                          </a:xfrm>
                          <a:prstGeom prst="rect">
                            <a:avLst/>
                          </a:prstGeom>
                          <a:ln>
                            <a:noFill/>
                          </a:ln>
                        </wps:spPr>
                        <wps:txbx>
                          <w:txbxContent>
                            <w:p w:rsidR="00EE13F6" w:rsidRDefault="002E5BC4">
                              <w:r>
                                <w:rPr>
                                  <w:color w:val="585858"/>
                                  <w:sz w:val="8"/>
                                </w:rPr>
                                <w:t>spread</w:t>
                              </w:r>
                              <w:r>
                                <w:rPr>
                                  <w:color w:val="585858"/>
                                  <w:sz w:val="8"/>
                                </w:rPr>
                                <w:tab/>
                                <w:t>2.5%</w:t>
                              </w:r>
                            </w:p>
                          </w:txbxContent>
                        </wps:txbx>
                        <wps:bodyPr horzOverflow="overflow" vert="horz" lIns="0" tIns="0" rIns="0" bIns="0" rtlCol="0">
                          <a:noAutofit/>
                        </wps:bodyPr>
                      </wps:wsp>
                      <wps:wsp>
                        <wps:cNvPr id="19373" name="Shape 19373"/>
                        <wps:cNvSpPr/>
                        <wps:spPr>
                          <a:xfrm>
                            <a:off x="3267764" y="2633501"/>
                            <a:ext cx="124051" cy="1"/>
                          </a:xfrm>
                          <a:custGeom>
                            <a:avLst/>
                            <a:gdLst/>
                            <a:ahLst/>
                            <a:cxnLst/>
                            <a:rect l="0" t="0" r="0" b="0"/>
                            <a:pathLst>
                              <a:path w="124051" h="1">
                                <a:moveTo>
                                  <a:pt x="0" y="0"/>
                                </a:moveTo>
                                <a:lnTo>
                                  <a:pt x="124051" y="1"/>
                                </a:lnTo>
                              </a:path>
                            </a:pathLst>
                          </a:custGeom>
                          <a:ln w="11242" cap="rnd">
                            <a:round/>
                          </a:ln>
                        </wps:spPr>
                        <wps:style>
                          <a:lnRef idx="1">
                            <a:srgbClr val="DADADA"/>
                          </a:lnRef>
                          <a:fillRef idx="0">
                            <a:srgbClr val="000000">
                              <a:alpha val="0"/>
                            </a:srgbClr>
                          </a:fillRef>
                          <a:effectRef idx="0">
                            <a:scrgbClr r="0" g="0" b="0"/>
                          </a:effectRef>
                          <a:fontRef idx="none"/>
                        </wps:style>
                        <wps:bodyPr/>
                      </wps:wsp>
                      <wps:wsp>
                        <wps:cNvPr id="19374" name="Rectangle 19374"/>
                        <wps:cNvSpPr/>
                        <wps:spPr>
                          <a:xfrm>
                            <a:off x="3404549" y="2602588"/>
                            <a:ext cx="333725" cy="82134"/>
                          </a:xfrm>
                          <a:prstGeom prst="rect">
                            <a:avLst/>
                          </a:prstGeom>
                          <a:ln>
                            <a:noFill/>
                          </a:ln>
                        </wps:spPr>
                        <wps:txbx>
                          <w:txbxContent>
                            <w:p w:rsidR="00EE13F6" w:rsidRDefault="002E5BC4">
                              <w:r>
                                <w:rPr>
                                  <w:color w:val="585858"/>
                                  <w:sz w:val="8"/>
                                </w:rPr>
                                <w:t>spread</w:t>
                              </w:r>
                              <w:r>
                                <w:rPr>
                                  <w:color w:val="585858"/>
                                  <w:sz w:val="8"/>
                                </w:rPr>
                                <w:tab/>
                                <w:t>3%</w:t>
                              </w:r>
                            </w:p>
                          </w:txbxContent>
                        </wps:txbx>
                        <wps:bodyPr horzOverflow="overflow" vert="horz" lIns="0" tIns="0" rIns="0" bIns="0" rtlCol="0">
                          <a:noAutofit/>
                        </wps:bodyPr>
                      </wps:wsp>
                      <wps:wsp>
                        <wps:cNvPr id="19375" name="Shape 19375"/>
                        <wps:cNvSpPr/>
                        <wps:spPr>
                          <a:xfrm>
                            <a:off x="0" y="0"/>
                            <a:ext cx="4844726" cy="2726249"/>
                          </a:xfrm>
                          <a:custGeom>
                            <a:avLst/>
                            <a:gdLst/>
                            <a:ahLst/>
                            <a:cxnLst/>
                            <a:rect l="0" t="0" r="0" b="0"/>
                            <a:pathLst>
                              <a:path w="4844726" h="2726249">
                                <a:moveTo>
                                  <a:pt x="4844726" y="2726249"/>
                                </a:moveTo>
                                <a:lnTo>
                                  <a:pt x="0" y="2726249"/>
                                </a:lnTo>
                                <a:lnTo>
                                  <a:pt x="0" y="0"/>
                                </a:lnTo>
                                <a:lnTo>
                                  <a:pt x="4844726" y="0"/>
                                </a:lnTo>
                              </a:path>
                            </a:pathLst>
                          </a:custGeom>
                          <a:ln w="5621" cap="flat">
                            <a:round/>
                          </a:ln>
                        </wps:spPr>
                        <wps:style>
                          <a:lnRef idx="1">
                            <a:srgbClr val="D9D9D9"/>
                          </a:lnRef>
                          <a:fillRef idx="0">
                            <a:srgbClr val="000000">
                              <a:alpha val="0"/>
                            </a:srgbClr>
                          </a:fillRef>
                          <a:effectRef idx="0">
                            <a:scrgbClr r="0" g="0" b="0"/>
                          </a:effectRef>
                          <a:fontRef idx="none"/>
                        </wps:style>
                        <wps:bodyPr/>
                      </wps:wsp>
                      <wps:wsp>
                        <wps:cNvPr id="19377" name="Rectangle 19377"/>
                        <wps:cNvSpPr/>
                        <wps:spPr>
                          <a:xfrm>
                            <a:off x="2120603" y="2398081"/>
                            <a:ext cx="886835" cy="146018"/>
                          </a:xfrm>
                          <a:prstGeom prst="rect">
                            <a:avLst/>
                          </a:prstGeom>
                          <a:ln>
                            <a:noFill/>
                          </a:ln>
                        </wps:spPr>
                        <wps:txbx>
                          <w:txbxContent>
                            <w:p w:rsidR="00EE13F6" w:rsidRDefault="002E5BC4">
                              <w:r>
                                <w:rPr>
                                  <w:b/>
                                  <w:sz w:val="14"/>
                                </w:rPr>
                                <w:t>Firm's</w:t>
                              </w:r>
                              <w:r>
                                <w:rPr>
                                  <w:b/>
                                  <w:sz w:val="14"/>
                                </w:rPr>
                                <w:tab/>
                                <w:t>leverage</w:t>
                              </w:r>
                            </w:p>
                          </w:txbxContent>
                        </wps:txbx>
                        <wps:bodyPr horzOverflow="overflow" vert="horz" lIns="0" tIns="0" rIns="0" bIns="0" rtlCol="0">
                          <a:noAutofit/>
                        </wps:bodyPr>
                      </wps:wsp>
                    </wpg:wgp>
                  </a:graphicData>
                </a:graphic>
              </wp:inline>
            </w:drawing>
          </mc:Choice>
          <mc:Fallback>
            <w:pict>
              <v:group id="Group 200812" o:spid="_x0000_s1306" style="width:381.45pt;height:214.8pt;mso-position-horizontal-relative:char;mso-position-vertical-relative:line" coordsize="48447,2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">
                <v:shape id="Shape 19311" o:spid="_x0000_s1307" style="position:absolute;left:2872;top:26925;width:44920;height:0;visibility:visible;mso-wrap-style:square;v-text-anchor:top" coordsize="449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WqsQA&#10;AADeAAAADwAAAGRycy9kb3ducmV2LnhtbERP30vDMBB+F/Y/hBN8c0mrTNstG6IIPuoc6OPR3NJi&#10;c+mSuHb+9UYY+HYf389bbSbXiyOF2HnWUMwVCOLGm46tht378/U9iJiQDfaeScOJImzWs4sV1saP&#10;/EbHbbIih3CsUUOb0lBLGZuWHMa5H4gzt/fBYcowWGkCjjnc9bJUaiEddpwbWhzosaXma/vtNByq&#10;8vb1pNznXfnzFOyHVW6sdlpfXU4PSxCJpvQvPrtfTJ5f3RQF/L2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lqrEAAAA3gAAAA8AAAAAAAAAAAAAAAAAmAIAAGRycy9k&#10;b3ducmV2LnhtbFBLBQYAAAAABAAEAPUAAACJAwAAAAA=&#10;" path="m,l4491952,e" filled="f" strokecolor="#d9d9d9" strokeweight=".15614mm">
                  <v:path arrowok="t" textboxrect="0,0,4491952,0"/>
                </v:shape>
                <v:shape id="Shape 19312" o:spid="_x0000_s1308" style="position:absolute;left:2872;top:23383;width:44920;height:0;visibility:visible;mso-wrap-style:square;v-text-anchor:top" coordsize="449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I3cQA&#10;AADeAAAADwAAAGRycy9kb3ducmV2LnhtbERPTUsDMRC9C/6HMII3m3QV7W6bFrEIHmst2OOwmWYX&#10;N5M1Sbtbf30jCN7m8T5nsRpdJ04UYutZw3SiQBDX3rRsNew+Xu9mIGJCNth5Jg1nirBaXl8tsDJ+&#10;4Hc6bZMVOYRjhRqalPpKylg35DBOfE+cuYMPDlOGwUoTcMjhrpOFUo/SYcu5ocGeXhqqv7ZHp+G7&#10;LB42Z+X2T8XPOthPq9xQ7rS+vRmf5yASjelf/Od+M3l+eT8t4PedfIN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CN3EAAAA3gAAAA8AAAAAAAAAAAAAAAAAmAIAAGRycy9k&#10;b3ducmV2LnhtbFBLBQYAAAAABAAEAPUAAACJAwAAAAA=&#10;" path="m,l4491952,e" filled="f" strokecolor="#d9d9d9" strokeweight=".15614mm">
                  <v:path arrowok="t" textboxrect="0,0,4491952,0"/>
                </v:shape>
                <v:shape id="Shape 19313" o:spid="_x0000_s1309" style="position:absolute;left:2872;top:19842;width:44920;height:0;visibility:visible;mso-wrap-style:square;v-text-anchor:top" coordsize="449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tRsQA&#10;AADeAAAADwAAAGRycy9kb3ducmV2LnhtbERPTUsDMRC9C/0PYQrebNKtqLs2LUURPGot2OOwmWYX&#10;N5NtErtbf70RhN7m8T5nuR5dJ04UYutZw3ymQBDX3rRsNew+Xm4eQMSEbLDzTBrOFGG9mlwtsTJ+&#10;4Hc6bZMVOYRjhRqalPpKylg35DDOfE+cuYMPDlOGwUoTcMjhrpOFUnfSYcu5ocGenhqqv7bfTsOx&#10;LG7fzsrt74uf52A/rXJDudP6ejpuHkEkGtNF/O9+NXl+uZgv4O+df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rUbEAAAA3gAAAA8AAAAAAAAAAAAAAAAAmAIAAGRycy9k&#10;b3ducmV2LnhtbFBLBQYAAAAABAAEAPUAAACJAwAAAAA=&#10;" path="m,l4491952,e" filled="f" strokecolor="#d9d9d9" strokeweight=".15614mm">
                  <v:path arrowok="t" textboxrect="0,0,4491952,0"/>
                </v:shape>
                <v:shape id="Shape 19314" o:spid="_x0000_s1310" style="position:absolute;left:2872;top:16301;width:44920;height:0;visibility:visible;mso-wrap-style:square;v-text-anchor:top" coordsize="449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1MsQA&#10;AADeAAAADwAAAGRycy9kb3ducmV2LnhtbERPTUsDMRC9C/0PYQrebNK1qLs2LaIIPWot2OOwmWYX&#10;N5M1id1tf70RhN7m8T5nuR5dJ44UYutZw3ymQBDX3rRsNew+Xm8eQMSEbLDzTBpOFGG9mlwtsTJ+&#10;4Hc6bpMVOYRjhRqalPpKylg35DDOfE+cuYMPDlOGwUoTcMjhrpOFUnfSYcu5ocGenhuqv7Y/TsN3&#10;WSzeTsrt74vzS7CfVrmh3Gl9PR2fHkEkGtNF/O/emDy/vJ0v4O+df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3NTLEAAAA3gAAAA8AAAAAAAAAAAAAAAAAmAIAAGRycy9k&#10;b3ducmV2LnhtbFBLBQYAAAAABAAEAPUAAACJAwAAAAA=&#10;" path="m,l4491952,e" filled="f" strokecolor="#d9d9d9" strokeweight=".15614mm">
                  <v:path arrowok="t" textboxrect="0,0,4491952,0"/>
                </v:shape>
                <v:shape id="Shape 19315" o:spid="_x0000_s1311" style="position:absolute;left:2872;top:12703;width:44920;height:0;visibility:visible;mso-wrap-style:square;v-text-anchor:top" coordsize="449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QqcQA&#10;AADeAAAADwAAAGRycy9kb3ducmV2LnhtbERPS0sDMRC+C/0PYQrebNL1uWvTIorQo62F9jhsxuzi&#10;ZrImsbv11zeC4G0+vucsVqPrxJFCbD1rmM8UCOLam5atht3769UDiJiQDXaeScOJIqyWk4sFVsYP&#10;vKHjNlmRQzhWqKFJqa+kjHVDDuPM98SZ+/DBYcowWGkCDjncdbJQ6k46bDk3NNjTc0P15/bbafgq&#10;i5u3k3KH++LnJdi9VW4od1pfTsenRxCJxvQv/nOvTZ5fXs9v4fedfINcn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7kKnEAAAA3gAAAA8AAAAAAAAAAAAAAAAAmAIAAGRycy9k&#10;b3ducmV2LnhtbFBLBQYAAAAABAAEAPUAAACJAwAAAAA=&#10;" path="m,l4491952,e" filled="f" strokecolor="#d9d9d9" strokeweight=".15614mm">
                  <v:path arrowok="t" textboxrect="0,0,4491952,0"/>
                </v:shape>
                <v:shape id="Shape 19316" o:spid="_x0000_s1312" style="position:absolute;left:2872;top:9162;width:44920;height:0;visibility:visible;mso-wrap-style:square;v-text-anchor:top" coordsize="449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O3sQA&#10;AADeAAAADwAAAGRycy9kb3ducmV2LnhtbERPTUsDMRC9C/0PYQrebNK1VHdtWkQRetRasMdhM80u&#10;biZrErtbf70RhN7m8T5ntRldJ04UYutZw3ymQBDX3rRsNezfX27uQcSEbLDzTBrOFGGznlytsDJ+&#10;4Dc67ZIVOYRjhRqalPpKylg35DDOfE+cuaMPDlOGwUoTcMjhrpOFUkvpsOXc0GBPTw3Vn7tvp+Gr&#10;LBavZ+UOd8XPc7AfVrmh3Gt9PR0fH0AkGtNF/O/emjy/vJ0v4e+df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Dt7EAAAA3gAAAA8AAAAAAAAAAAAAAAAAmAIAAGRycy9k&#10;b3ducmV2LnhtbFBLBQYAAAAABAAEAPUAAACJAwAAAAA=&#10;" path="m,l4491952,e" filled="f" strokecolor="#d9d9d9" strokeweight=".15614mm">
                  <v:path arrowok="t" textboxrect="0,0,4491952,0"/>
                </v:shape>
                <v:shape id="Shape 19317" o:spid="_x0000_s1313" style="position:absolute;left:7377;top:5621;width:0;height:21304;visibility:visible;mso-wrap-style:square;v-text-anchor:top" coordsize="0,213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53MQA&#10;AADeAAAADwAAAGRycy9kb3ducmV2LnhtbERPTUsDMRC9C/6HMEJvNruV1nVtWqQgFIqHrh48Dptx&#10;s5hM1iTtbv+9EYTe5vE+Z72dnBVnCrH3rKCcFyCIW6977hR8vL/eVyBiQtZoPZOCC0XYbm5v1lhr&#10;P/KRzk3qRA7hWKMCk9JQSxlbQw7j3A/EmfvywWHKMHRSBxxzuLNyURQr6bDn3GBwoJ2h9rs5OQXL&#10;T2OPy+FHv/F4WVQhlIdDZZWa3U0vzyASTekq/nfvdZ7/9FA+wt87+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0edzEAAAA3gAAAA8AAAAAAAAAAAAAAAAAmAIAAGRycy9k&#10;b3ducmV2LnhtbFBLBQYAAAAABAAEAPUAAACJAwAAAAA=&#10;" path="m,l,2130409e" filled="f" strokecolor="#d9d9d9" strokeweight=".15614mm">
                  <v:path arrowok="t" textboxrect="0,0,0,2130409"/>
                </v:shape>
                <v:shape id="Shape 19318" o:spid="_x0000_s1314" style="position:absolute;left:11817;top:5621;width:0;height:21304;visibility:visible;mso-wrap-style:square;v-text-anchor:top" coordsize="0,213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trsYA&#10;AADeAAAADwAAAGRycy9kb3ducmV2LnhtbESPQUsDMRCF74L/IYzgzWa3Ulm3TYsIglA8tHrwOGym&#10;m8Vksiaxu/33zkHwNsN78943m90cvDpTykNkA/WiAkXcRTtwb+Dj/eWuAZULskUfmQxcKMNue321&#10;wdbGiQ90PpZeSQjnFg24UsZW69w5CpgXcSQW7RRTwCJr6rVNOEl48HpZVQ864MDS4HCkZ0fd1/En&#10;GFh9On9Yjd/2jafLskmp3u8bb8ztzfy0BlVoLv/mv+tXK/iP97X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vtrsYAAADeAAAADwAAAAAAAAAAAAAAAACYAgAAZHJz&#10;L2Rvd25yZXYueG1sUEsFBgAAAAAEAAQA9QAAAIsDAAAAAA==&#10;" path="m,l,2130409e" filled="f" strokecolor="#d9d9d9" strokeweight=".15614mm">
                  <v:path arrowok="t" textboxrect="0,0,0,2130409"/>
                </v:shape>
                <v:shape id="Shape 19319" o:spid="_x0000_s1315" style="position:absolute;left:16322;top:5621;width:0;height:21304;visibility:visible;mso-wrap-style:square;v-text-anchor:top" coordsize="0,213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INcQA&#10;AADeAAAADwAAAGRycy9kb3ducmV2LnhtbERPTWsCMRC9F/ofwhS81ewqlnU1ShEKBelB24PHYTNu&#10;FpPJNonu+u+bQqG3ebzPWW9HZ8WNQuw8KyinBQjixuuOWwVfn2/PFYiYkDVaz6TgThG2m8eHNdba&#10;D3yg2zG1IodwrFGBSamvpYyNIYdx6nvizJ19cJgyDK3UAYcc7qycFcWLdNhxbjDY085QczlenYLF&#10;ydjDov/WHzzcZ1UI5X5fWaUmT+PrCkSiMf2L/9zvOs9fzssl/L6Tb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nSDXEAAAA3gAAAA8AAAAAAAAAAAAAAAAAmAIAAGRycy9k&#10;b3ducmV2LnhtbFBLBQYAAAAABAAEAPUAAACJAwAAAAA=&#10;" path="m,l,2130409e" filled="f" strokecolor="#d9d9d9" strokeweight=".15614mm">
                  <v:path arrowok="t" textboxrect="0,0,0,2130409"/>
                </v:shape>
                <v:shape id="Shape 19320" o:spid="_x0000_s1316" style="position:absolute;left:20827;top:5621;width:0;height:21304;visibility:visible;mso-wrap-style:square;v-text-anchor:top" coordsize="0,213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rFcYA&#10;AADeAAAADwAAAGRycy9kb3ducmV2LnhtbESPQUsDMRCF74L/IYzgzWa7Ulm3TYsIglA8tHrwOGym&#10;m8Vksiaxu/33zkHwNsO8ee99m90cvDpTykNkA8tFBYq4i3bg3sDH+8tdAyoXZIs+Mhm4UIbd9vpq&#10;g62NEx/ofCy9EhPOLRpwpYyt1rlzFDAv4kgst1NMAYusqdc24STmweu6qh50wIElweFIz466r+NP&#10;MLD6dP6wGr/tG0+Xuklpud833pjbm/lpDarQXP7Ff9+vVuo/3tc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ErFcYAAADeAAAADwAAAAAAAAAAAAAAAACYAgAAZHJz&#10;L2Rvd25yZXYueG1sUEsFBgAAAAAEAAQA9QAAAIsDAAAAAA==&#10;" path="m,l,2130409e" filled="f" strokecolor="#d9d9d9" strokeweight=".15614mm">
                  <v:path arrowok="t" textboxrect="0,0,0,2130409"/>
                </v:shape>
                <v:shape id="Shape 19321" o:spid="_x0000_s1317" style="position:absolute;left:25332;top:5621;width:0;height:21304;visibility:visible;mso-wrap-style:square;v-text-anchor:top" coordsize="0,213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OjsQA&#10;AADeAAAADwAAAGRycy9kb3ducmV2LnhtbERPS0sDMRC+C/6HMII3m92VyrptWoogCMVDH4ceh824&#10;WZpMtknsbv+9EQRv8/E9Z7menBVXCrH3rKCcFSCIW6977hQcD+9PNYiYkDVaz6TgRhHWq/u7JTba&#10;j7yj6z51IodwbFCBSWlopIytIYdx5gfizH354DBlGDqpA4453FlZFcWLdNhzbjA40Juh9rz/dgrm&#10;J2N38+GiP3m8VXUI5XZbW6UeH6bNAkSiKf2L/9wfOs9/fa5K+H0n3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9jo7EAAAA3gAAAA8AAAAAAAAAAAAAAAAAmAIAAGRycy9k&#10;b3ducmV2LnhtbFBLBQYAAAAABAAEAPUAAACJAwAAAAA=&#10;" path="m,l,2130409e" filled="f" strokecolor="#d9d9d9" strokeweight=".15614mm">
                  <v:path arrowok="t" textboxrect="0,0,0,2130409"/>
                </v:shape>
                <v:shape id="Shape 19322" o:spid="_x0000_s1318" style="position:absolute;left:29772;top:5621;width:0;height:21304;visibility:visible;mso-wrap-style:square;v-text-anchor:top" coordsize="0,213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Q+cQA&#10;AADeAAAADwAAAGRycy9kb3ducmV2LnhtbERPTWsCMRC9C/0PYQq9adYtynZrlCIUCtKD2kOPw2a6&#10;WZpMtkl013/fCIK3ebzPWW1GZ8WZQuw8K5jPChDEjdcdtwq+ju/TCkRMyBqtZ1JwoQib9cNkhbX2&#10;A+/pfEityCEca1RgUuprKWNjyGGc+Z44cz8+OEwZhlbqgEMOd1aWRbGUDjvODQZ72hpqfg8np2Dx&#10;bex+0f/pTx4uZRXCfLerrFJPj+PbK4hEY7qLb+4Pnee/PJclXN/JN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EPnEAAAA3gAAAA8AAAAAAAAAAAAAAAAAmAIAAGRycy9k&#10;b3ducmV2LnhtbFBLBQYAAAAABAAEAPUAAACJAwAAAAA=&#10;" path="m,l,2130409e" filled="f" strokecolor="#d9d9d9" strokeweight=".15614mm">
                  <v:path arrowok="t" textboxrect="0,0,0,2130409"/>
                </v:shape>
                <v:shape id="Shape 19323" o:spid="_x0000_s1319" style="position:absolute;left:34277;top:5621;width:0;height:21304;visibility:visible;mso-wrap-style:square;v-text-anchor:top" coordsize="0,213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1YsQA&#10;AADeAAAADwAAAGRycy9kb3ducmV2LnhtbERPS2sCMRC+F/ofwgjeatYVy3Y1SikUBOnBx6HHYTNu&#10;FpPJNknd9d83hUJv8/E9Z70dnRU3CrHzrGA+K0AQN1533Co4n96fKhAxIWu0nknBnSJsN48Pa6y1&#10;H/hAt2NqRQ7hWKMCk1JfSxkbQw7jzPfEmbv44DBlGFqpAw453FlZFsWzdNhxbjDY05uh5nr8dgqW&#10;n8Yelv2X/uDhXlYhzPf7yio1nYyvKxCJxvQv/nPvdJ7/sigX8PtOv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tWLEAAAA3gAAAA8AAAAAAAAAAAAAAAAAmAIAAGRycy9k&#10;b3ducmV2LnhtbFBLBQYAAAAABAAEAPUAAACJAwAAAAA=&#10;" path="m,l,2130409e" filled="f" strokecolor="#d9d9d9" strokeweight=".15614mm">
                  <v:path arrowok="t" textboxrect="0,0,0,2130409"/>
                </v:shape>
                <v:shape id="Shape 19324" o:spid="_x0000_s1320" style="position:absolute;left:38782;top:5621;width:0;height:21304;visibility:visible;mso-wrap-style:square;v-text-anchor:top" coordsize="0,213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tFsQA&#10;AADeAAAADwAAAGRycy9kb3ducmV2LnhtbERPTWsCMRC9F/ofwhR6q1nXKtutUUQQCtKD2kOPw2a6&#10;WZpM1iS6679vCoXe5vE+Z7kenRVXCrHzrGA6KUAQN1533Cr4OO2eKhAxIWu0nknBjSKsV/d3S6y1&#10;H/hA12NqRQ7hWKMCk1JfSxkbQw7jxPfEmfvywWHKMLRSBxxyuLOyLIqFdNhxbjDY09ZQ8328OAXz&#10;T2MP8/6s33m4lVUI0/2+sko9PoybVxCJxvQv/nO/6Tz/ZVY+w+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KLRbEAAAA3gAAAA8AAAAAAAAAAAAAAAAAmAIAAGRycy9k&#10;b3ducmV2LnhtbFBLBQYAAAAABAAEAPUAAACJAwAAAAA=&#10;" path="m,l,2130409e" filled="f" strokecolor="#d9d9d9" strokeweight=".15614mm">
                  <v:path arrowok="t" textboxrect="0,0,0,2130409"/>
                </v:shape>
                <v:shape id="Shape 19325" o:spid="_x0000_s1321" style="position:absolute;left:43287;top:5621;width:0;height:21304;visibility:visible;mso-wrap-style:square;v-text-anchor:top" coordsize="0,213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IjcQA&#10;AADeAAAADwAAAGRycy9kb3ducmV2LnhtbERPS0sDMRC+C/6HMII3m+3KyrptWoogCMVDH4ceh824&#10;WZpMtknsbv+9EQRv8/E9Z7menBVXCrH3rGA+K0AQt1733Ck4Ht6fahAxIWu0nknBjSKsV/d3S2y0&#10;H3lH133qRA7h2KACk9LQSBlbQw7jzA/EmfvywWHKMHRSBxxzuLOyLIoX6bDn3GBwoDdD7Xn/7RRU&#10;J2N31XDRnzzeyjqE+XZbW6UeH6bNAkSiKf2L/9wfOs9/fS4r+H0n3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iI3EAAAA3gAAAA8AAAAAAAAAAAAAAAAAmAIAAGRycy9k&#10;b3ducmV2LnhtbFBLBQYAAAAABAAEAPUAAACJAwAAAAA=&#10;" path="m,l,2130409e" filled="f" strokecolor="#d9d9d9" strokeweight=".15614mm">
                  <v:path arrowok="t" textboxrect="0,0,0,2130409"/>
                </v:shape>
                <v:shape id="Shape 19326" o:spid="_x0000_s1322" style="position:absolute;left:47792;top:5621;width:0;height:21304;visibility:visible;mso-wrap-style:square;v-text-anchor:top" coordsize="0,213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W+sQA&#10;AADeAAAADwAAAGRycy9kb3ducmV2LnhtbERPS2sCMRC+C/0PYQq9adYtynZrlFIoFMSDj0OPw2a6&#10;WZpMtknqrv++EQRv8/E9Z7UZnRVnCrHzrGA+K0AQN1533Co4HT+mFYiYkDVaz6TgQhE264fJCmvt&#10;B97T+ZBakUM41qjApNTXUsbGkMM48z1x5r59cJgyDK3UAYcc7qwsi2IpHXacGwz29G6o+Tn8OQWL&#10;L2P3i/5X73i4lFUI8+22sko9PY5vryASjekuvrk/dZ7/8lwu4fpOvk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FvrEAAAA3gAAAA8AAAAAAAAAAAAAAAAAmAIAAGRycy9k&#10;b3ducmV2LnhtbFBLBQYAAAAABAAEAPUAAACJAwAAAAA=&#10;" path="m,l,2130409e" filled="f" strokecolor="#d9d9d9" strokeweight=".15614mm">
                  <v:path arrowok="t" textboxrect="0,0,0,2130409"/>
                </v:shape>
                <v:shape id="Shape 19327" o:spid="_x0000_s1323" style="position:absolute;left:2872;top:5621;width:0;height:21304;visibility:visible;mso-wrap-style:square;v-text-anchor:top" coordsize="1,213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NF8YA&#10;AADeAAAADwAAAGRycy9kb3ducmV2LnhtbERPS2vCQBC+F/wPywi91Y3aNhpdRQotvfTgCz0O2Uk2&#10;JjsbsluN/75bKPQ2H99zluveNuJKna8cKxiPEhDEudMVlwoO+/enGQgfkDU2jknBnTysV4OHJWba&#10;3XhL110oRQxhn6ECE0KbSelzQxb9yLXEkStcZzFE2JVSd3iL4baRkyR5lRYrjg0GW3ozlNe7b6vg&#10;PHt++SrSzWl6P9Yf0qT7uikuSj0O+80CRKA+/Iv/3J86zp9PJyn8vhN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jNF8YAAADeAAAADwAAAAAAAAAAAAAAAACYAgAAZHJz&#10;L2Rvd25yZXYueG1sUEsFBgAAAAAEAAQA9QAAAIsDAAAAAA==&#10;" path="m,2130409l1,e" filled="f" strokecolor="#bfbfbf" strokeweight=".15614mm">
                  <v:path arrowok="t" textboxrect="0,0,1,2130409"/>
                </v:shape>
                <v:shape id="Shape 19328" o:spid="_x0000_s1324" style="position:absolute;left:2872;top:5621;width:44920;height:0;visibility:visible;mso-wrap-style:square;v-text-anchor:top" coordsize="449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mf8cA&#10;AADeAAAADwAAAGRycy9kb3ducmV2LnhtbESPQU/DMAyF70j8h8hIu7F0ZSBWlk0ICY0DF7Yh7Wga&#10;01RrnKrxtvLv8QGJm633/N7n5XqMnTnTkNvEDmbTAgxxnXzLjYP97vX2EUwWZI9dYnLwQxnWq+ur&#10;JVY+XfiDzltpjIZwrtBBEOkra3MdKGKepp5Yte80RBRdh8b6AS8aHjtbFsWDjdiyNgTs6SVQfdye&#10;ooPPr9M4bzf3tliUh/Au5XzfycG5yc34/ARGaJR/89/1m1f8xV2pvPqOzm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C5n/HAAAA3gAAAA8AAAAAAAAAAAAAAAAAmAIAAGRy&#10;cy9kb3ducmV2LnhtbFBLBQYAAAAABAAEAPUAAACMAwAAAAA=&#10;" path="m,l4491952,e" filled="f" strokecolor="#bfbfbf" strokeweight=".15614mm">
                  <v:path arrowok="t" textboxrect="0,0,4491952,0"/>
                </v:shape>
                <v:shape id="Shape 19330" o:spid="_x0000_s1325" style="position:absolute;left:5125;top:6492;width:40414;height:19224;visibility:visible;mso-wrap-style:square;v-text-anchor:top" coordsize="4041450,192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Z08cA&#10;AADeAAAADwAAAGRycy9kb3ducmV2LnhtbESPzU7DMBCE70h9B2srcaMORFRtWrcCpEogLvTnAbbx&#10;No6I15Ft0sDTswckbrva2Zn51tvRd2qgmNrABu5nBSjiOtiWGwOn4+5uASplZItdYDLwTQm2m8nN&#10;Gisbrryn4ZAbJSacKjTgcu4rrVPtyGOahZ5YbpcQPWZZY6NtxKuY+04/FMVce2xZEhz29OKo/jx8&#10;eQPzYVjU5Xv5E58f33bukprTGT+MuZ2OTytQmcb8L/77frVSf1mW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F2dPHAAAA3gAAAA8AAAAAAAAAAAAAAAAAmAIAAGRy&#10;cy9kb3ducmV2LnhtbFBLBQYAAAAABAAEAPUAAACMAwAAAAA=&#10;" path="m,l450501,44969r443972,56211l1344974,163013r450501,78696l2245976,331647r443972,56211l3140449,472175r450501,157392l4041450,1922427e" filled="f" strokecolor="#5e5e5e" strokeweight=".31228mm">
                  <v:stroke endcap="round"/>
                  <v:path arrowok="t" textboxrect="0,0,4041450,1922427"/>
                </v:shape>
                <v:shape id="Shape 19332" o:spid="_x0000_s1326" style="position:absolute;left:5125;top:6661;width:40414;height:17762;visibility:visible;mso-wrap-style:square;v-text-anchor:top" coordsize="4041450,177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EecQA&#10;AADeAAAADwAAAGRycy9kb3ducmV2LnhtbERPTWvCQBC9C/0PyxS81U2NSpu6ioiCHnoweuhxyE6T&#10;YHZ2za4a/fVuoeBtHu9zpvPONOJCra8tK3gfJCCIC6trLhUc9uu3DxA+IGtsLJOCG3mYz156U8y0&#10;vfKOLnkoRQxhn6GCKgSXSemLigz6gXXEkfu1rcEQYVtK3eI1hptGDpNkIg3WHBsqdLSsqDjmZ6Ng&#10;ddqOj4u7s06mdLDltxvlP2Ol+q/d4gtEoC48xf/ujY7zP9N0CH/vxBv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oBHnEAAAA3gAAAA8AAAAAAAAAAAAAAAAAmAIAAGRycy9k&#10;b3ducmV2LnhtbFBLBQYAAAAABAAEAPUAAACJAwAAAAA=&#10;" path="m,l450501,50590r443972,61833l1344974,185497r450501,89939l2245976,387858r443972,78696l3140449,573355r450501,219225l4041450,1776277e" filled="f" strokecolor="#b3b3b3" strokeweight=".31228mm">
                  <v:stroke endcap="round"/>
                  <v:path arrowok="t" textboxrect="0,0,4041450,1776277"/>
                </v:shape>
                <v:shape id="Shape 19334" o:spid="_x0000_s1327" style="position:absolute;left:5125;top:5705;width:40414;height:18269;visibility:visible;mso-wrap-style:square;v-text-anchor:top" coordsize="4041450,182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z28YA&#10;AADeAAAADwAAAGRycy9kb3ducmV2LnhtbESPQWvCQBCF74L/YZlCb7pplaBpNiJCaQ+tYqz3ITtm&#10;g9nZkN3G9N93CwVvM7z3vXmTb0bbioF63zhW8DRPQBBXTjdcK/g6vc5WIHxA1tg6JgU/5GFTTCc5&#10;Ztrd+EhDGWoRQ9hnqMCE0GVS+sqQRT93HXHULq63GOLa11L3eIvhtpXPSZJKiw3HCwY72hmqruW3&#10;jTVoWR7DG2Ganj/OB7f/HMxurdTjw7h9ARFoDHfzP/2uI7deLJbw906cQR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wz28YAAADeAAAADwAAAAAAAAAAAAAAAACYAgAAZHJz&#10;L2Rvd25yZXYueG1sUEsFBgAAAAAEAAQA9QAAAIsDAAAAAA==&#10;" path="m,l450501,168634r443972,67454l1344974,320404r450501,95560l2245976,545250r443972,89938l3140449,770095r450501,241709l4041450,1826868e" filled="f" strokecolor="#898989" strokeweight=".31228mm">
                  <v:stroke endcap="round"/>
                  <v:path arrowok="t" textboxrect="0,0,4041450,1826868"/>
                </v:shape>
                <v:shape id="Shape 19336" o:spid="_x0000_s1328" style="position:absolute;left:5125;top:6942;width:40414;height:16863;visibility:visible;mso-wrap-style:square;v-text-anchor:top" coordsize="4041450,168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RRMQA&#10;AADeAAAADwAAAGRycy9kb3ducmV2LnhtbERPTWvCQBC9C/6HZQre6qbahjZ1FS0IXioazX3Ijklo&#10;djbsbmPsr+8WCt7m8T5nsRpMK3pyvrGs4GmagCAurW64UnA+bR9fQfiArLG1TApu5GG1HI8WmGl7&#10;5SP1eahEDGGfoYI6hC6T0pc1GfRT2xFH7mKdwRChq6R2eI3hppWzJEmlwYZjQ40dfdRUfuXfRsHh&#10;xW2KJvnJ98+f56LU6aXYY6/U5GFYv4MINIS7+N+903H+23yewt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kUTEAAAA3gAAAA8AAAAAAAAAAAAAAAAAmAIAAGRycy9k&#10;b3ducmV2LnhtbFBLBQYAAAAABAAEAPUAAACJAwAAAAA=&#10;" path="m,l450501,61832r443972,78696l1344974,230467r450501,106801l2245976,477796r443972,101181l3140449,725126r450501,252951l4041450,1686340e" filled="f" strokecolor="#212121" strokeweight=".31228mm">
                  <v:stroke endcap="round"/>
                  <v:path arrowok="t" textboxrect="0,0,4041450,1686340"/>
                </v:shape>
                <v:shape id="Shape 19338" o:spid="_x0000_s1329" style="position:absolute;left:5125;top:6492;width:40414;height:17201;visibility:visible;mso-wrap-style:square;v-text-anchor:top" coordsize="4041450,1720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AccA&#10;AADeAAAADwAAAGRycy9kb3ducmV2LnhtbESPQWvCQBCF7wX/wzKF3nRTpaKpq4igFKmgRmiPQ3ZM&#10;QrOzMbvV9N87B6G3Gd6b976ZLTpXqyu1ofJs4HWQgCLOva24MHDK1v0JqBCRLdaeycAfBVjMe08z&#10;TK2/8YGux1goCeGQooEyxibVOuQlOQwD3xCLdvatwyhrW2jb4k3CXa2HSTLWDiuWhhIbWpWU/xx/&#10;nYG37NvvXL2fUjx9fW6z9XazO1+MeXnulu+gInXx3/y4/rCCPx2N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5PgHHAAAA3gAAAA8AAAAAAAAAAAAAAAAAmAIAAGRy&#10;cy9kb3ducmV2LnhtbFBLBQYAAAAABAAEAPUAAACMAwAAAAA=&#10;" path="m,l450501,129286r443972,78696l1344974,303541r450501,118044l2245976,578977r443972,106801l3140449,837549r450501,258572l4041450,1720066e" filled="f" strokecolor="#dadada" strokeweight=".31228mm">
                  <v:stroke endcap="round"/>
                  <v:path arrowok="t" textboxrect="0,0,4041450,1720066"/>
                </v:shape>
                <v:rect id="Rectangle 19340" o:spid="_x0000_s1330" style="position:absolute;left:435;top:26661;width:239;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S58gA&#10;AADeAAAADwAAAGRycy9kb3ducmV2LnhtbESPQWvCQBCF74X+h2UKvdVNbRETXUVqix6tCuptyI5J&#10;MDsbsluT9tc7B6G3GebNe++bzntXqyu1ofJs4HWQgCLOva24MLDffb2MQYWIbLH2TAZ+KcB89vgw&#10;xcz6jr/puo2FEhMOGRooY2wyrUNeksMw8A2x3M6+dRhlbQttW+zE3NV6mCQj7bBiSSixoY+S8sv2&#10;xxlYjZvFce3/uqL+PK0Om0O63KXRmOenfjEBFamP/+L799pK/fTt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cRLnyAAAAN4AAAAPAAAAAAAAAAAAAAAAAJgCAABk&#10;cnMvZG93bnJldi54bWxQSwUGAAAAAAQABAD1AAAAjQMAAAAA&#10;" filled="f" stroked="f">
                  <v:textbox inset="0,0,0,0">
                    <w:txbxContent>
                      <w:p w:rsidR="00EE13F6" w:rsidRDefault="002E5BC4">
                        <w:r>
                          <w:rPr>
                            <w:color w:val="585858"/>
                            <w:sz w:val="8"/>
                          </w:rPr>
                          <w:t>-</w:t>
                        </w:r>
                      </w:p>
                    </w:txbxContent>
                  </v:textbox>
                </v:rect>
                <v:rect id="Rectangle 19341" o:spid="_x0000_s1331" style="position:absolute;left:630;top:26661;width:2307;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3fMUA&#10;AADeAAAADwAAAGRycy9kb3ducmV2LnhtbERPS2vCQBC+F/oflin0VjdaKSa6ivhAj/UB6m3Ijkkw&#10;Oxuyq4n+erdQ8DYf33NGk9aU4ka1Kywr6HYiEMSp1QVnCva75dcAhPPIGkvLpOBODibj97cRJto2&#10;vKHb1mcihLBLUEHufZVI6dKcDLqOrYgDd7a1QR9gnUldYxPCTSl7UfQjDRYcGnKsaJZTetlejYLV&#10;oJoe1/bRZOXitDr8HuL5LvZKfX600yEIT61/if/dax3mx9/9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bd8xQAAAN4AAAAPAAAAAAAAAAAAAAAAAJgCAABkcnMv&#10;ZG93bnJldi54bWxQSwUGAAAAAAQABAD1AAAAigMAAAAA&#10;" filled="f" stroked="f">
                  <v:textbox inset="0,0,0,0">
                    <w:txbxContent>
                      <w:p w:rsidR="00EE13F6" w:rsidRDefault="002E5BC4">
                        <w:r>
                          <w:rPr>
                            <w:color w:val="585858"/>
                            <w:sz w:val="8"/>
                          </w:rPr>
                          <w:t>30,000</w:t>
                        </w:r>
                      </w:p>
                    </w:txbxContent>
                  </v:textbox>
                </v:rect>
                <v:rect id="Rectangle 19342" o:spid="_x0000_s1332" style="position:absolute;left:435;top:23107;width:239;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8pC8UA&#10;AADeAAAADwAAAGRycy9kb3ducmV2LnhtbERPTWvCQBC9C/6HZQredFMtYmJWEVvRY9VC6m3ITpPQ&#10;7GzIribtr+8WBG/zeJ+TrntTixu1rrKs4HkSgSDOra64UPBx3o0XIJxH1lhbJgU/5GC9Gg5STLTt&#10;+Ei3ky9ECGGXoILS+yaR0uUlGXQT2xAH7su2Bn2AbSF1i10IN7WcRtFcGqw4NJTY0Lak/Pt0NQr2&#10;i2bzebC/XVG/XfbZexa/nmOv1Oip3yxBeOr9Q3x3H3SYH89ep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ykLxQAAAN4AAAAPAAAAAAAAAAAAAAAAAJgCAABkcnMv&#10;ZG93bnJldi54bWxQSwUGAAAAAAQABAD1AAAAigMAAAAA&#10;" filled="f" stroked="f">
                  <v:textbox inset="0,0,0,0">
                    <w:txbxContent>
                      <w:p w:rsidR="00EE13F6" w:rsidRDefault="002E5BC4">
                        <w:r>
                          <w:rPr>
                            <w:color w:val="585858"/>
                            <w:sz w:val="8"/>
                          </w:rPr>
                          <w:t>-</w:t>
                        </w:r>
                      </w:p>
                    </w:txbxContent>
                  </v:textbox>
                </v:rect>
                <v:rect id="Rectangle 19343" o:spid="_x0000_s1333" style="position:absolute;left:630;top:23107;width:2307;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MkMUA&#10;AADeAAAADwAAAGRycy9kb3ducmV2LnhtbERPS2vCQBC+F/oflhF6qxurFBOzirQVPfoopN6G7DQJ&#10;zc6G7Gqiv94VCt7m43tOuuhNLc7UusqygtEwAkGcW11xoeD7sHqdgnAeWWNtmRRcyMFi/vyUYqJt&#10;xzs6730hQgi7BBWU3jeJlC4vyaAb2oY4cL+2NegDbAupW+xCuKnlWxS9S4MVh4YSG/ooKf/bn4yC&#10;9bRZ/mzstSvqr+M622bx5yH2Sr0M+uUMhKfeP8T/7o0O8+PxZ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4yQxQAAAN4AAAAPAAAAAAAAAAAAAAAAAJgCAABkcnMv&#10;ZG93bnJldi54bWxQSwUGAAAAAAQABAD1AAAAigMAAAAA&#10;" filled="f" stroked="f">
                  <v:textbox inset="0,0,0,0">
                    <w:txbxContent>
                      <w:p w:rsidR="00EE13F6" w:rsidRDefault="002E5BC4">
                        <w:r>
                          <w:rPr>
                            <w:color w:val="585858"/>
                            <w:sz w:val="8"/>
                          </w:rPr>
                          <w:t>25,000</w:t>
                        </w:r>
                      </w:p>
                    </w:txbxContent>
                  </v:textbox>
                </v:rect>
                <v:rect id="Rectangle 19344" o:spid="_x0000_s1334" style="position:absolute;left:435;top:19553;width:239;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U5MUA&#10;AADeAAAADwAAAGRycy9kb3ducmV2LnhtbERPTWvCQBC9F/wPywje6kYrJYmuIlrRY6uCehuyYxLM&#10;zobsamJ/fbdQ6G0e73Nmi85U4kGNKy0rGA0jEMSZ1SXnCo6HzWsMwnlkjZVlUvAkB4t572WGqbYt&#10;f9Fj73MRQtilqKDwvk6ldFlBBt3Q1sSBu9rGoA+wyaVusA3hppLjKHqXBksODQXWtCoou+3vRsE2&#10;rpfnnf1u8+rjsj19npL1IfFKDfrdcgrCU+f/xX/unQ7zk7f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hTkxQAAAN4AAAAPAAAAAAAAAAAAAAAAAJgCAABkcnMv&#10;ZG93bnJldi54bWxQSwUGAAAAAAQABAD1AAAAigMAAAAA&#10;" filled="f" stroked="f">
                  <v:textbox inset="0,0,0,0">
                    <w:txbxContent>
                      <w:p w:rsidR="00EE13F6" w:rsidRDefault="002E5BC4">
                        <w:r>
                          <w:rPr>
                            <w:color w:val="585858"/>
                            <w:sz w:val="8"/>
                          </w:rPr>
                          <w:t>-</w:t>
                        </w:r>
                      </w:p>
                    </w:txbxContent>
                  </v:textbox>
                </v:rect>
                <v:rect id="Rectangle 19345" o:spid="_x0000_s1335" style="position:absolute;left:630;top:19553;width:2307;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xf8UA&#10;AADeAAAADwAAAGRycy9kb3ducmV2LnhtbERPTWvCQBC9C/0PyxR60422FhNdRVqLHlsV1NuQHZNg&#10;djZkVxP99a4g9DaP9zmTWWtKcaHaFZYV9HsRCOLU6oIzBdvNT3cEwnlkjaVlUnAlB7PpS2eCibYN&#10;/9Fl7TMRQtglqCD3vkqkdGlOBl3PVsSBO9raoA+wzqSusQnhppSDKPqUBgsODTlW9JVTelqfjYLl&#10;qJrvV/bWZOXisNz97uLvTeyVentt52MQnlr/L366VzrMj98/h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rF/xQAAAN4AAAAPAAAAAAAAAAAAAAAAAJgCAABkcnMv&#10;ZG93bnJldi54bWxQSwUGAAAAAAQABAD1AAAAigMAAAAA&#10;" filled="f" stroked="f">
                  <v:textbox inset="0,0,0,0">
                    <w:txbxContent>
                      <w:p w:rsidR="00EE13F6" w:rsidRDefault="002E5BC4">
                        <w:r>
                          <w:rPr>
                            <w:color w:val="585858"/>
                            <w:sz w:val="8"/>
                          </w:rPr>
                          <w:t>20,000</w:t>
                        </w:r>
                      </w:p>
                    </w:txbxContent>
                  </v:textbox>
                </v:rect>
                <v:rect id="Rectangle 19346" o:spid="_x0000_s1336" style="position:absolute;left:435;top:15998;width:239;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vCMUA&#10;AADeAAAADwAAAGRycy9kb3ducmV2LnhtbERPTWvCQBC9C/6HZQq96aZVJImuIlbRY9WC9TZkxySY&#10;nQ3ZrUn7612h4G0e73Nmi85U4kaNKy0reBtGIIgzq0vOFXwdN4MYhPPIGivLpOCXHCzm/d4MU21b&#10;3tPt4HMRQtilqKDwvk6ldFlBBt3Q1sSBu9jGoA+wyaVusA3hppLvUTSRBksODQXWtCooux5+jIJt&#10;XC+/d/avzav1eXv6PCUfx8Qr9frSLacgPHX+Kf5373SYn4z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C8IxQAAAN4AAAAPAAAAAAAAAAAAAAAAAJgCAABkcnMv&#10;ZG93bnJldi54bWxQSwUGAAAAAAQABAD1AAAAigMAAAAA&#10;" filled="f" stroked="f">
                  <v:textbox inset="0,0,0,0">
                    <w:txbxContent>
                      <w:p w:rsidR="00EE13F6" w:rsidRDefault="002E5BC4">
                        <w:r>
                          <w:rPr>
                            <w:color w:val="585858"/>
                            <w:sz w:val="8"/>
                          </w:rPr>
                          <w:t>-</w:t>
                        </w:r>
                      </w:p>
                    </w:txbxContent>
                  </v:textbox>
                </v:rect>
                <v:rect id="Rectangle 19347" o:spid="_x0000_s1337" style="position:absolute;left:630;top:15998;width:2307;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k8UA&#10;AADeAAAADwAAAGRycy9kb3ducmV2LnhtbERPTWvCQBC9C/0PyxR60422WBNdRVqLHlsV1NuQHZNg&#10;djZkVxP99a4g9DaP9zmTWWtKcaHaFZYV9HsRCOLU6oIzBdvNT3cEwnlkjaVlUnAlB7PpS2eCibYN&#10;/9Fl7TMRQtglqCD3vkqkdGlOBl3PVsSBO9raoA+wzqSusQnhppSDKBpKgwWHhhwr+sopPa3PRsFy&#10;VM33K3trsnJxWO5+d/H3JvZKvb228zEIT63/Fz/dKx3mx+8f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IqTxQAAAN4AAAAPAAAAAAAAAAAAAAAAAJgCAABkcnMv&#10;ZG93bnJldi54bWxQSwUGAAAAAAQABAD1AAAAigMAAAAA&#10;" filled="f" stroked="f">
                  <v:textbox inset="0,0,0,0">
                    <w:txbxContent>
                      <w:p w:rsidR="00EE13F6" w:rsidRDefault="002E5BC4">
                        <w:r>
                          <w:rPr>
                            <w:color w:val="585858"/>
                            <w:sz w:val="8"/>
                          </w:rPr>
                          <w:t>15,000</w:t>
                        </w:r>
                      </w:p>
                    </w:txbxContent>
                  </v:textbox>
                </v:rect>
                <v:rect id="Rectangle 19348" o:spid="_x0000_s1338" style="position:absolute;left:435;top:12444;width:239;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e4cgA&#10;AADeAAAADwAAAGRycy9kb3ducmV2LnhtbESPQWvCQBCF74X+h2UKvdVNbRETXUVqix6tCuptyI5J&#10;MDsbsluT9tc7B6G3Gd6b976ZzntXqyu1ofJs4HWQgCLOva24MLDffb2MQYWIbLH2TAZ+KcB89vgw&#10;xcz6jr/puo2FkhAOGRooY2wyrUNeksMw8A2xaGffOoyytoW2LXYS7mo9TJKRdlixNJTY0EdJ+WX7&#10;4wysxs3iuPZ/XVF/nlaHzSFd7tJozPNTv5iAitTHf/P9em0FP317F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x7hyAAAAN4AAAAPAAAAAAAAAAAAAAAAAJgCAABk&#10;cnMvZG93bnJldi54bWxQSwUGAAAAAAQABAD1AAAAjQMAAAAA&#10;" filled="f" stroked="f">
                  <v:textbox inset="0,0,0,0">
                    <w:txbxContent>
                      <w:p w:rsidR="00EE13F6" w:rsidRDefault="002E5BC4">
                        <w:r>
                          <w:rPr>
                            <w:color w:val="585858"/>
                            <w:sz w:val="8"/>
                          </w:rPr>
                          <w:t>-</w:t>
                        </w:r>
                      </w:p>
                    </w:txbxContent>
                  </v:textbox>
                </v:rect>
                <v:rect id="Rectangle 19349" o:spid="_x0000_s1339" style="position:absolute;left:630;top:12444;width:2307;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7esUA&#10;AADeAAAADwAAAGRycy9kb3ducmV2LnhtbERPS2vCQBC+C/6HZYTedFMrJYlZRWyLHn0U0t6G7JiE&#10;ZmdDdmtif31XKPQ2H99zsvVgGnGlztWWFTzOIhDEhdU1lwrez2/TGITzyBoby6TgRg7Wq/Eow1Tb&#10;no90PflShBB2KSqovG9TKV1RkUE3sy1x4C62M+gD7EqpO+xDuGnkPIqepcGaQ0OFLW0rKr5O30bB&#10;Lm43H3v705fN6+cuP+TJyznxSj1Mhs0ShKfB/4v/3Hsd5idPi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7t6xQAAAN4AAAAPAAAAAAAAAAAAAAAAAJgCAABkcnMv&#10;ZG93bnJldi54bWxQSwUGAAAAAAQABAD1AAAAigMAAAAA&#10;" filled="f" stroked="f">
                  <v:textbox inset="0,0,0,0">
                    <w:txbxContent>
                      <w:p w:rsidR="00EE13F6" w:rsidRDefault="002E5BC4">
                        <w:r>
                          <w:rPr>
                            <w:color w:val="585858"/>
                            <w:sz w:val="8"/>
                          </w:rPr>
                          <w:t>10,000</w:t>
                        </w:r>
                      </w:p>
                    </w:txbxContent>
                  </v:textbox>
                </v:rect>
                <v:rect id="Rectangle 19350" o:spid="_x0000_s1340" style="position:absolute;left:714;top:8890;width:239;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iEOsgA&#10;AADeAAAADwAAAGRycy9kb3ducmV2LnhtbESPQWvCQBCF74X+h2UKvdVNLRUTXUVqix6tCuptyI5J&#10;MDsbsluT9tc7B6G3GebNe++bzntXqyu1ofJs4HWQgCLOva24MLDffb2MQYWIbLH2TAZ+KcB89vgw&#10;xcz6jr/puo2FEhMOGRooY2wyrUNeksMw8A2x3M6+dRhlbQttW+zE3NV6mCQj7bBiSSixoY+S8sv2&#10;xxlYjZvFce3/uqL+PK0Om0O63KXRmOenfjEBFamP/+L799pK/fTt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qIQ6yAAAAN4AAAAPAAAAAAAAAAAAAAAAAJgCAABk&#10;cnMvZG93bnJldi54bWxQSwUGAAAAAAQABAD1AAAAjQMAAAAA&#10;" filled="f" stroked="f">
                  <v:textbox inset="0,0,0,0">
                    <w:txbxContent>
                      <w:p w:rsidR="00EE13F6" w:rsidRDefault="002E5BC4">
                        <w:r>
                          <w:rPr>
                            <w:color w:val="585858"/>
                            <w:sz w:val="8"/>
                          </w:rPr>
                          <w:t>-</w:t>
                        </w:r>
                      </w:p>
                    </w:txbxContent>
                  </v:textbox>
                </v:rect>
                <v:rect id="Rectangle 19351" o:spid="_x0000_s1341" style="position:absolute;left:910;top:8890;width:1873;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hocUA&#10;AADeAAAADwAAAGRycy9kb3ducmV2LnhtbERPS2vCQBC+F/oflin0VjdaLCa6ivhAj/UB6m3Ijkkw&#10;Oxuyq4n+erdQ8DYf33NGk9aU4ka1Kywr6HYiEMSp1QVnCva75dcAhPPIGkvLpOBODibj97cRJto2&#10;vKHb1mcihLBLUEHufZVI6dKcDLqOrYgDd7a1QR9gnUldYxPCTSl7UfQjDRYcGnKsaJZTetlejYLV&#10;oJoe1/bRZOXitDr8HuL5LvZKfX600yEIT61/if/dax3mx9/9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CGhxQAAAN4AAAAPAAAAAAAAAAAAAAAAAJgCAABkcnMv&#10;ZG93bnJldi54bWxQSwUGAAAAAAQABAD1AAAAigMAAAAA&#10;" filled="f" stroked="f">
                  <v:textbox inset="0,0,0,0">
                    <w:txbxContent>
                      <w:p w:rsidR="00EE13F6" w:rsidRDefault="002E5BC4">
                        <w:r>
                          <w:rPr>
                            <w:color w:val="585858"/>
                            <w:sz w:val="8"/>
                          </w:rPr>
                          <w:t>5,000</w:t>
                        </w:r>
                      </w:p>
                    </w:txbxContent>
                  </v:textbox>
                </v:rect>
                <v:rect id="Rectangle 19352" o:spid="_x0000_s1342" style="position:absolute;left:935;top:5335;width:1873;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1sUA&#10;AADeAAAADwAAAGRycy9kb3ducmV2LnhtbERPTWvCQBC9C/6HZQredFOlYmJWEVvRY9VC6m3ITpPQ&#10;7GzIribtr+8WBG/zeJ+TrntTixu1rrKs4HkSgSDOra64UPBx3o0XIJxH1lhbJgU/5GC9Gg5STLTt&#10;+Ei3ky9ECGGXoILS+yaR0uUlGXQT2xAH7su2Bn2AbSF1i10IN7WcRtFcGqw4NJTY0Lak/Pt0NQr2&#10;i2bzebC/XVG/XfbZexa/nmOv1Oip3yxBeOr9Q3x3H3SYH89ep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r/WxQAAAN4AAAAPAAAAAAAAAAAAAAAAAJgCAABkcnMv&#10;ZG93bnJldi54bWxQSwUGAAAAAAQABAD1AAAAigMAAAAA&#10;" filled="f" stroked="f">
                  <v:textbox inset="0,0,0,0">
                    <w:txbxContent>
                      <w:p w:rsidR="00EE13F6" w:rsidRDefault="002E5BC4">
                        <w:r>
                          <w:rPr>
                            <w:color w:val="585858"/>
                            <w:sz w:val="8"/>
                          </w:rPr>
                          <w:t>0,000</w:t>
                        </w:r>
                      </w:p>
                    </w:txbxContent>
                  </v:textbox>
                </v:rect>
                <v:rect id="Rectangle 200756" o:spid="_x0000_s1343" style="position:absolute;left:4564;top:5965;width:397;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VKsgA&#10;AADfAAAADwAAAGRycy9kb3ducmV2LnhtbESPT2vCQBTE70K/w/KE3nRjof5JXUXaSnJso6C9PbKv&#10;SWj2bchuk+indwtCj8PM/IZZbwdTi45aV1lWMJtGIIhzqysuFBwP+8kShPPIGmvLpOBCDrabh9Ea&#10;Y217/qQu84UIEHYxKii9b2IpXV6SQTe1DXHwvm1r0AfZFlK32Ae4qeVTFM2lwYrDQokNvZaU/2S/&#10;RkGybHbn1F77on7/Sk4fp9XbYeWVehwPuxcQngb/H763U60gEBfPc/j7E76A3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lUqyAAAAN8AAAAPAAAAAAAAAAAAAAAAAJgCAABk&#10;cnMvZG93bnJldi54bWxQSwUGAAAAAAQABAD1AAAAjQMAAAAA&#10;" filled="f" stroked="f">
                  <v:textbox inset="0,0,0,0">
                    <w:txbxContent>
                      <w:p w:rsidR="00EE13F6" w:rsidRDefault="002E5BC4">
                        <w:r>
                          <w:rPr>
                            <w:color w:val="585858"/>
                            <w:sz w:val="8"/>
                          </w:rPr>
                          <w:t>1</w:t>
                        </w:r>
                      </w:p>
                    </w:txbxContent>
                  </v:textbox>
                </v:rect>
                <v:rect id="Rectangle 200757" o:spid="_x0000_s1344" style="position:absolute;left:5022;top:5965;width:830;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wscYA&#10;AADfAAAADwAAAGRycy9kb3ducmV2LnhtbESPS4vCQBCE74L/YWjBm04UfGUdRXygx10VdG9Npk2C&#10;mZ6QGU301+8sLOyxqKqvqPmyMYV4UuVyywoG/QgEcWJ1zqmC82nXm4JwHlljYZkUvMjBctFuzTHW&#10;tuYveh59KgKEXYwKMu/LWEqXZGTQ9W1JHLybrQz6IKtU6grrADeFHEbRWBrMOSxkWNI6o+R+fBgF&#10;+2m5uh7su06L7ff+8nmZbU4zr1S306w+QHhq/H/4r33QCgJxMprA75/w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7wscYAAADfAAAADwAAAAAAAAAAAAAAAACYAgAAZHJz&#10;L2Rvd25yZXYueG1sUEsFBgAAAAAEAAQA9QAAAIsDAAAAAA==&#10;" filled="f" stroked="f">
                  <v:textbox inset="0,0,0,0">
                    <w:txbxContent>
                      <w:p w:rsidR="00EE13F6" w:rsidRDefault="002E5BC4">
                        <w:r>
                          <w:rPr>
                            <w:color w:val="585858"/>
                            <w:sz w:val="8"/>
                          </w:rPr>
                          <w:t>25</w:t>
                        </w:r>
                      </w:p>
                    </w:txbxContent>
                  </v:textbox>
                </v:rect>
                <v:rect id="Rectangle 200758" o:spid="_x0000_s1345" style="position:absolute;left:4891;top:5965;width:19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kw8gA&#10;AADfAAAADwAAAGRycy9kb3ducmV2LnhtbESPTWvCQBCG70L/wzKCN91YqNXoKtJW9OhHwXobstMk&#10;NDsbsqtJ++udQ8Hj8M77zDyLVecqdaMmlJ4NjEcJKOLM25JzA5+nzXAKKkRki5VnMvBLAVbLp94C&#10;U+tbPtDtGHMlEA4pGihirFOtQ1aQwzDyNbFk375xGGVscm0bbAXuKv2cJBPtsGS5UGBNbwVlP8er&#10;M7Cd1uuvnf9r8+rjsj3vz7P30ywaM+h36zmoSF18LP+3d9aAEF9f5GHxERf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WTDyAAAAN8AAAAPAAAAAAAAAAAAAAAAAJgCAABk&#10;cnMvZG93bnJldi54bWxQSwUGAAAAAAQABAD1AAAAjQMAAAAA&#10;" filled="f" stroked="f">
                  <v:textbox inset="0,0,0,0">
                    <w:txbxContent>
                      <w:p w:rsidR="00EE13F6" w:rsidRDefault="002E5BC4">
                        <w:r>
                          <w:rPr>
                            <w:color w:val="585858"/>
                            <w:sz w:val="8"/>
                          </w:rPr>
                          <w:t>,</w:t>
                        </w:r>
                      </w:p>
                    </w:txbxContent>
                  </v:textbox>
                </v:rect>
                <v:rect id="Rectangle 200760" o:spid="_x0000_s1346" style="position:absolute;left:9511;top:5965;width:830;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ieMcA&#10;AADfAAAADwAAAGRycy9kb3ducmV2LnhtbESPQWvCQBCF74L/YRmhN920B6sxGxFt0WPVgu1tyI5J&#10;aHY2ZLcm7a/vHIQehzfve3zZenCNulEXas8GHmcJKOLC25pLA+/n1+kCVIjIFhvPZOCHAqzz8SjD&#10;1Pqej3Q7xVIJhEOKBqoY21TrUFTkMMx8SyzZ1XcOo5xdqW2HvcBdo5+SZK4d1iwLFba0raj4On07&#10;A/tFu/k4+N++bF4+95e3y3J3XkZjHibDZgUq0hD/n+/tgzUgxOe5GIiPuI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bonjHAAAA3wAAAA8AAAAAAAAAAAAAAAAAmAIAAGRy&#10;cy9kb3ducmV2LnhtbFBLBQYAAAAABAAEAPUAAACMAwAAAAA=&#10;" filled="f" stroked="f">
                  <v:textbox inset="0,0,0,0">
                    <w:txbxContent>
                      <w:p w:rsidR="00EE13F6" w:rsidRDefault="002E5BC4">
                        <w:r>
                          <w:rPr>
                            <w:color w:val="585858"/>
                            <w:sz w:val="8"/>
                          </w:rPr>
                          <w:t>43</w:t>
                        </w:r>
                      </w:p>
                    </w:txbxContent>
                  </v:textbox>
                </v:rect>
                <v:rect id="Rectangle 200761" o:spid="_x0000_s1347" style="position:absolute;left:9380;top:5965;width:19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H48YA&#10;AADfAAAADwAAAGRycy9kb3ducmV2LnhtbESPQYvCMBSE74L/ITxhb5q6B1e7RhFd0aNaQff2aJ5t&#10;sXkpTbTd/fVGEDwOM/MNM523phR3ql1hWcFwEIEgTq0uOFNwTNb9MQjnkTWWlknBHzmYz7qdKcba&#10;Nryn+8FnIkDYxagg976KpXRpTgbdwFbEwbvY2qAPss6krrEJcFPKzygaSYMFh4UcK1rmlF4PN6Ng&#10;M64W5639b7Ly53dz2p0mq2TilfrotYtvEJ5a/w6/2lutIBC/RkN4/glf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cH48YAAADfAAAADwAAAAAAAAAAAAAAAACYAgAAZHJz&#10;L2Rvd25yZXYueG1sUEsFBgAAAAAEAAQA9QAAAIsDAAAAAA==&#10;" filled="f" stroked="f">
                  <v:textbox inset="0,0,0,0">
                    <w:txbxContent>
                      <w:p w:rsidR="00EE13F6" w:rsidRDefault="002E5BC4">
                        <w:r>
                          <w:rPr>
                            <w:color w:val="585858"/>
                            <w:sz w:val="8"/>
                          </w:rPr>
                          <w:t>,</w:t>
                        </w:r>
                      </w:p>
                    </w:txbxContent>
                  </v:textbox>
                </v:rect>
                <v:rect id="Rectangle 200759" o:spid="_x0000_s1348" style="position:absolute;left:9054;top:5965;width:39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BWMcA&#10;AADfAAAADwAAAGRycy9kb3ducmV2LnhtbESPW2vCQBSE3wX/w3IE33RTwUuiq4gX9LFqwfbtkD0m&#10;odmzIbua2F/fLQh9HGbmG2axak0pHlS7wrKCt2EEgji1uuBMwcdlP5iBcB5ZY2mZFDzJwWrZ7Sww&#10;0bbhEz3OPhMBwi5BBbn3VSKlS3My6Ia2Ig7ezdYGfZB1JnWNTYCbUo6iaCINFhwWcqxok1P6fb4b&#10;BYdZtf482p8mK3dfh+v7Nd5eYq9Uv9eu5yA8tf4//GoftYJAnI5j+PsTv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NwVjHAAAA3wAAAA8AAAAAAAAAAAAAAAAAmAIAAGRy&#10;cy9kb3ducmV2LnhtbFBLBQYAAAAABAAEAPUAAACMAwAAAAA=&#10;" filled="f" stroked="f">
                  <v:textbox inset="0,0,0,0">
                    <w:txbxContent>
                      <w:p w:rsidR="00EE13F6" w:rsidRDefault="002E5BC4">
                        <w:r>
                          <w:rPr>
                            <w:color w:val="585858"/>
                            <w:sz w:val="8"/>
                          </w:rPr>
                          <w:t>1</w:t>
                        </w:r>
                      </w:p>
                    </w:txbxContent>
                  </v:textbox>
                </v:rect>
                <v:rect id="Rectangle 200764" o:spid="_x0000_s1349" style="position:absolute;left:13870;top:5965;width:19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ke8gA&#10;AADfAAAADwAAAGRycy9kb3ducmV2LnhtbESPT2vCQBTE70K/w/KE3nRjKf5JXUXaSnJso6C9PbKv&#10;SWj2bchuk+indwtCj8PM/IZZbwdTi45aV1lWMJtGIIhzqysuFBwP+8kShPPIGmvLpOBCDrabh9Ea&#10;Y217/qQu84UIEHYxKii9b2IpXV6SQTe1DXHwvm1r0AfZFlK32Ae4qeVTFM2lwYrDQokNvZaU/2S/&#10;RkGybHbn1F77on7/Sk4fp9XbYeWVehwPuxcQngb/H763U60gEBfzZ/j7E76A3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oKR7yAAAAN8AAAAPAAAAAAAAAAAAAAAAAJgCAABk&#10;cnMvZG93bnJldi54bWxQSwUGAAAAAAQABAD1AAAAjQMAAAAA&#10;" filled="f" stroked="f">
                  <v:textbox inset="0,0,0,0">
                    <w:txbxContent>
                      <w:p w:rsidR="00EE13F6" w:rsidRDefault="002E5BC4">
                        <w:r>
                          <w:rPr>
                            <w:color w:val="585858"/>
                            <w:sz w:val="8"/>
                          </w:rPr>
                          <w:t>,</w:t>
                        </w:r>
                      </w:p>
                    </w:txbxContent>
                  </v:textbox>
                </v:rect>
                <v:rect id="Rectangle 200762" o:spid="_x0000_s1350" style="position:absolute;left:13543;top:5965;width:39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ZlMgA&#10;AADfAAAADwAAAGRycy9kb3ducmV2LnhtbESPzWrDMBCE74G8g9hCb7HcHPLjRgkhbYiPrV1we1us&#10;rW1qrYylxG6evioEchxm5htmsxtNKy7Uu8aygqcoBkFcWt1wpeAjP85WIJxH1thaJgW/5GC3nU42&#10;mGg78DtdMl+JAGGXoILa+y6R0pU1GXSR7YiD9217gz7IvpK6xyHATSvncbyQBhsOCzV2dKip/MnO&#10;RsFp1e0/U3sdqvb161S8FeuXfO2VenwY988gPI3+Hr61U60gEJeLOfz/CV9Ab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ZmUyAAAAN8AAAAPAAAAAAAAAAAAAAAAAJgCAABk&#10;cnMvZG93bnJldi54bWxQSwUGAAAAAAQABAD1AAAAjQMAAAAA&#10;" filled="f" stroked="f">
                  <v:textbox inset="0,0,0,0">
                    <w:txbxContent>
                      <w:p w:rsidR="00EE13F6" w:rsidRDefault="002E5BC4">
                        <w:r>
                          <w:rPr>
                            <w:color w:val="585858"/>
                            <w:sz w:val="8"/>
                          </w:rPr>
                          <w:t>1</w:t>
                        </w:r>
                      </w:p>
                    </w:txbxContent>
                  </v:textbox>
                </v:rect>
                <v:rect id="Rectangle 200763" o:spid="_x0000_s1351" style="position:absolute;left:14000;top:5965;width:8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8D8gA&#10;AADfAAAADwAAAGRycy9kb3ducmV2LnhtbESPT2vCQBTE70K/w/KE3nRjC/5JXUXaSnJso6C9PbKv&#10;SWj2bchuk+indwtCj8PM/IZZbwdTi45aV1lWMJtGIIhzqysuFBwP+8kShPPIGmvLpOBCDrabh9Ea&#10;Y217/qQu84UIEHYxKii9b2IpXV6SQTe1DXHwvm1r0AfZFlK32Ae4qeVTFM2lwYrDQokNvZaU/2S/&#10;RkGybHbn1F77on7/Sk4fp9XbYeWVehwPuxcQngb/H763U60gEBfzZ/j7E76A3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TwPyAAAAN8AAAAPAAAAAAAAAAAAAAAAAJgCAABk&#10;cnMvZG93bnJldi54bWxQSwUGAAAAAAQABAD1AAAAjQMAAAAA&#10;" filled="f" stroked="f">
                  <v:textbox inset="0,0,0,0">
                    <w:txbxContent>
                      <w:p w:rsidR="00EE13F6" w:rsidRDefault="002E5BC4">
                        <w:r>
                          <w:rPr>
                            <w:color w:val="585858"/>
                            <w:sz w:val="8"/>
                          </w:rPr>
                          <w:t>67</w:t>
                        </w:r>
                      </w:p>
                    </w:txbxContent>
                  </v:textbox>
                </v:rect>
                <v:rect id="Rectangle 200765" o:spid="_x0000_s1352" style="position:absolute;left:18033;top:5965;width:39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4MgA&#10;AADfAAAADwAAAGRycy9kb3ducmV2LnhtbESPT2vCQBTE70K/w/KE3nRjof5JXUXaSnJso6C9PbKv&#10;SWj2bchuk+indwtCj8PM/IZZbwdTi45aV1lWMJtGIIhzqysuFBwP+8kShPPIGmvLpOBCDrabh9Ea&#10;Y217/qQu84UIEHYxKii9b2IpXV6SQTe1DXHwvm1r0AfZFlK32Ae4qeVTFM2lwYrDQokNvZaU/2S/&#10;RkGybHbn1F77on7/Sk4fp9XbYeWVehwPuxcQngb/H763U60gEBfzZ/j7E76A3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AHgyAAAAN8AAAAPAAAAAAAAAAAAAAAAAJgCAABk&#10;cnMvZG93bnJldi54bWxQSwUGAAAAAAQABAD1AAAAjQMAAAAA&#10;" filled="f" stroked="f">
                  <v:textbox inset="0,0,0,0">
                    <w:txbxContent>
                      <w:p w:rsidR="00EE13F6" w:rsidRDefault="002E5BC4">
                        <w:r>
                          <w:rPr>
                            <w:color w:val="585858"/>
                            <w:sz w:val="8"/>
                          </w:rPr>
                          <w:t>2</w:t>
                        </w:r>
                      </w:p>
                    </w:txbxContent>
                  </v:textbox>
                </v:rect>
                <v:rect id="Rectangle 200767" o:spid="_x0000_s1353" style="position:absolute;left:18359;top:5965;width:19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6DMcA&#10;AADfAAAADwAAAGRycy9kb3ducmV2LnhtbESPQWvCQBSE74L/YXkFb7ppD1FTVwlW0WNrCra3R/Y1&#10;Cd19G7KrSfvruwXB4zAz3zCrzWCNuFLnG8cKHmcJCOLS6YYrBe/FfroA4QOyRuOYFPyQh816PFph&#10;pl3Pb3Q9hUpECPsMFdQhtJmUvqzJop+5ljh6X66zGKLsKqk77CPcGvmUJKm02HBcqLGlbU3l9+li&#10;FRwWbf5xdL99ZXafh/PreflSLINSk4chfwYRaAj38K191AoicZ7O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OgzHAAAA3wAAAA8AAAAAAAAAAAAAAAAAmAIAAGRy&#10;cy9kb3ducmV2LnhtbFBLBQYAAAAABAAEAPUAAACMAwAAAAA=&#10;" filled="f" stroked="f">
                  <v:textbox inset="0,0,0,0">
                    <w:txbxContent>
                      <w:p w:rsidR="00EE13F6" w:rsidRDefault="002E5BC4">
                        <w:r>
                          <w:rPr>
                            <w:color w:val="585858"/>
                            <w:sz w:val="8"/>
                          </w:rPr>
                          <w:t>,</w:t>
                        </w:r>
                      </w:p>
                    </w:txbxContent>
                  </v:textbox>
                </v:rect>
                <v:rect id="Rectangle 200766" o:spid="_x0000_s1354" style="position:absolute;left:18490;top:5965;width:830;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fl8YA&#10;AADfAAAADwAAAGRycy9kb3ducmV2LnhtbESPT4vCMBTE7wt+h/AEb2uqh65Wo4h/0OOuCurt0Tzb&#10;YvNSmmjrfvrNguBxmJnfMNN5a0rxoNoVlhUM+hEI4tTqgjMFx8PmcwTCeWSNpWVS8CQH81nnY4qJ&#10;tg3/0GPvMxEg7BJUkHtfJVK6NCeDrm8r4uBdbW3QB1lnUtfYBLgp5TCKYmmw4LCQY0XLnNLb/m4U&#10;bEfV4ryzv01Wri/b0/dpvDqMvVK9bruYgPDU+nf41d5pBYH4Fcfw/yd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6fl8YAAADfAAAADwAAAAAAAAAAAAAAAACYAgAAZHJz&#10;L2Rvd25yZXYueG1sUEsFBgAAAAAEAAQA9QAAAIsDAAAAAA==&#10;" filled="f" stroked="f">
                  <v:textbox inset="0,0,0,0">
                    <w:txbxContent>
                      <w:p w:rsidR="00EE13F6" w:rsidRDefault="002E5BC4">
                        <w:r>
                          <w:rPr>
                            <w:color w:val="585858"/>
                            <w:sz w:val="8"/>
                          </w:rPr>
                          <w:t>00</w:t>
                        </w:r>
                      </w:p>
                    </w:txbxContent>
                  </v:textbox>
                </v:rect>
                <v:rect id="Rectangle 200768" o:spid="_x0000_s1355" style="position:absolute;left:22522;top:5965;width:39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ufscA&#10;AADfAAAADwAAAGRycy9kb3ducmV2LnhtbESPwW7CMAyG70i8Q2Sk3SDdDgxKU4RgExwHTGK7WY1p&#10;qzVO1WS029PPB6Qdrd//Z3/ZenCNulEXas8GHmcJKOLC25pLA+/n1+kCVIjIFhvPZOCHAqzz8SjD&#10;1Pqej3Q7xVIJhEOKBqoY21TrUFTkMMx8SyzZ1XcOo4xdqW2HvcBdo5+SZK4d1iwXKmxpW1Hxdfp2&#10;BvaLdvNx8L992bx87i9vl+XuvIzGPEyGzQpUpCH+L9/bB2tAiM9zeVh8xAV0/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trn7HAAAA3wAAAA8AAAAAAAAAAAAAAAAAmAIAAGRy&#10;cy9kb3ducmV2LnhtbFBLBQYAAAAABAAEAPUAAACMAwAAAAA=&#10;" filled="f" stroked="f">
                  <v:textbox inset="0,0,0,0">
                    <w:txbxContent>
                      <w:p w:rsidR="00EE13F6" w:rsidRDefault="002E5BC4">
                        <w:r>
                          <w:rPr>
                            <w:color w:val="585858"/>
                            <w:sz w:val="8"/>
                          </w:rPr>
                          <w:t>2</w:t>
                        </w:r>
                      </w:p>
                    </w:txbxContent>
                  </v:textbox>
                </v:rect>
                <v:rect id="Rectangle 200770" o:spid="_x0000_s1356" style="position:absolute;left:22848;top:5965;width:19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0pccA&#10;AADfAAAADwAAAGRycy9kb3ducmV2LnhtbESPQWvCQBCF7wX/wzJCb3VTD1VjNiJq0WOrgu1tyI5J&#10;aHY2ZLcm7a/vHAoehzfve3zZanCNulEXas8GnicJKOLC25pLA+fT69McVIjIFhvPZOCHAqzy0UOG&#10;qfU9v9PtGEslEA4pGqhibFOtQ1GRwzDxLbFkV985jHJ2pbYd9gJ3jZ4myYt2WLMsVNjSpqLi6/jt&#10;DOzn7frj4H/7stl97i9vl8X2tIjGPI6H9RJUpCHen//bB2tAiLOZGIiPuI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CNKXHAAAA3wAAAA8AAAAAAAAAAAAAAAAAmAIAAGRy&#10;cy9kb3ducmV2LnhtbFBLBQYAAAAABAAEAPUAAACMAwAAAAA=&#10;" filled="f" stroked="f">
                  <v:textbox inset="0,0,0,0">
                    <w:txbxContent>
                      <w:p w:rsidR="00EE13F6" w:rsidRDefault="002E5BC4">
                        <w:r>
                          <w:rPr>
                            <w:color w:val="585858"/>
                            <w:sz w:val="8"/>
                          </w:rPr>
                          <w:t>,</w:t>
                        </w:r>
                      </w:p>
                    </w:txbxContent>
                  </v:textbox>
                </v:rect>
                <v:rect id="Rectangle 200769" o:spid="_x0000_s1357" style="position:absolute;left:22979;top:5965;width:8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L5cYA&#10;AADfAAAADwAAAGRycy9kb3ducmV2LnhtbESPT4vCMBTE78J+h/AWvGmqB9dWo8iuokf/LKi3R/Ns&#10;i81LaaKt++mNIOxxmJnfMNN5a0pxp9oVlhUM+hEI4tTqgjMFv4dVbwzCeWSNpWVS8CAH89lHZ4qJ&#10;tg3v6L73mQgQdgkqyL2vEildmpNB17cVcfAutjbog6wzqWtsAtyUchhFI2mw4LCQY0XfOaXX/c0o&#10;WI+rxWlj/5qsXJ7Xx+0x/jnEXqnuZ7uYgPDU+v/wu73RCgLxaxTD60/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EL5cYAAADfAAAADwAAAAAAAAAAAAAAAACYAgAAZHJz&#10;L2Rvd25yZXYueG1sUEsFBgAAAAAEAAQA9QAAAIsDAAAAAA==&#10;" filled="f" stroked="f">
                  <v:textbox inset="0,0,0,0">
                    <w:txbxContent>
                      <w:p w:rsidR="00EE13F6" w:rsidRDefault="002E5BC4">
                        <w:r>
                          <w:rPr>
                            <w:color w:val="585858"/>
                            <w:sz w:val="8"/>
                          </w:rPr>
                          <w:t>50</w:t>
                        </w:r>
                      </w:p>
                    </w:txbxContent>
                  </v:textbox>
                </v:rect>
                <v:rect id="Rectangle 200771" o:spid="_x0000_s1358" style="position:absolute;left:27011;top:5965;width:397;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RPsYA&#10;AADfAAAADwAAAGRycy9kb3ducmV2LnhtbESPT4vCMBTE74LfITzBm6buwT/VKKIrenRVUG+P5tkW&#10;m5fSRFv99GZhYY/DzPyGmS0aU4gnVS63rGDQj0AQJ1bnnCo4HTe9MQjnkTUWlknBixws5u3WDGNt&#10;a/6h58GnIkDYxagg876MpXRJRgZd35bEwbvZyqAPskqlrrAOcFPIrygaSoM5h4UMS1pllNwPD6Ng&#10;Oy6Xl51912nxfd2e9+fJ+jjxSnU7zXIKwlPj/8N/7Z1WEIij0QB+/4QvIO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6RPsYAAADfAAAADwAAAAAAAAAAAAAAAACYAgAAZHJz&#10;L2Rvd25yZXYueG1sUEsFBgAAAAAEAAQA9QAAAIsDAAAAAA==&#10;" filled="f" stroked="f">
                  <v:textbox inset="0,0,0,0">
                    <w:txbxContent>
                      <w:p w:rsidR="00EE13F6" w:rsidRDefault="002E5BC4">
                        <w:r>
                          <w:rPr>
                            <w:color w:val="585858"/>
                            <w:sz w:val="8"/>
                          </w:rPr>
                          <w:t>3</w:t>
                        </w:r>
                      </w:p>
                    </w:txbxContent>
                  </v:textbox>
                </v:rect>
                <v:rect id="Rectangle 200772" o:spid="_x0000_s1359" style="position:absolute;left:27469;top:5965;width:830;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PSccA&#10;AADfAAAADwAAAGRycy9kb3ducmV2LnhtbESPQWvCQBSE74L/YXlCb2ajh5pEVxHbosdWhejtkX0m&#10;wezbkN2atL++Wyj0OMzMN8xqM5hGPKhztWUFsygGQVxYXXOp4Hx6myYgnEfW2FgmBV/kYLMej1aY&#10;advzBz2OvhQBwi5DBZX3bSalKyoy6CLbEgfvZjuDPsiulLrDPsBNI+dx/CwN1hwWKmxpV1FxP34a&#10;Bfuk3V4O9rsvm9frPn/P05dT6pV6mgzbJQhPg/8P/7UPWkEgLhZz+P0Tv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cD0nHAAAA3wAAAA8AAAAAAAAAAAAAAAAAmAIAAGRy&#10;cy9kb3ducmV2LnhtbFBLBQYAAAAABAAEAPUAAACMAwAAAAA=&#10;" filled="f" stroked="f">
                  <v:textbox inset="0,0,0,0">
                    <w:txbxContent>
                      <w:p w:rsidR="00EE13F6" w:rsidRDefault="002E5BC4">
                        <w:r>
                          <w:rPr>
                            <w:color w:val="585858"/>
                            <w:sz w:val="8"/>
                          </w:rPr>
                          <w:t>33</w:t>
                        </w:r>
                      </w:p>
                    </w:txbxContent>
                  </v:textbox>
                </v:rect>
                <v:rect id="Rectangle 200773" o:spid="_x0000_s1360" style="position:absolute;left:27338;top:5965;width:19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q0scA&#10;AADfAAAADwAAAGRycy9kb3ducmV2LnhtbESPS4vCQBCE74L/YWjBm05U8JF1FPGBHndV0L01mTYJ&#10;ZnpCZjTRX7+zsLDHoqq+oubLxhTiSZXLLSsY9CMQxInVOacKzqddbwrCeWSNhWVS8CIHy0W7NcdY&#10;25q/6Hn0qQgQdjEqyLwvYyldkpFB17clcfButjLog6xSqSusA9wUchhFY2kw57CQYUnrjJL78WEU&#10;7Kfl6nqw7zottt/7y+dltjnNvFLdTrP6AOGp8f/hv/ZBKwjEyWQEv3/C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QqtLHAAAA3wAAAA8AAAAAAAAAAAAAAAAAmAIAAGRy&#10;cy9kb3ducmV2LnhtbFBLBQYAAAAABAAEAPUAAACMAwAAAAA=&#10;" filled="f" stroked="f">
                  <v:textbox inset="0,0,0,0">
                    <w:txbxContent>
                      <w:p w:rsidR="00EE13F6" w:rsidRDefault="002E5BC4">
                        <w:r>
                          <w:rPr>
                            <w:color w:val="585858"/>
                            <w:sz w:val="8"/>
                          </w:rPr>
                          <w:t>,</w:t>
                        </w:r>
                      </w:p>
                    </w:txbxContent>
                  </v:textbox>
                </v:rect>
                <v:rect id="Rectangle 200775" o:spid="_x0000_s1361" style="position:absolute;left:31958;top:5965;width:8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XPcYA&#10;AADfAAAADwAAAGRycy9kb3ducmV2LnhtbESPS4vCQBCE74L/YWjBm04UfGUdRXygx10VdG9Npk2C&#10;mZ6QGU301+8sLOyxqKqvqPmyMYV4UuVyywoG/QgEcWJ1zqmC82nXm4JwHlljYZkUvMjBctFuzTHW&#10;tuYveh59KgKEXYwKMu/LWEqXZGTQ9W1JHLybrQz6IKtU6grrADeFHEbRWBrMOSxkWNI6o+R+fBgF&#10;+2m5uh7su06L7ff+8nmZbU4zr1S306w+QHhq/H/4r33QCgJxMhnB75/w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XPcYAAADfAAAADwAAAAAAAAAAAAAAAACYAgAAZHJz&#10;L2Rvd25yZXYueG1sUEsFBgAAAAAEAAQA9QAAAIsDAAAAAA==&#10;" filled="f" stroked="f">
                  <v:textbox inset="0,0,0,0">
                    <w:txbxContent>
                      <w:p w:rsidR="00EE13F6" w:rsidRDefault="002E5BC4">
                        <w:r>
                          <w:rPr>
                            <w:color w:val="585858"/>
                            <w:sz w:val="8"/>
                          </w:rPr>
                          <w:t>00</w:t>
                        </w:r>
                      </w:p>
                    </w:txbxContent>
                  </v:textbox>
                </v:rect>
                <v:rect id="Rectangle 200774" o:spid="_x0000_s1362" style="position:absolute;left:31501;top:5965;width:39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ypscA&#10;AADfAAAADwAAAGRycy9kb3ducmV2LnhtbESPS4vCQBCE74L/YWjBm04U8ZF1FPGBHndV0L01mTYJ&#10;ZnpCZjTRX7+zsLDHoqq+oubLxhTiSZXLLSsY9CMQxInVOacKzqddbwrCeWSNhWVS8CIHy0W7NcdY&#10;25q/6Hn0qQgQdjEqyLwvYyldkpFB17clcfButjLog6xSqSusA9wUchhFY2kw57CQYUnrjJL78WEU&#10;7Kfl6nqw7zottt/7y+dltjnNvFLdTrP6AOGp8f/hv/ZBKwjEyWQEv3/C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5MqbHAAAA3wAAAA8AAAAAAAAAAAAAAAAAmAIAAGRy&#10;cy9kb3ducmV2LnhtbFBLBQYAAAAABAAEAPUAAACMAwAAAAA=&#10;" filled="f" stroked="f">
                  <v:textbox inset="0,0,0,0">
                    <w:txbxContent>
                      <w:p w:rsidR="00EE13F6" w:rsidRDefault="002E5BC4">
                        <w:r>
                          <w:rPr>
                            <w:color w:val="585858"/>
                            <w:sz w:val="8"/>
                          </w:rPr>
                          <w:t>4</w:t>
                        </w:r>
                      </w:p>
                    </w:txbxContent>
                  </v:textbox>
                </v:rect>
                <v:rect id="Rectangle 200776" o:spid="_x0000_s1363" style="position:absolute;left:31827;top:5965;width:19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SscA&#10;AADfAAAADwAAAGRycy9kb3ducmV2LnhtbESPQWvCQBSE74L/YXkFb7ppD1FTVwlW0WNrCra3R/Y1&#10;Cd19G7KrSfvruwXB4zAz3zCrzWCNuFLnG8cKHmcJCOLS6YYrBe/FfroA4QOyRuOYFPyQh816PFph&#10;pl3Pb3Q9hUpECPsMFdQhtJmUvqzJop+5ljh6X66zGKLsKqk77CPcGvmUJKm02HBcqLGlbU3l9+li&#10;FRwWbf5xdL99ZXafh/PreflSLINSk4chfwYRaAj38K191AoicT5P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nCUrHAAAA3wAAAA8AAAAAAAAAAAAAAAAAmAIAAGRy&#10;cy9kb3ducmV2LnhtbFBLBQYAAAAABAAEAPUAAACMAwAAAAA=&#10;" filled="f" stroked="f">
                  <v:textbox inset="0,0,0,0">
                    <w:txbxContent>
                      <w:p w:rsidR="00EE13F6" w:rsidRDefault="002E5BC4">
                        <w:r>
                          <w:rPr>
                            <w:color w:val="585858"/>
                            <w:sz w:val="8"/>
                          </w:rPr>
                          <w:t>,</w:t>
                        </w:r>
                      </w:p>
                    </w:txbxContent>
                  </v:textbox>
                </v:rect>
                <v:rect id="Rectangle 200778" o:spid="_x0000_s1364" style="position:absolute;left:36447;top:5965;width:8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4o8cA&#10;AADfAAAADwAAAGRycy9kb3ducmV2LnhtbESPwW7CMAyG75N4h8hIu410HAaUpggBExw3QGK7WY1p&#10;qzVO1WS029PPh0kcrd//Z3/ZanCNulEXas8GnicJKOLC25pLA+fT69McVIjIFhvPZOCHAqzy0UOG&#10;qfU9v9PtGEslEA4pGqhibFOtQ1GRwzDxLbFkV985jDJ2pbYd9gJ3jZ4myYt2WLNcqLClTUXF1/Hb&#10;GdjP2/XHwf/2ZbP73F/eLovtaRGNeRwP6yWoSEO8L/+3D9aAEGczeVh8xAV0/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0OKPHAAAA3wAAAA8AAAAAAAAAAAAAAAAAmAIAAGRy&#10;cy9kb3ducmV2LnhtbFBLBQYAAAAABAAEAPUAAACMAwAAAAA=&#10;" filled="f" stroked="f">
                  <v:textbox inset="0,0,0,0">
                    <w:txbxContent>
                      <w:p w:rsidR="00EE13F6" w:rsidRDefault="002E5BC4">
                        <w:r>
                          <w:rPr>
                            <w:color w:val="585858"/>
                            <w:sz w:val="8"/>
                          </w:rPr>
                          <w:t>00</w:t>
                        </w:r>
                      </w:p>
                    </w:txbxContent>
                  </v:textbox>
                </v:rect>
                <v:rect id="Rectangle 200779" o:spid="_x0000_s1365" style="position:absolute;left:36317;top:5965;width:19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OMYA&#10;AADfAAAADwAAAGRycy9kb3ducmV2LnhtbESPT4vCMBTE78J+h/AWvGmqB7XVKLLrokf/LKi3R/Ns&#10;i81LabK2+umNIOxxmJnfMLNFa0pxo9oVlhUM+hEI4tTqgjMFv4ef3gSE88gaS8uk4E4OFvOPzgwT&#10;bRve0W3vMxEg7BJUkHtfJVK6NCeDrm8r4uBdbG3QB1lnUtfYBLgp5TCKRtJgwWEhx4q+ckqv+z+j&#10;YD2plqeNfTRZuTqvj9tj/H2IvVLdz3Y5BeGp9f/hd3ujFQTieBzD60/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OMYAAADfAAAADwAAAAAAAAAAAAAAAACYAgAAZHJz&#10;L2Rvd25yZXYueG1sUEsFBgAAAAAEAAQA9QAAAIsDAAAAAA==&#10;" filled="f" stroked="f">
                  <v:textbox inset="0,0,0,0">
                    <w:txbxContent>
                      <w:p w:rsidR="00EE13F6" w:rsidRDefault="002E5BC4">
                        <w:r>
                          <w:rPr>
                            <w:color w:val="585858"/>
                            <w:sz w:val="8"/>
                          </w:rPr>
                          <w:t>,</w:t>
                        </w:r>
                      </w:p>
                    </w:txbxContent>
                  </v:textbox>
                </v:rect>
                <v:rect id="Rectangle 200777" o:spid="_x0000_s1366" style="position:absolute;left:35990;top:5965;width:39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s0cgA&#10;AADfAAAADwAAAGRycy9kb3ducmV2LnhtbESPzWrDMBCE74G+g9hCb4ncHOrEiRJMm2If81NIe1us&#10;jW1qrYyl2m6fPgoEehxm5htmvR1NI3rqXG1ZwfMsAkFcWF1zqeDj9D5dgHAeWWNjmRT8koPt5mGy&#10;xkTbgQ/UH30pAoRdggoq79tESldUZNDNbEscvIvtDPogu1LqDocAN42cR9GLNFhzWKiwpdeKiu/j&#10;j1GQLdr0M7d/Q9nsvrLz/rx8Oy29Uk+PY7oC4Wn0/+F7O9cKAjGOY7j9CV9Ab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q6zRyAAAAN8AAAAPAAAAAAAAAAAAAAAAAJgCAABk&#10;cnMvZG93bnJldi54bWxQSwUGAAAAAAQABAD1AAAAjQMAAAAA&#10;" filled="f" stroked="f">
                  <v:textbox inset="0,0,0,0">
                    <w:txbxContent>
                      <w:p w:rsidR="00EE13F6" w:rsidRDefault="002E5BC4">
                        <w:r>
                          <w:rPr>
                            <w:color w:val="585858"/>
                            <w:sz w:val="8"/>
                          </w:rPr>
                          <w:t>5</w:t>
                        </w:r>
                      </w:p>
                    </w:txbxContent>
                  </v:textbox>
                </v:rect>
                <v:rect id="Rectangle 200782" o:spid="_x0000_s1367" style="position:absolute;left:40806;top:5965;width:19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bsYA&#10;AADfAAAADwAAAGRycy9kb3ducmV2LnhtbESPT4vCMBTE78J+h/AWvGmqh7VWo8iuix79s6DeHs2z&#10;LTYvpYm2+umNIOxxmJnfMNN5a0pxo9oVlhUM+hEI4tTqgjMFf/vfXgzCeWSNpWVScCcH89lHZ4qJ&#10;tg1v6bbzmQgQdgkqyL2vEildmpNB17cVcfDOtjbog6wzqWtsAtyUchhFX9JgwWEhx4q+c0ovu6tR&#10;sIqrxXFtH01WLk+rw+Yw/tmPvVLdz3YxAeGp9f/hd3utFQTiKB7C60/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l/bsYAAADfAAAADwAAAAAAAAAAAAAAAACYAgAAZHJz&#10;L2Rvd25yZXYueG1sUEsFBgAAAAAEAAQA9QAAAIsDAAAAAA==&#10;" filled="f" stroked="f">
                  <v:textbox inset="0,0,0,0">
                    <w:txbxContent>
                      <w:p w:rsidR="00EE13F6" w:rsidRDefault="002E5BC4">
                        <w:r>
                          <w:rPr>
                            <w:color w:val="585858"/>
                            <w:sz w:val="8"/>
                          </w:rPr>
                          <w:t>,</w:t>
                        </w:r>
                      </w:p>
                    </w:txbxContent>
                  </v:textbox>
                </v:rect>
                <v:rect id="Rectangle 200780" o:spid="_x0000_s1368" style="position:absolute;left:40480;top:5965;width:39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EgsYA&#10;AADfAAAADwAAAGRycy9kb3ducmV2LnhtbESPQWvCQBCF74L/YZmCN920hxpTVxHbokergvY2ZKdJ&#10;aHY2ZLcm+uudQ8Hj8OZ9j2++7F2tLtSGyrOB50kCijj3tuLCwPHwOU5BhYhssfZMBq4UYLkYDuaY&#10;Wd/xF132sVAC4ZChgTLGJtM65CU5DBPfEEv241uHUc620LbFTuCu1i9J8qodViwLJTa0Lin/3f85&#10;A5u0WZ23/tYV9cf35rQ7zd4Ps2jM6KlfvYGK1MfH8397aw0IcZqKgfiI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dEgsYAAADfAAAADwAAAAAAAAAAAAAAAACYAgAAZHJz&#10;L2Rvd25yZXYueG1sUEsFBgAAAAAEAAQA9QAAAIsDAAAAAA==&#10;" filled="f" stroked="f">
                  <v:textbox inset="0,0,0,0">
                    <w:txbxContent>
                      <w:p w:rsidR="00EE13F6" w:rsidRDefault="002E5BC4">
                        <w:r>
                          <w:rPr>
                            <w:color w:val="585858"/>
                            <w:sz w:val="8"/>
                          </w:rPr>
                          <w:t>6</w:t>
                        </w:r>
                      </w:p>
                    </w:txbxContent>
                  </v:textbox>
                </v:rect>
                <v:rect id="Rectangle 200781" o:spid="_x0000_s1369" style="position:absolute;left:40937;top:5965;width:830;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hGcYA&#10;AADfAAAADwAAAGRycy9kb3ducmV2LnhtbESPQYvCMBSE74L/ITxhb5q6B7dWo4ir6NFVQb09mmdb&#10;bF5KE213f71ZEDwOM/MNM523phQPql1hWcFwEIEgTq0uOFNwPKz7MQjnkTWWlknBLzmYz7qdKSba&#10;NvxDj73PRICwS1BB7n2VSOnSnAy6ga2Ig3e1tUEfZJ1JXWMT4KaUn1E0kgYLDgs5VrTMKb3t70bB&#10;Jq4W5639a7Jyddmcdqfx92HslfrotYsJCE+tf4df7a1WEIhf8RD+/4Qv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vhGcYAAADfAAAADwAAAAAAAAAAAAAAAACYAgAAZHJz&#10;L2Rvd25yZXYueG1sUEsFBgAAAAAEAAQA9QAAAIsDAAAAAA==&#10;" filled="f" stroked="f">
                  <v:textbox inset="0,0,0,0">
                    <w:txbxContent>
                      <w:p w:rsidR="00EE13F6" w:rsidRDefault="002E5BC4">
                        <w:r>
                          <w:rPr>
                            <w:color w:val="585858"/>
                            <w:sz w:val="8"/>
                          </w:rPr>
                          <w:t>67</w:t>
                        </w:r>
                      </w:p>
                    </w:txbxContent>
                  </v:textbox>
                </v:rect>
                <v:rect id="Rectangle 19362" o:spid="_x0000_s1370" style="position:absolute;left:45165;top:5965;width:830;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1a8QA&#10;AADeAAAADwAAAGRycy9kb3ducmV2LnhtbERPS4vCMBC+L+x/CLPgbU1XQWw1iqwuevQF6m1oxrbY&#10;TEqTtdVfbwTB23x8zxlPW1OKK9WusKzgpxuBIE6tLjhTsN/9fQ9BOI+ssbRMCm7kYDr5/Bhjom3D&#10;G7pufSZCCLsEFeTeV4mULs3JoOvaijhwZ1sb9AHWmdQ1NiHclLIXRQNpsODQkGNFvzmll+2/UbAc&#10;VrPjyt6brFyclof1IZ7vYq9U56udjUB4av1b/HKvdJgf9w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adWvEAAAA3gAAAA8AAAAAAAAAAAAAAAAAmAIAAGRycy9k&#10;b3ducmV2LnhtbFBLBQYAAAAABAAEAPUAAACJAwAAAAA=&#10;" filled="f" stroked="f">
                  <v:textbox inset="0,0,0,0">
                    <w:txbxContent>
                      <w:p w:rsidR="00EE13F6" w:rsidRDefault="002E5BC4">
                        <w:r>
                          <w:rPr>
                            <w:color w:val="585858"/>
                            <w:sz w:val="8"/>
                          </w:rPr>
                          <w:t>10</w:t>
                        </w:r>
                      </w:p>
                    </w:txbxContent>
                  </v:textbox>
                </v:rect>
                <v:rect id="Rectangle 19363" o:spid="_x0000_s1371" style="position:absolute;left:8405;top:1097;width:44550;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Q8MUA&#10;AADeAAAADwAAAGRycy9kb3ducmV2LnhtbERPTWvCQBC9C/6HZQRvurFCMNE1BFsxx1YL1tuQnSah&#10;2dmQ3Zq0v75bKPQ2j/c5u2w0rbhT7xrLClbLCARxaXXDlYLXy3GxAeE8ssbWMin4IgfZfjrZYart&#10;wC90P/tKhBB2KSqove9SKV1Zk0G3tB1x4N5tb9AH2FdS9ziEcNPKhyiKpcGGQ0ONHR1qKj/On0bB&#10;adPlb4X9Hqr26Xa6Pl+Tx0vilZrPxnwLwtPo/8V/7kKH+ck6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tDwxQAAAN4AAAAPAAAAAAAAAAAAAAAAAJgCAABkcnMv&#10;ZG93bnJldi54bWxQSwUGAAAAAAQABAD1AAAAigMAAAAA&#10;" filled="f" stroked="f">
                  <v:textbox inset="0,0,0,0">
                    <w:txbxContent>
                      <w:p w:rsidR="00EE13F6" w:rsidRDefault="002E5BC4">
                        <w:r>
                          <w:rPr>
                            <w:b/>
                            <w:color w:val="585858"/>
                            <w:sz w:val="12"/>
                          </w:rPr>
                          <w:t>Short</w:t>
                        </w:r>
                        <w:r>
                          <w:rPr>
                            <w:b/>
                            <w:color w:val="585858"/>
                            <w:sz w:val="12"/>
                          </w:rPr>
                          <w:tab/>
                          <w:t>Term</w:t>
                        </w:r>
                        <w:r>
                          <w:rPr>
                            <w:b/>
                            <w:color w:val="585858"/>
                            <w:sz w:val="12"/>
                          </w:rPr>
                          <w:tab/>
                          <w:t>Equity</w:t>
                        </w:r>
                        <w:r>
                          <w:rPr>
                            <w:b/>
                            <w:color w:val="585858"/>
                            <w:sz w:val="12"/>
                          </w:rPr>
                          <w:tab/>
                          <w:t>price</w:t>
                        </w:r>
                        <w:r>
                          <w:rPr>
                            <w:b/>
                            <w:color w:val="585858"/>
                            <w:sz w:val="12"/>
                          </w:rPr>
                          <w:tab/>
                          <w:t>variation</w:t>
                        </w:r>
                        <w:r>
                          <w:rPr>
                            <w:b/>
                            <w:color w:val="585858"/>
                            <w:sz w:val="12"/>
                          </w:rPr>
                          <w:tab/>
                          <w:t>in</w:t>
                        </w:r>
                        <w:r>
                          <w:rPr>
                            <w:b/>
                            <w:color w:val="585858"/>
                            <w:sz w:val="12"/>
                          </w:rPr>
                          <w:tab/>
                          <w:t>percents</w:t>
                        </w:r>
                        <w:r>
                          <w:rPr>
                            <w:b/>
                            <w:color w:val="585858"/>
                            <w:sz w:val="12"/>
                          </w:rPr>
                          <w:tab/>
                          <w:t>as</w:t>
                        </w:r>
                        <w:r>
                          <w:rPr>
                            <w:b/>
                            <w:color w:val="585858"/>
                            <w:sz w:val="12"/>
                          </w:rPr>
                          <w:tab/>
                          <w:t>a</w:t>
                        </w:r>
                        <w:r>
                          <w:rPr>
                            <w:b/>
                            <w:color w:val="585858"/>
                            <w:sz w:val="12"/>
                          </w:rPr>
                          <w:tab/>
                          <w:t>function</w:t>
                        </w:r>
                        <w:r>
                          <w:rPr>
                            <w:b/>
                            <w:color w:val="585858"/>
                            <w:sz w:val="12"/>
                          </w:rPr>
                          <w:tab/>
                          <w:t>of</w:t>
                        </w:r>
                        <w:r>
                          <w:rPr>
                            <w:b/>
                            <w:color w:val="585858"/>
                            <w:sz w:val="12"/>
                          </w:rPr>
                          <w:tab/>
                          <w:t>leverage</w:t>
                        </w:r>
                        <w:r>
                          <w:rPr>
                            <w:b/>
                            <w:color w:val="585858"/>
                            <w:sz w:val="12"/>
                          </w:rPr>
                          <w:tab/>
                          <w:t>and</w:t>
                        </w:r>
                        <w:r>
                          <w:rPr>
                            <w:b/>
                            <w:color w:val="585858"/>
                            <w:sz w:val="12"/>
                          </w:rPr>
                          <w:tab/>
                          <w:t>Credit</w:t>
                        </w:r>
                        <w:r>
                          <w:rPr>
                            <w:b/>
                            <w:color w:val="585858"/>
                            <w:sz w:val="12"/>
                          </w:rPr>
                          <w:tab/>
                          <w:t>spread</w:t>
                        </w:r>
                        <w:r>
                          <w:rPr>
                            <w:b/>
                            <w:color w:val="585858"/>
                            <w:sz w:val="12"/>
                          </w:rPr>
                          <w:tab/>
                        </w:r>
                      </w:p>
                    </w:txbxContent>
                  </v:textbox>
                </v:rect>
                <v:rect id="Rectangle 200754" o:spid="_x0000_s1372" style="position:absolute;left:37717;top:2053;width:37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uxsgA&#10;AADfAAAADwAAAGRycy9kb3ducmV2LnhtbESPT2vCQBTE7wW/w/KE3uqmUq1JXUX8gx5tLKS9PbKv&#10;STD7NmRXk/bTdwuCx2FmfsPMl72pxZVaV1lW8DyKQBDnVldcKPg47Z5mIJxH1lhbJgU/5GC5GDzM&#10;MdG243e6pr4QAcIuQQWl900ipctLMuhGtiEO3rdtDfog20LqFrsAN7UcR9FUGqw4LJTY0Lqk/Jxe&#10;jIL9rFl9HuxvV9Tbr312zOLNKfZKPQ771RsIT72/h2/tg1YQiK+TF/j/E7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zG7GyAAAAN8AAAAPAAAAAAAAAAAAAAAAAJgCAABk&#10;cnMvZG93bnJldi54bWxQSwUGAAAAAAQABAD1AAAAjQMAAAAA&#10;" filled="f" stroked="f">
                  <v:textbox inset="0,0,0,0">
                    <w:txbxContent>
                      <w:p w:rsidR="00EE13F6" w:rsidRDefault="002E5BC4">
                        <w:r>
                          <w:rPr>
                            <w:b/>
                            <w:color w:val="585858"/>
                            <w:sz w:val="12"/>
                          </w:rPr>
                          <w:t>)</w:t>
                        </w:r>
                      </w:p>
                    </w:txbxContent>
                  </v:textbox>
                </v:rect>
                <v:rect id="Rectangle 200753" o:spid="_x0000_s1373" style="position:absolute;left:12127;top:2053;width:37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2ssgA&#10;AADfAAAADwAAAGRycy9kb3ducmV2LnhtbESPT2vCQBTE7wW/w/KE3uqmFq1JXUX8gx5tLKS9PbKv&#10;STD7NmRXk/bTdwuCx2FmfsPMl72pxZVaV1lW8DyKQBDnVldcKPg47Z5mIJxH1lhbJgU/5GC5GDzM&#10;MdG243e6pr4QAcIuQQWl900ipctLMuhGtiEO3rdtDfog20LqFrsAN7UcR9FUGqw4LJTY0Lqk/Jxe&#10;jIL9rFl9HuxvV9Tbr312zOLNKfZKPQ771RsIT72/h2/tg1YQiK+TF/j/E7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fayyAAAAN8AAAAPAAAAAAAAAAAAAAAAAJgCAABk&#10;cnMvZG93bnJldi54bWxQSwUGAAAAAAQABAD1AAAAjQMAAAAA&#10;" filled="f" stroked="f">
                  <v:textbox inset="0,0,0,0">
                    <w:txbxContent>
                      <w:p w:rsidR="00EE13F6" w:rsidRDefault="002E5BC4">
                        <w:r>
                          <w:rPr>
                            <w:b/>
                            <w:color w:val="585858"/>
                            <w:sz w:val="12"/>
                          </w:rPr>
                          <w:t>(</w:t>
                        </w:r>
                      </w:p>
                    </w:txbxContent>
                  </v:textbox>
                </v:rect>
                <v:rect id="Rectangle 200755" o:spid="_x0000_s1374" style="position:absolute;left:12388;top:2053;width:3370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LXccA&#10;AADfAAAADwAAAGRycy9kb3ducmV2LnhtbESPQWvCQBSE74X+h+UVequbCrYaXUVqS3K0UVBvj+wz&#10;CWbfhuw2Sf31rlDocZiZb5jFajC16Kh1lWUFr6MIBHFudcWFgv3u62UKwnlkjbVlUvBLDlbLx4cF&#10;xtr2/E1d5gsRIOxiVFB638RSurwkg25kG+LgnW1r0AfZFlK32Ae4qeU4it6kwYrDQokNfZSUX7If&#10;oyCZNutjaq99UX+eksP2MNvsZl6p56dhPQfhafD/4b92qhUE4vtkAvc/4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Ay13HAAAA3wAAAA8AAAAAAAAAAAAAAAAAmAIAAGRy&#10;cy9kb3ducmV2LnhtbFBLBQYAAAAABAAEAPUAAACMAwAAAAA=&#10;" filled="f" stroked="f">
                  <v:textbox inset="0,0,0,0">
                    <w:txbxContent>
                      <w:p w:rsidR="00EE13F6" w:rsidRDefault="002E5BC4">
                        <w:r>
                          <w:rPr>
                            <w:b/>
                            <w:color w:val="585858"/>
                            <w:sz w:val="12"/>
                          </w:rPr>
                          <w:t>ROA=5%;sigma=10%;T=5;</w:t>
                        </w:r>
                        <w:r>
                          <w:rPr>
                            <w:b/>
                            <w:color w:val="585858"/>
                            <w:sz w:val="12"/>
                          </w:rPr>
                          <w:tab/>
                          <w:t>r=1%;</w:t>
                        </w:r>
                        <w:r>
                          <w:rPr>
                            <w:b/>
                            <w:color w:val="585858"/>
                            <w:sz w:val="12"/>
                          </w:rPr>
                          <w:tab/>
                          <w:t>Tax=35%;</w:t>
                        </w:r>
                        <w:r>
                          <w:rPr>
                            <w:b/>
                            <w:color w:val="585858"/>
                            <w:sz w:val="12"/>
                          </w:rPr>
                          <w:tab/>
                          <w:t>FTT</w:t>
                        </w:r>
                        <w:r>
                          <w:rPr>
                            <w:b/>
                            <w:color w:val="585858"/>
                            <w:sz w:val="12"/>
                          </w:rPr>
                          <w:tab/>
                          <w:t>roundtrip</w:t>
                        </w:r>
                        <w:r>
                          <w:rPr>
                            <w:b/>
                            <w:color w:val="585858"/>
                            <w:sz w:val="12"/>
                          </w:rPr>
                          <w:tab/>
                          <w:t>rate=0,2%</w:t>
                        </w:r>
                      </w:p>
                    </w:txbxContent>
                  </v:textbox>
                </v:rect>
                <v:shape id="Shape 19365" o:spid="_x0000_s1375" style="position:absolute;left:12633;top:26335;width:1241;height:0;visibility:visible;mso-wrap-style:square;v-text-anchor:top" coordsize="124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sN8YA&#10;AADeAAAADwAAAGRycy9kb3ducmV2LnhtbERPS2vCQBC+F/wPywi91Y1tfTR1laLY9tJDowjehuyY&#10;BLOzcXej8d+7BaG3+fieM1t0phZncr6yrGA4SEAQ51ZXXCjYbtZPUxA+IGusLZOCK3lYzHsPM0y1&#10;vfAvnbNQiBjCPkUFZQhNKqXPSzLoB7YhjtzBOoMhQldI7fASw00tn5NkLA1WHBtKbGhZUn7MWqNg&#10;kn1tT027X66wPaGrpp+Hn9edUo/97uMdRKAu/Ivv7m8d57+9jEfw9068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osN8YAAADeAAAADwAAAAAAAAAAAAAAAACYAgAAZHJz&#10;L2Rvd25yZXYueG1sUEsFBgAAAAAEAAQA9QAAAIsDAAAAAA==&#10;" path="m,l124051,1e" filled="f" strokecolor="#5e5e5e" strokeweight=".31228mm">
                  <v:stroke endcap="round"/>
                  <v:path arrowok="t" textboxrect="0,0,124051,1"/>
                </v:shape>
                <v:rect id="Rectangle 19366" o:spid="_x0000_s1376" style="position:absolute;left:14011;top:26025;width:333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zaMUA&#10;AADeAAAADwAAAGRycy9kb3ducmV2LnhtbERPS2vCQBC+F/oflil4q5tWCCZmI9IHeqymoN6G7JiE&#10;ZmdDdmuiv74rCL3Nx/ecbDmaVpypd41lBS/TCARxaXXDlYLv4vN5DsJ5ZI2tZVJwIQfL/PEhw1Tb&#10;gbd03vlKhBB2KSqove9SKV1Zk0E3tR1x4E62N+gD7CupexxCuGnlaxTF0mDDoaHGjt5qKn92v0bB&#10;et6tDht7Har247jef+2T9yLxSk2extUChKfR/4vv7o0O85NZHM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XNoxQAAAN4AAAAPAAAAAAAAAAAAAAAAAJgCAABkcnMv&#10;ZG93bnJldi54bWxQSwUGAAAAAAQABAD1AAAAigMAAAAA&#10;" filled="f" stroked="f">
                  <v:textbox inset="0,0,0,0">
                    <w:txbxContent>
                      <w:p w:rsidR="00EE13F6" w:rsidRDefault="002E5BC4">
                        <w:r>
                          <w:rPr>
                            <w:color w:val="585858"/>
                            <w:sz w:val="8"/>
                          </w:rPr>
                          <w:t>spread</w:t>
                        </w:r>
                        <w:r>
                          <w:rPr>
                            <w:color w:val="585858"/>
                            <w:sz w:val="8"/>
                          </w:rPr>
                          <w:tab/>
                          <w:t>1%</w:t>
                        </w:r>
                      </w:p>
                    </w:txbxContent>
                  </v:textbox>
                </v:rect>
                <v:shape id="Shape 19367" o:spid="_x0000_s1377" style="position:absolute;left:17399;top:26335;width:1241;height:0;visibility:visible;mso-wrap-style:square;v-text-anchor:top" coordsize="124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Ju8MA&#10;AADeAAAADwAAAGRycy9kb3ducmV2LnhtbERPTUsDMRC9F/wPYQRvbbYKq26bllIQ9SK01fuYTHe3&#10;TSbLZtyu/94Igrd5vM9Zrsfg1UB9aiMbmM8KUMQ2upZrA++Hp+kDqCTIDn1kMvBNCdarq8kSKxcv&#10;vKNhL7XKIZwqNNCIdJXWyTYUMM1iR5y5Y+wDSoZ9rV2PlxwevL4tilIHbDk3NNjRtiF73n8FA97b&#10;U2nfdvL6fJD48Xks/VCjMTfX42YBSmiUf/Gf+8Xl+Y935T38vpNv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rJu8MAAADeAAAADwAAAAAAAAAAAAAAAACYAgAAZHJzL2Rv&#10;d25yZXYueG1sUEsFBgAAAAAEAAQA9QAAAIgDAAAAAA==&#10;" path="m,l124051,1e" filled="f" strokecolor="#b3b3b3" strokeweight=".31228mm">
                  <v:stroke endcap="round"/>
                  <v:path arrowok="t" textboxrect="0,0,124051,1"/>
                </v:shape>
                <v:rect id="Rectangle 19368" o:spid="_x0000_s1378" style="position:absolute;left:18764;top:26025;width:4119;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CgcgA&#10;AADeAAAADwAAAGRycy9kb3ducmV2LnhtbESPT2vCQBDF7wW/wzJCb3VTC2JSVxH/oMdWBfU2ZKdJ&#10;aHY2ZFeT9tN3DgVvM7w37/1mtuhdre7UhsqzgddRAoo497biwsDpuH2ZggoR2WLtmQz8UIDFfPA0&#10;w8z6jj/pfoiFkhAOGRooY2wyrUNeksMw8g2xaF++dRhlbQttW+wk3NV6nCQT7bBiaSixoVVJ+ffh&#10;5gzsps3ysve/XVFvrrvzxzldH9NozPOwX76DitTHh/n/em8FP32bCK+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skKByAAAAN4AAAAPAAAAAAAAAAAAAAAAAJgCAABk&#10;cnMvZG93bnJldi54bWxQSwUGAAAAAAQABAD1AAAAjQMAAAAA&#10;" filled="f" stroked="f">
                  <v:textbox inset="0,0,0,0">
                    <w:txbxContent>
                      <w:p w:rsidR="00EE13F6" w:rsidRDefault="002E5BC4">
                        <w:r>
                          <w:rPr>
                            <w:color w:val="585858"/>
                            <w:sz w:val="8"/>
                          </w:rPr>
                          <w:t>spread</w:t>
                        </w:r>
                        <w:r>
                          <w:rPr>
                            <w:color w:val="585858"/>
                            <w:sz w:val="8"/>
                          </w:rPr>
                          <w:tab/>
                        </w:r>
                        <w:r>
                          <w:rPr>
                            <w:color w:val="585858"/>
                            <w:sz w:val="8"/>
                          </w:rPr>
                          <w:tab/>
                          <w:t>1.5%</w:t>
                        </w:r>
                      </w:p>
                    </w:txbxContent>
                  </v:textbox>
                </v:rect>
                <v:shape id="Shape 19369" o:spid="_x0000_s1379" style="position:absolute;left:22688;top:26335;width:1306;height:0;visibility:visible;mso-wrap-style:square;v-text-anchor:top" coordsize="130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I1cUA&#10;AADeAAAADwAAAGRycy9kb3ducmV2LnhtbERPTWvCQBC9F/wPywje6saqQaOrlIripYdaEbwN2TEJ&#10;yc4u2a3G/vquUPA2j/c5y3VnGnGl1leWFYyGCQji3OqKCwXH7+3rDIQPyBoby6TgTh7Wq97LEjNt&#10;b/xF10MoRAxhn6GCMgSXSenzkgz6oXXEkbvY1mCIsC2kbvEWw00j35IklQYrjg0lOvooKa8PP0bB&#10;aZbWu896uhlbnvyaSefcfXpWatDv3hcgAnXhKf5373WcPx+nc3i8E2+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UjVxQAAAN4AAAAPAAAAAAAAAAAAAAAAAJgCAABkcnMv&#10;ZG93bnJldi54bWxQSwUGAAAAAAQABAD1AAAAigMAAAAA&#10;" path="m,l130580,1e" filled="f" strokecolor="#898989" strokeweight=".31228mm">
                  <v:stroke endcap="round"/>
                  <v:path arrowok="t" textboxrect="0,0,130580,1"/>
                </v:shape>
                <v:rect id="Rectangle 19370" o:spid="_x0000_s1380" style="position:absolute;left:24095;top:26025;width:3337;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YWsgA&#10;AADeAAAADwAAAGRycy9kb3ducmV2LnhtbESPQWvCQBCF74X+h2UKvdVNLVQTXUVqix6tCuptyI5J&#10;MDsbsluT9tc7B6G3GebNe++bzntXqyu1ofJs4HWQgCLOva24MLDffb2MQYWIbLH2TAZ+KcB89vgw&#10;xcz6jr/puo2FEhMOGRooY2wyrUNeksMw8A2x3M6+dRhlbQttW+zE3NV6mCTv2mHFklBiQx8l5Zft&#10;jzOwGjeL49r/dUX9eVodNod0uUujMc9P/WICKlIf/8X377WV+unbS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HdhayAAAAN4AAAAPAAAAAAAAAAAAAAAAAJgCAABk&#10;cnMvZG93bnJldi54bWxQSwUGAAAAAAQABAD1AAAAjQMAAAAA&#10;" filled="f" stroked="f">
                  <v:textbox inset="0,0,0,0">
                    <w:txbxContent>
                      <w:p w:rsidR="00EE13F6" w:rsidRDefault="002E5BC4">
                        <w:r>
                          <w:rPr>
                            <w:color w:val="585858"/>
                            <w:sz w:val="8"/>
                          </w:rPr>
                          <w:t>spread</w:t>
                        </w:r>
                        <w:r>
                          <w:rPr>
                            <w:color w:val="585858"/>
                            <w:sz w:val="8"/>
                          </w:rPr>
                          <w:tab/>
                          <w:t>2%</w:t>
                        </w:r>
                      </w:p>
                    </w:txbxContent>
                  </v:textbox>
                </v:rect>
                <v:shape id="Shape 19371" o:spid="_x0000_s1381" style="position:absolute;left:27454;top:26335;width:1240;height:0;visibility:visible;mso-wrap-style:square;v-text-anchor:top" coordsize="124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KqscA&#10;AADeAAAADwAAAGRycy9kb3ducmV2LnhtbERPTWvCQBC9C/0PyxS86cYKVqMbEbXQQ4poC6W3ITsm&#10;IdnZNLs10V/fLRS8zeN9zmrdm1pcqHWlZQWTcQSCOLO65FzBx/vLaA7CeWSNtWVScCUH6+RhsMJY&#10;246PdDn5XIQQdjEqKLxvYildVpBBN7YNceDOtjXoA2xzqVvsQrip5VMUzaTBkkNDgQ1tC8qq049R&#10;0C10et1Fh/Rrf0tv32/VfPYpM6WGj/1mCcJT7+/if/erDvMX0+cJ/L0Tbp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GCqrHAAAA3gAAAA8AAAAAAAAAAAAAAAAAmAIAAGRy&#10;cy9kb3ducmV2LnhtbFBLBQYAAAAABAAEAPUAAACMAwAAAAA=&#10;" path="m,l124051,1e" filled="f" strokecolor="#212121" strokeweight=".31228mm">
                  <v:stroke endcap="round"/>
                  <v:path arrowok="t" textboxrect="0,0,124051,1"/>
                </v:shape>
                <v:rect id="Rectangle 19372" o:spid="_x0000_s1382" style="position:absolute;left:28847;top:26025;width:394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PjtsUA&#10;AADeAAAADwAAAGRycy9kb3ducmV2LnhtbERPTWvCQBC9C/6HZQredFOFamJWEVvRY9VC6m3ITpPQ&#10;7GzIribtr+8WBG/zeJ+TrntTixu1rrKs4HkSgSDOra64UPBx3o0XIJxH1lhbJgU/5GC9Gg5STLTt&#10;+Ei3ky9ECGGXoILS+yaR0uUlGXQT2xAH7su2Bn2AbSF1i10IN7WcRtGLNFhxaCixoW1J+ffpahTs&#10;F83m82B/u6J+u+yz9yx+PcdeqdFTv1mC8NT7h/juPugwP57N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O2xQAAAN4AAAAPAAAAAAAAAAAAAAAAAJgCAABkcnMv&#10;ZG93bnJldi54bWxQSwUGAAAAAAQABAD1AAAAigMAAAAA&#10;" filled="f" stroked="f">
                  <v:textbox inset="0,0,0,0">
                    <w:txbxContent>
                      <w:p w:rsidR="00EE13F6" w:rsidRDefault="002E5BC4">
                        <w:r>
                          <w:rPr>
                            <w:color w:val="585858"/>
                            <w:sz w:val="8"/>
                          </w:rPr>
                          <w:t>spread</w:t>
                        </w:r>
                        <w:r>
                          <w:rPr>
                            <w:color w:val="585858"/>
                            <w:sz w:val="8"/>
                          </w:rPr>
                          <w:tab/>
                          <w:t>2.5%</w:t>
                        </w:r>
                      </w:p>
                    </w:txbxContent>
                  </v:textbox>
                </v:rect>
                <v:shape id="Shape 19373" o:spid="_x0000_s1383" style="position:absolute;left:32677;top:26335;width:1241;height:0;visibility:visible;mso-wrap-style:square;v-text-anchor:top" coordsize="124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CrsUA&#10;AADeAAAADwAAAGRycy9kb3ducmV2LnhtbERPTWvCQBC9C/0PyxR6001VrEZXEaHiIdQm2kNvQ3ZM&#10;QrOzIbtq/PddQfA2j/c5i1VnanGh1lWWFbwPIhDEudUVFwqOh8/+FITzyBpry6TgRg5Wy5feAmNt&#10;r5zSJfOFCCHsYlRQet/EUrq8JINuYBviwJ1sa9AH2BZSt3gN4aaWwyiaSIMVh4YSG9qUlP9lZ6PA&#10;1+n2d7ff/pzHafeVJGv3XelEqbfXbj0H4anzT/HDvdNh/mz0MYL7O+EG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UKuxQAAAN4AAAAPAAAAAAAAAAAAAAAAAJgCAABkcnMv&#10;ZG93bnJldi54bWxQSwUGAAAAAAQABAD1AAAAigMAAAAA&#10;" path="m,l124051,1e" filled="f" strokecolor="#dadada" strokeweight=".31228mm">
                  <v:stroke endcap="round"/>
                  <v:path arrowok="t" textboxrect="0,0,124051,1"/>
                </v:shape>
                <v:rect id="Rectangle 19374" o:spid="_x0000_s1384" style="position:absolute;left:34045;top:26025;width:3337;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eWcUA&#10;AADeAAAADwAAAGRycy9kb3ducmV2LnhtbERPTWvCQBC9C/0PyxR60422WBNdRVqLHlsV1NuQHZNg&#10;djZkVxP99a4g9DaP9zmTWWtKcaHaFZYV9HsRCOLU6oIzBdvNT3cEwnlkjaVlUnAlB7PpS2eCibYN&#10;/9Fl7TMRQtglqCD3vkqkdGlOBl3PVsSBO9raoA+wzqSusQnhppSDKBpKgwWHhhwr+sopPa3PRsFy&#10;VM33K3trsnJxWO5+d/H3JvZKvb228zEIT63/Fz/dKx3mx++f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t5ZxQAAAN4AAAAPAAAAAAAAAAAAAAAAAJgCAABkcnMv&#10;ZG93bnJldi54bWxQSwUGAAAAAAQABAD1AAAAigMAAAAA&#10;" filled="f" stroked="f">
                  <v:textbox inset="0,0,0,0">
                    <w:txbxContent>
                      <w:p w:rsidR="00EE13F6" w:rsidRDefault="002E5BC4">
                        <w:r>
                          <w:rPr>
                            <w:color w:val="585858"/>
                            <w:sz w:val="8"/>
                          </w:rPr>
                          <w:t>spread</w:t>
                        </w:r>
                        <w:r>
                          <w:rPr>
                            <w:color w:val="585858"/>
                            <w:sz w:val="8"/>
                          </w:rPr>
                          <w:tab/>
                          <w:t>3%</w:t>
                        </w:r>
                      </w:p>
                    </w:txbxContent>
                  </v:textbox>
                </v:rect>
                <v:shape id="Shape 19375" o:spid="_x0000_s1385" style="position:absolute;width:48447;height:27262;visibility:visible;mso-wrap-style:square;v-text-anchor:top" coordsize="4844726,272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D8MA&#10;AADeAAAADwAAAGRycy9kb3ducmV2LnhtbERPzYrCMBC+L/gOYQRva6qya61GEUHYy4JbfYCxGdva&#10;ZlKSqPXtN8LC3ubj+53VpjetuJPztWUFk3ECgriwuuZSwem4f09B+ICssbVMCp7kYbMevK0w0/bB&#10;P3TPQyliCPsMFVQhdJmUvqjIoB/bjjhyF+sMhghdKbXDRww3rZwmyac0WHNsqLCjXUVFk9+Mgus3&#10;1sc8bbxrn+l5ni/KZno5KDUa9tsliEB9+Bf/ub90nL+YzT/g9U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DD8MAAADeAAAADwAAAAAAAAAAAAAAAACYAgAAZHJzL2Rv&#10;d25yZXYueG1sUEsFBgAAAAAEAAQA9QAAAIgDAAAAAA==&#10;" path="m4844726,2726249l,2726249,,,4844726,e" filled="f" strokecolor="#d9d9d9" strokeweight=".15614mm">
                  <v:path arrowok="t" textboxrect="0,0,4844726,2726249"/>
                </v:shape>
                <v:rect id="Rectangle 19377" o:spid="_x0000_s1386" style="position:absolute;left:21206;top:23980;width:8868;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LsUA&#10;AADeAAAADwAAAGRycy9kb3ducmV2LnhtbERPTWvCQBC9C/6HZQq96aYVNImuIlbRY9WC9TZkxySY&#10;nQ3ZrUn7612h4G0e73Nmi85U4kaNKy0reBtGIIgzq0vOFXwdN4MYhPPIGivLpOCXHCzm/d4MU21b&#10;3tPt4HMRQtilqKDwvk6ldFlBBt3Q1sSBu9jGoA+wyaVusA3hppLvUTSWBksODQXWtCooux5+jIJt&#10;XC+/d/avzav1eXv6PCUfx8Qr9frSLacgPHX+Kf5373SYn4wm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EAuxQAAAN4AAAAPAAAAAAAAAAAAAAAAAJgCAABkcnMv&#10;ZG93bnJldi54bWxQSwUGAAAAAAQABAD1AAAAigMAAAAA&#10;" filled="f" stroked="f">
                  <v:textbox inset="0,0,0,0">
                    <w:txbxContent>
                      <w:p w:rsidR="00EE13F6" w:rsidRDefault="002E5BC4">
                        <w:r>
                          <w:rPr>
                            <w:b/>
                            <w:sz w:val="14"/>
                          </w:rPr>
                          <w:t>Firm's</w:t>
                        </w:r>
                        <w:r>
                          <w:rPr>
                            <w:b/>
                            <w:sz w:val="14"/>
                          </w:rPr>
                          <w:tab/>
                          <w:t>leverage</w:t>
                        </w:r>
                      </w:p>
                    </w:txbxContent>
                  </v:textbox>
                </v:rect>
                <w10:anchorlock/>
              </v:group>
            </w:pict>
          </mc:Fallback>
        </mc:AlternateContent>
      </w:r>
    </w:p>
    <w:p w:rsidR="00EE13F6" w:rsidRDefault="002E5BC4">
      <w:pPr>
        <w:spacing w:after="0"/>
        <w:ind w:right="139"/>
        <w:jc w:val="center"/>
      </w:pPr>
      <w:r>
        <w:rPr>
          <w:rFonts w:ascii="Arial" w:eastAsia="Arial" w:hAnsi="Arial" w:cs="Arial"/>
          <w:b/>
          <w:sz w:val="16"/>
        </w:rPr>
        <w:t xml:space="preserve"> </w:t>
      </w:r>
    </w:p>
    <w:p w:rsidR="00EE13F6" w:rsidRDefault="002E5BC4">
      <w:pPr>
        <w:spacing w:after="266" w:line="264" w:lineRule="auto"/>
        <w:ind w:left="1255" w:right="468" w:hanging="10"/>
        <w:jc w:val="both"/>
      </w:pPr>
      <w:r>
        <w:rPr>
          <w:rFonts w:ascii="Cambria" w:eastAsia="Cambria" w:hAnsi="Cambria" w:cs="Cambria"/>
        </w:rPr>
        <w:t>Figure 3: Short Term Reaction of the Expected Theoretical Share Price</w:t>
      </w:r>
    </w:p>
    <w:p w:rsidR="00EE13F6" w:rsidRDefault="002E5BC4">
      <w:pPr>
        <w:spacing w:after="0"/>
        <w:ind w:left="970"/>
      </w:pPr>
      <w:r>
        <w:rPr>
          <w:noProof/>
        </w:rPr>
        <w:lastRenderedPageBreak/>
        <mc:AlternateContent>
          <mc:Choice Requires="wpg">
            <w:drawing>
              <wp:inline distT="0" distB="0" distL="0" distR="0">
                <wp:extent cx="4881205" cy="3259855"/>
                <wp:effectExtent l="0" t="0" r="0" b="0"/>
                <wp:docPr id="204095" name="Group 204095"/>
                <wp:cNvGraphicFramePr/>
                <a:graphic xmlns:a="http://schemas.openxmlformats.org/drawingml/2006/main">
                  <a:graphicData uri="http://schemas.microsoft.com/office/word/2010/wordprocessingGroup">
                    <wpg:wgp>
                      <wpg:cNvGrpSpPr/>
                      <wpg:grpSpPr>
                        <a:xfrm>
                          <a:off x="0" y="0"/>
                          <a:ext cx="4881205" cy="3259855"/>
                          <a:chOff x="0" y="0"/>
                          <a:chExt cx="4881205" cy="3259855"/>
                        </a:xfrm>
                      </wpg:grpSpPr>
                      <wps:wsp>
                        <wps:cNvPr id="19451" name="Shape 19451"/>
                        <wps:cNvSpPr/>
                        <wps:spPr>
                          <a:xfrm>
                            <a:off x="604936" y="2214293"/>
                            <a:ext cx="4032904" cy="0"/>
                          </a:xfrm>
                          <a:custGeom>
                            <a:avLst/>
                            <a:gdLst/>
                            <a:ahLst/>
                            <a:cxnLst/>
                            <a:rect l="0" t="0" r="0" b="0"/>
                            <a:pathLst>
                              <a:path w="4032904">
                                <a:moveTo>
                                  <a:pt x="0" y="0"/>
                                </a:moveTo>
                                <a:lnTo>
                                  <a:pt x="4032904" y="0"/>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52" name="Shape 19452"/>
                        <wps:cNvSpPr/>
                        <wps:spPr>
                          <a:xfrm>
                            <a:off x="604936" y="2051831"/>
                            <a:ext cx="4032904" cy="0"/>
                          </a:xfrm>
                          <a:custGeom>
                            <a:avLst/>
                            <a:gdLst/>
                            <a:ahLst/>
                            <a:cxnLst/>
                            <a:rect l="0" t="0" r="0" b="0"/>
                            <a:pathLst>
                              <a:path w="4032904">
                                <a:moveTo>
                                  <a:pt x="0" y="0"/>
                                </a:moveTo>
                                <a:lnTo>
                                  <a:pt x="4032904" y="0"/>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53" name="Shape 19453"/>
                        <wps:cNvSpPr/>
                        <wps:spPr>
                          <a:xfrm>
                            <a:off x="604936" y="1895386"/>
                            <a:ext cx="4032904" cy="0"/>
                          </a:xfrm>
                          <a:custGeom>
                            <a:avLst/>
                            <a:gdLst/>
                            <a:ahLst/>
                            <a:cxnLst/>
                            <a:rect l="0" t="0" r="0" b="0"/>
                            <a:pathLst>
                              <a:path w="4032904">
                                <a:moveTo>
                                  <a:pt x="0" y="0"/>
                                </a:moveTo>
                                <a:lnTo>
                                  <a:pt x="4032904" y="0"/>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54" name="Shape 19454"/>
                        <wps:cNvSpPr/>
                        <wps:spPr>
                          <a:xfrm>
                            <a:off x="604936" y="1576480"/>
                            <a:ext cx="4032904" cy="0"/>
                          </a:xfrm>
                          <a:custGeom>
                            <a:avLst/>
                            <a:gdLst/>
                            <a:ahLst/>
                            <a:cxnLst/>
                            <a:rect l="0" t="0" r="0" b="0"/>
                            <a:pathLst>
                              <a:path w="4032904">
                                <a:moveTo>
                                  <a:pt x="0" y="0"/>
                                </a:moveTo>
                                <a:lnTo>
                                  <a:pt x="4032904" y="0"/>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55" name="Shape 19455"/>
                        <wps:cNvSpPr/>
                        <wps:spPr>
                          <a:xfrm>
                            <a:off x="604936" y="1414018"/>
                            <a:ext cx="4032904" cy="0"/>
                          </a:xfrm>
                          <a:custGeom>
                            <a:avLst/>
                            <a:gdLst/>
                            <a:ahLst/>
                            <a:cxnLst/>
                            <a:rect l="0" t="0" r="0" b="0"/>
                            <a:pathLst>
                              <a:path w="4032904">
                                <a:moveTo>
                                  <a:pt x="0" y="0"/>
                                </a:moveTo>
                                <a:lnTo>
                                  <a:pt x="4032904" y="0"/>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56" name="Shape 19456"/>
                        <wps:cNvSpPr/>
                        <wps:spPr>
                          <a:xfrm>
                            <a:off x="604936" y="1257574"/>
                            <a:ext cx="4032904" cy="0"/>
                          </a:xfrm>
                          <a:custGeom>
                            <a:avLst/>
                            <a:gdLst/>
                            <a:ahLst/>
                            <a:cxnLst/>
                            <a:rect l="0" t="0" r="0" b="0"/>
                            <a:pathLst>
                              <a:path w="4032904">
                                <a:moveTo>
                                  <a:pt x="0" y="0"/>
                                </a:moveTo>
                                <a:lnTo>
                                  <a:pt x="4032904" y="0"/>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57" name="Shape 19457"/>
                        <wps:cNvSpPr/>
                        <wps:spPr>
                          <a:xfrm>
                            <a:off x="604936" y="1095112"/>
                            <a:ext cx="4032904" cy="0"/>
                          </a:xfrm>
                          <a:custGeom>
                            <a:avLst/>
                            <a:gdLst/>
                            <a:ahLst/>
                            <a:cxnLst/>
                            <a:rect l="0" t="0" r="0" b="0"/>
                            <a:pathLst>
                              <a:path w="4032904">
                                <a:moveTo>
                                  <a:pt x="0" y="0"/>
                                </a:moveTo>
                                <a:lnTo>
                                  <a:pt x="4032904" y="0"/>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58" name="Shape 19458"/>
                        <wps:cNvSpPr/>
                        <wps:spPr>
                          <a:xfrm>
                            <a:off x="604936" y="938667"/>
                            <a:ext cx="4032904" cy="0"/>
                          </a:xfrm>
                          <a:custGeom>
                            <a:avLst/>
                            <a:gdLst/>
                            <a:ahLst/>
                            <a:cxnLst/>
                            <a:rect l="0" t="0" r="0" b="0"/>
                            <a:pathLst>
                              <a:path w="4032904">
                                <a:moveTo>
                                  <a:pt x="0" y="0"/>
                                </a:moveTo>
                                <a:lnTo>
                                  <a:pt x="4032904" y="0"/>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59" name="Shape 19459"/>
                        <wps:cNvSpPr/>
                        <wps:spPr>
                          <a:xfrm>
                            <a:off x="604936" y="776206"/>
                            <a:ext cx="4032904" cy="0"/>
                          </a:xfrm>
                          <a:custGeom>
                            <a:avLst/>
                            <a:gdLst/>
                            <a:ahLst/>
                            <a:cxnLst/>
                            <a:rect l="0" t="0" r="0" b="0"/>
                            <a:pathLst>
                              <a:path w="4032904">
                                <a:moveTo>
                                  <a:pt x="0" y="0"/>
                                </a:moveTo>
                                <a:lnTo>
                                  <a:pt x="4032904" y="0"/>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60" name="Shape 19460"/>
                        <wps:cNvSpPr/>
                        <wps:spPr>
                          <a:xfrm>
                            <a:off x="604936" y="619761"/>
                            <a:ext cx="4032904" cy="0"/>
                          </a:xfrm>
                          <a:custGeom>
                            <a:avLst/>
                            <a:gdLst/>
                            <a:ahLst/>
                            <a:cxnLst/>
                            <a:rect l="0" t="0" r="0" b="0"/>
                            <a:pathLst>
                              <a:path w="4032904">
                                <a:moveTo>
                                  <a:pt x="0" y="0"/>
                                </a:moveTo>
                                <a:lnTo>
                                  <a:pt x="4032904" y="0"/>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61" name="Shape 19461"/>
                        <wps:cNvSpPr/>
                        <wps:spPr>
                          <a:xfrm>
                            <a:off x="1049946" y="619761"/>
                            <a:ext cx="0" cy="1594532"/>
                          </a:xfrm>
                          <a:custGeom>
                            <a:avLst/>
                            <a:gdLst/>
                            <a:ahLst/>
                            <a:cxnLst/>
                            <a:rect l="0" t="0" r="0" b="0"/>
                            <a:pathLst>
                              <a:path h="1594532">
                                <a:moveTo>
                                  <a:pt x="0" y="0"/>
                                </a:moveTo>
                                <a:lnTo>
                                  <a:pt x="0" y="1594532"/>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62" name="Shape 19462"/>
                        <wps:cNvSpPr/>
                        <wps:spPr>
                          <a:xfrm>
                            <a:off x="1501909" y="619761"/>
                            <a:ext cx="0" cy="1594532"/>
                          </a:xfrm>
                          <a:custGeom>
                            <a:avLst/>
                            <a:gdLst/>
                            <a:ahLst/>
                            <a:cxnLst/>
                            <a:rect l="0" t="0" r="0" b="0"/>
                            <a:pathLst>
                              <a:path h="1594532">
                                <a:moveTo>
                                  <a:pt x="0" y="0"/>
                                </a:moveTo>
                                <a:lnTo>
                                  <a:pt x="0" y="1594532"/>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63" name="Shape 19463"/>
                        <wps:cNvSpPr/>
                        <wps:spPr>
                          <a:xfrm>
                            <a:off x="1946919" y="619761"/>
                            <a:ext cx="0" cy="1594532"/>
                          </a:xfrm>
                          <a:custGeom>
                            <a:avLst/>
                            <a:gdLst/>
                            <a:ahLst/>
                            <a:cxnLst/>
                            <a:rect l="0" t="0" r="0" b="0"/>
                            <a:pathLst>
                              <a:path h="1594532">
                                <a:moveTo>
                                  <a:pt x="0" y="0"/>
                                </a:moveTo>
                                <a:lnTo>
                                  <a:pt x="0" y="1594532"/>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64" name="Shape 19464"/>
                        <wps:cNvSpPr/>
                        <wps:spPr>
                          <a:xfrm>
                            <a:off x="2398882" y="619761"/>
                            <a:ext cx="0" cy="1594532"/>
                          </a:xfrm>
                          <a:custGeom>
                            <a:avLst/>
                            <a:gdLst/>
                            <a:ahLst/>
                            <a:cxnLst/>
                            <a:rect l="0" t="0" r="0" b="0"/>
                            <a:pathLst>
                              <a:path h="1594532">
                                <a:moveTo>
                                  <a:pt x="0" y="0"/>
                                </a:moveTo>
                                <a:lnTo>
                                  <a:pt x="0" y="1594532"/>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65" name="Shape 19465"/>
                        <wps:cNvSpPr/>
                        <wps:spPr>
                          <a:xfrm>
                            <a:off x="2843892" y="619761"/>
                            <a:ext cx="0" cy="1594532"/>
                          </a:xfrm>
                          <a:custGeom>
                            <a:avLst/>
                            <a:gdLst/>
                            <a:ahLst/>
                            <a:cxnLst/>
                            <a:rect l="0" t="0" r="0" b="0"/>
                            <a:pathLst>
                              <a:path h="1594532">
                                <a:moveTo>
                                  <a:pt x="0" y="0"/>
                                </a:moveTo>
                                <a:lnTo>
                                  <a:pt x="0" y="1594532"/>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66" name="Shape 19466"/>
                        <wps:cNvSpPr/>
                        <wps:spPr>
                          <a:xfrm>
                            <a:off x="3295856" y="619761"/>
                            <a:ext cx="0" cy="1594532"/>
                          </a:xfrm>
                          <a:custGeom>
                            <a:avLst/>
                            <a:gdLst/>
                            <a:ahLst/>
                            <a:cxnLst/>
                            <a:rect l="0" t="0" r="0" b="0"/>
                            <a:pathLst>
                              <a:path h="1594532">
                                <a:moveTo>
                                  <a:pt x="0" y="0"/>
                                </a:moveTo>
                                <a:lnTo>
                                  <a:pt x="0" y="1594532"/>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67" name="Shape 19467"/>
                        <wps:cNvSpPr/>
                        <wps:spPr>
                          <a:xfrm>
                            <a:off x="3740866" y="619761"/>
                            <a:ext cx="0" cy="1594532"/>
                          </a:xfrm>
                          <a:custGeom>
                            <a:avLst/>
                            <a:gdLst/>
                            <a:ahLst/>
                            <a:cxnLst/>
                            <a:rect l="0" t="0" r="0" b="0"/>
                            <a:pathLst>
                              <a:path h="1594532">
                                <a:moveTo>
                                  <a:pt x="0" y="0"/>
                                </a:moveTo>
                                <a:lnTo>
                                  <a:pt x="0" y="1594532"/>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68" name="Shape 19468"/>
                        <wps:cNvSpPr/>
                        <wps:spPr>
                          <a:xfrm>
                            <a:off x="4192829" y="619761"/>
                            <a:ext cx="0" cy="1594532"/>
                          </a:xfrm>
                          <a:custGeom>
                            <a:avLst/>
                            <a:gdLst/>
                            <a:ahLst/>
                            <a:cxnLst/>
                            <a:rect l="0" t="0" r="0" b="0"/>
                            <a:pathLst>
                              <a:path h="1594532">
                                <a:moveTo>
                                  <a:pt x="0" y="0"/>
                                </a:moveTo>
                                <a:lnTo>
                                  <a:pt x="0" y="1594532"/>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69" name="Shape 19469"/>
                        <wps:cNvSpPr/>
                        <wps:spPr>
                          <a:xfrm>
                            <a:off x="4637840" y="619761"/>
                            <a:ext cx="0" cy="1594532"/>
                          </a:xfrm>
                          <a:custGeom>
                            <a:avLst/>
                            <a:gdLst/>
                            <a:ahLst/>
                            <a:cxnLst/>
                            <a:rect l="0" t="0" r="0" b="0"/>
                            <a:pathLst>
                              <a:path h="1594532">
                                <a:moveTo>
                                  <a:pt x="0" y="0"/>
                                </a:moveTo>
                                <a:lnTo>
                                  <a:pt x="0" y="1594532"/>
                                </a:lnTo>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470" name="Shape 19470"/>
                        <wps:cNvSpPr/>
                        <wps:spPr>
                          <a:xfrm>
                            <a:off x="604936" y="619761"/>
                            <a:ext cx="1" cy="1594532"/>
                          </a:xfrm>
                          <a:custGeom>
                            <a:avLst/>
                            <a:gdLst/>
                            <a:ahLst/>
                            <a:cxnLst/>
                            <a:rect l="0" t="0" r="0" b="0"/>
                            <a:pathLst>
                              <a:path w="1" h="1594532">
                                <a:moveTo>
                                  <a:pt x="0" y="1594532"/>
                                </a:moveTo>
                                <a:lnTo>
                                  <a:pt x="1" y="0"/>
                                </a:lnTo>
                              </a:path>
                            </a:pathLst>
                          </a:custGeom>
                          <a:ln w="6017" cap="flat">
                            <a:round/>
                          </a:ln>
                        </wps:spPr>
                        <wps:style>
                          <a:lnRef idx="1">
                            <a:srgbClr val="BFBFBF"/>
                          </a:lnRef>
                          <a:fillRef idx="0">
                            <a:srgbClr val="000000">
                              <a:alpha val="0"/>
                            </a:srgbClr>
                          </a:fillRef>
                          <a:effectRef idx="0">
                            <a:scrgbClr r="0" g="0" b="0"/>
                          </a:effectRef>
                          <a:fontRef idx="none"/>
                        </wps:style>
                        <wps:bodyPr/>
                      </wps:wsp>
                      <wps:wsp>
                        <wps:cNvPr id="19471" name="Shape 19471"/>
                        <wps:cNvSpPr/>
                        <wps:spPr>
                          <a:xfrm>
                            <a:off x="604936" y="1732924"/>
                            <a:ext cx="4032904" cy="0"/>
                          </a:xfrm>
                          <a:custGeom>
                            <a:avLst/>
                            <a:gdLst/>
                            <a:ahLst/>
                            <a:cxnLst/>
                            <a:rect l="0" t="0" r="0" b="0"/>
                            <a:pathLst>
                              <a:path w="4032904">
                                <a:moveTo>
                                  <a:pt x="0" y="0"/>
                                </a:moveTo>
                                <a:lnTo>
                                  <a:pt x="4032904" y="0"/>
                                </a:lnTo>
                              </a:path>
                            </a:pathLst>
                          </a:custGeom>
                          <a:ln w="6017" cap="flat">
                            <a:round/>
                          </a:ln>
                        </wps:spPr>
                        <wps:style>
                          <a:lnRef idx="1">
                            <a:srgbClr val="BFBFBF"/>
                          </a:lnRef>
                          <a:fillRef idx="0">
                            <a:srgbClr val="000000">
                              <a:alpha val="0"/>
                            </a:srgbClr>
                          </a:fillRef>
                          <a:effectRef idx="0">
                            <a:scrgbClr r="0" g="0" b="0"/>
                          </a:effectRef>
                          <a:fontRef idx="none"/>
                        </wps:style>
                        <wps:bodyPr/>
                      </wps:wsp>
                      <wps:wsp>
                        <wps:cNvPr id="19473" name="Shape 19473"/>
                        <wps:cNvSpPr/>
                        <wps:spPr>
                          <a:xfrm>
                            <a:off x="823963" y="791249"/>
                            <a:ext cx="3594847" cy="1119181"/>
                          </a:xfrm>
                          <a:custGeom>
                            <a:avLst/>
                            <a:gdLst/>
                            <a:ahLst/>
                            <a:cxnLst/>
                            <a:rect l="0" t="0" r="0" b="0"/>
                            <a:pathLst>
                              <a:path w="3594847" h="1119181">
                                <a:moveTo>
                                  <a:pt x="0" y="998839"/>
                                </a:moveTo>
                                <a:lnTo>
                                  <a:pt x="451963" y="1034942"/>
                                </a:lnTo>
                                <a:lnTo>
                                  <a:pt x="896973" y="1065027"/>
                                </a:lnTo>
                                <a:lnTo>
                                  <a:pt x="1348937" y="1101130"/>
                                </a:lnTo>
                                <a:lnTo>
                                  <a:pt x="1793947" y="1119181"/>
                                </a:lnTo>
                                <a:lnTo>
                                  <a:pt x="2245910" y="1089096"/>
                                </a:lnTo>
                                <a:lnTo>
                                  <a:pt x="2697873" y="1022907"/>
                                </a:lnTo>
                                <a:lnTo>
                                  <a:pt x="3142883" y="836377"/>
                                </a:lnTo>
                                <a:lnTo>
                                  <a:pt x="3594847" y="0"/>
                                </a:lnTo>
                              </a:path>
                            </a:pathLst>
                          </a:custGeom>
                          <a:ln w="12034" cap="rnd">
                            <a:round/>
                          </a:ln>
                        </wps:spPr>
                        <wps:style>
                          <a:lnRef idx="1">
                            <a:srgbClr val="5E5E5E"/>
                          </a:lnRef>
                          <a:fillRef idx="0">
                            <a:srgbClr val="000000">
                              <a:alpha val="0"/>
                            </a:srgbClr>
                          </a:fillRef>
                          <a:effectRef idx="0">
                            <a:scrgbClr r="0" g="0" b="0"/>
                          </a:effectRef>
                          <a:fontRef idx="none"/>
                        </wps:style>
                        <wps:bodyPr/>
                      </wps:wsp>
                      <wps:wsp>
                        <wps:cNvPr id="19475" name="Shape 19475"/>
                        <wps:cNvSpPr/>
                        <wps:spPr>
                          <a:xfrm>
                            <a:off x="823963" y="1296684"/>
                            <a:ext cx="3594847" cy="649847"/>
                          </a:xfrm>
                          <a:custGeom>
                            <a:avLst/>
                            <a:gdLst/>
                            <a:ahLst/>
                            <a:cxnLst/>
                            <a:rect l="0" t="0" r="0" b="0"/>
                            <a:pathLst>
                              <a:path w="3594847" h="649847">
                                <a:moveTo>
                                  <a:pt x="0" y="505437"/>
                                </a:moveTo>
                                <a:lnTo>
                                  <a:pt x="451963" y="541539"/>
                                </a:lnTo>
                                <a:lnTo>
                                  <a:pt x="896973" y="583659"/>
                                </a:lnTo>
                                <a:lnTo>
                                  <a:pt x="1348937" y="619761"/>
                                </a:lnTo>
                                <a:lnTo>
                                  <a:pt x="1793947" y="649847"/>
                                </a:lnTo>
                                <a:lnTo>
                                  <a:pt x="2245910" y="649847"/>
                                </a:lnTo>
                                <a:lnTo>
                                  <a:pt x="2697873" y="607727"/>
                                </a:lnTo>
                                <a:lnTo>
                                  <a:pt x="3142883" y="487385"/>
                                </a:lnTo>
                                <a:lnTo>
                                  <a:pt x="3594847" y="0"/>
                                </a:lnTo>
                              </a:path>
                            </a:pathLst>
                          </a:custGeom>
                          <a:ln w="12034" cap="rnd">
                            <a:round/>
                          </a:ln>
                        </wps:spPr>
                        <wps:style>
                          <a:lnRef idx="1">
                            <a:srgbClr val="B3B3B3"/>
                          </a:lnRef>
                          <a:fillRef idx="0">
                            <a:srgbClr val="000000">
                              <a:alpha val="0"/>
                            </a:srgbClr>
                          </a:fillRef>
                          <a:effectRef idx="0">
                            <a:scrgbClr r="0" g="0" b="0"/>
                          </a:effectRef>
                          <a:fontRef idx="none"/>
                        </wps:style>
                        <wps:bodyPr/>
                      </wps:wsp>
                      <wps:wsp>
                        <wps:cNvPr id="19477" name="Shape 19477"/>
                        <wps:cNvSpPr/>
                        <wps:spPr>
                          <a:xfrm>
                            <a:off x="823963" y="1639659"/>
                            <a:ext cx="3594847" cy="367043"/>
                          </a:xfrm>
                          <a:custGeom>
                            <a:avLst/>
                            <a:gdLst/>
                            <a:ahLst/>
                            <a:cxnLst/>
                            <a:rect l="0" t="0" r="0" b="0"/>
                            <a:pathLst>
                              <a:path w="3594847" h="367043">
                                <a:moveTo>
                                  <a:pt x="0" y="102291"/>
                                </a:moveTo>
                                <a:lnTo>
                                  <a:pt x="451963" y="210598"/>
                                </a:lnTo>
                                <a:lnTo>
                                  <a:pt x="896973" y="258735"/>
                                </a:lnTo>
                                <a:lnTo>
                                  <a:pt x="1348937" y="306872"/>
                                </a:lnTo>
                                <a:lnTo>
                                  <a:pt x="1793947" y="348992"/>
                                </a:lnTo>
                                <a:lnTo>
                                  <a:pt x="2245910" y="367043"/>
                                </a:lnTo>
                                <a:lnTo>
                                  <a:pt x="2697873" y="348992"/>
                                </a:lnTo>
                                <a:lnTo>
                                  <a:pt x="3142883" y="276787"/>
                                </a:lnTo>
                                <a:lnTo>
                                  <a:pt x="3594847" y="0"/>
                                </a:lnTo>
                              </a:path>
                            </a:pathLst>
                          </a:custGeom>
                          <a:ln w="12034" cap="rnd">
                            <a:round/>
                          </a:ln>
                        </wps:spPr>
                        <wps:style>
                          <a:lnRef idx="1">
                            <a:srgbClr val="898989"/>
                          </a:lnRef>
                          <a:fillRef idx="0">
                            <a:srgbClr val="000000">
                              <a:alpha val="0"/>
                            </a:srgbClr>
                          </a:fillRef>
                          <a:effectRef idx="0">
                            <a:scrgbClr r="0" g="0" b="0"/>
                          </a:effectRef>
                          <a:fontRef idx="none"/>
                        </wps:style>
                        <wps:bodyPr/>
                      </wps:wsp>
                      <wps:wsp>
                        <wps:cNvPr id="19479" name="Shape 19479"/>
                        <wps:cNvSpPr/>
                        <wps:spPr>
                          <a:xfrm>
                            <a:off x="823963" y="1820173"/>
                            <a:ext cx="3594847" cy="240684"/>
                          </a:xfrm>
                          <a:custGeom>
                            <a:avLst/>
                            <a:gdLst/>
                            <a:ahLst/>
                            <a:cxnLst/>
                            <a:rect l="0" t="0" r="0" b="0"/>
                            <a:pathLst>
                              <a:path w="3594847" h="240684">
                                <a:moveTo>
                                  <a:pt x="0" y="0"/>
                                </a:moveTo>
                                <a:lnTo>
                                  <a:pt x="451963" y="48137"/>
                                </a:lnTo>
                                <a:lnTo>
                                  <a:pt x="896973" y="96274"/>
                                </a:lnTo>
                                <a:lnTo>
                                  <a:pt x="1348937" y="150428"/>
                                </a:lnTo>
                                <a:lnTo>
                                  <a:pt x="1793947" y="204581"/>
                                </a:lnTo>
                                <a:lnTo>
                                  <a:pt x="2245910" y="240684"/>
                                </a:lnTo>
                                <a:lnTo>
                                  <a:pt x="2697873" y="240684"/>
                                </a:lnTo>
                                <a:lnTo>
                                  <a:pt x="3142883" y="216615"/>
                                </a:lnTo>
                                <a:lnTo>
                                  <a:pt x="3594847" y="72205"/>
                                </a:lnTo>
                              </a:path>
                            </a:pathLst>
                          </a:custGeom>
                          <a:ln w="12034" cap="rnd">
                            <a:round/>
                          </a:ln>
                        </wps:spPr>
                        <wps:style>
                          <a:lnRef idx="1">
                            <a:srgbClr val="212121"/>
                          </a:lnRef>
                          <a:fillRef idx="0">
                            <a:srgbClr val="000000">
                              <a:alpha val="0"/>
                            </a:srgbClr>
                          </a:fillRef>
                          <a:effectRef idx="0">
                            <a:scrgbClr r="0" g="0" b="0"/>
                          </a:effectRef>
                          <a:fontRef idx="none"/>
                        </wps:style>
                        <wps:bodyPr/>
                      </wps:wsp>
                      <wps:wsp>
                        <wps:cNvPr id="19481" name="Shape 19481"/>
                        <wps:cNvSpPr/>
                        <wps:spPr>
                          <a:xfrm>
                            <a:off x="823963" y="1832206"/>
                            <a:ext cx="3594847" cy="300855"/>
                          </a:xfrm>
                          <a:custGeom>
                            <a:avLst/>
                            <a:gdLst/>
                            <a:ahLst/>
                            <a:cxnLst/>
                            <a:rect l="0" t="0" r="0" b="0"/>
                            <a:pathLst>
                              <a:path w="3594847" h="300855">
                                <a:moveTo>
                                  <a:pt x="0" y="0"/>
                                </a:moveTo>
                                <a:lnTo>
                                  <a:pt x="451963" y="48137"/>
                                </a:lnTo>
                                <a:lnTo>
                                  <a:pt x="896973" y="102291"/>
                                </a:lnTo>
                                <a:lnTo>
                                  <a:pt x="1348937" y="162462"/>
                                </a:lnTo>
                                <a:lnTo>
                                  <a:pt x="1793947" y="222633"/>
                                </a:lnTo>
                                <a:lnTo>
                                  <a:pt x="2245910" y="276787"/>
                                </a:lnTo>
                                <a:lnTo>
                                  <a:pt x="2697873" y="294838"/>
                                </a:lnTo>
                                <a:lnTo>
                                  <a:pt x="3142883" y="300855"/>
                                </a:lnTo>
                                <a:lnTo>
                                  <a:pt x="3594847" y="258735"/>
                                </a:lnTo>
                              </a:path>
                            </a:pathLst>
                          </a:custGeom>
                          <a:ln w="12034" cap="rnd">
                            <a:round/>
                          </a:ln>
                        </wps:spPr>
                        <wps:style>
                          <a:lnRef idx="1">
                            <a:srgbClr val="DADADA"/>
                          </a:lnRef>
                          <a:fillRef idx="0">
                            <a:srgbClr val="000000">
                              <a:alpha val="0"/>
                            </a:srgbClr>
                          </a:fillRef>
                          <a:effectRef idx="0">
                            <a:scrgbClr r="0" g="0" b="0"/>
                          </a:effectRef>
                          <a:fontRef idx="none"/>
                        </wps:style>
                        <wps:bodyPr/>
                      </wps:wsp>
                      <wps:wsp>
                        <wps:cNvPr id="19483" name="Rectangle 19483"/>
                        <wps:cNvSpPr/>
                        <wps:spPr>
                          <a:xfrm>
                            <a:off x="322242" y="2180288"/>
                            <a:ext cx="27716" cy="79761"/>
                          </a:xfrm>
                          <a:prstGeom prst="rect">
                            <a:avLst/>
                          </a:prstGeom>
                          <a:ln>
                            <a:noFill/>
                          </a:ln>
                        </wps:spPr>
                        <wps:txbx>
                          <w:txbxContent>
                            <w:p w:rsidR="00EE13F6" w:rsidRDefault="002E5BC4">
                              <w:r>
                                <w:rPr>
                                  <w:rFonts w:ascii="Times New Roman" w:eastAsia="Times New Roman" w:hAnsi="Times New Roman" w:cs="Times New Roman"/>
                                  <w:color w:val="585858"/>
                                  <w:sz w:val="9"/>
                                </w:rPr>
                                <w:t>-</w:t>
                              </w:r>
                            </w:p>
                          </w:txbxContent>
                        </wps:txbx>
                        <wps:bodyPr horzOverflow="overflow" vert="horz" lIns="0" tIns="0" rIns="0" bIns="0" rtlCol="0">
                          <a:noAutofit/>
                        </wps:bodyPr>
                      </wps:wsp>
                      <wps:wsp>
                        <wps:cNvPr id="19484" name="Rectangle 19484"/>
                        <wps:cNvSpPr/>
                        <wps:spPr>
                          <a:xfrm>
                            <a:off x="343102" y="2180288"/>
                            <a:ext cx="41615" cy="79761"/>
                          </a:xfrm>
                          <a:prstGeom prst="rect">
                            <a:avLst/>
                          </a:prstGeom>
                          <a:ln>
                            <a:noFill/>
                          </a:ln>
                        </wps:spPr>
                        <wps:txbx>
                          <w:txbxContent>
                            <w:p w:rsidR="00EE13F6" w:rsidRDefault="002E5BC4">
                              <w:r>
                                <w:rPr>
                                  <w:rFonts w:ascii="Times New Roman" w:eastAsia="Times New Roman" w:hAnsi="Times New Roman" w:cs="Times New Roman"/>
                                  <w:color w:val="585858"/>
                                  <w:sz w:val="9"/>
                                </w:rPr>
                                <w:t>6</w:t>
                              </w:r>
                            </w:p>
                          </w:txbxContent>
                        </wps:txbx>
                        <wps:bodyPr horzOverflow="overflow" vert="horz" lIns="0" tIns="0" rIns="0" bIns="0" rtlCol="0">
                          <a:noAutofit/>
                        </wps:bodyPr>
                      </wps:wsp>
                      <wps:wsp>
                        <wps:cNvPr id="19485" name="Rectangle 19485"/>
                        <wps:cNvSpPr/>
                        <wps:spPr>
                          <a:xfrm>
                            <a:off x="377868" y="2180288"/>
                            <a:ext cx="20808" cy="79761"/>
                          </a:xfrm>
                          <a:prstGeom prst="rect">
                            <a:avLst/>
                          </a:prstGeom>
                          <a:ln>
                            <a:noFill/>
                          </a:ln>
                        </wps:spPr>
                        <wps:txbx>
                          <w:txbxContent>
                            <w:p w:rsidR="00EE13F6" w:rsidRDefault="002E5BC4">
                              <w:r>
                                <w:rPr>
                                  <w:rFonts w:ascii="Times New Roman" w:eastAsia="Times New Roman" w:hAnsi="Times New Roman" w:cs="Times New Roman"/>
                                  <w:color w:val="585858"/>
                                  <w:sz w:val="9"/>
                                </w:rPr>
                                <w:t>,</w:t>
                              </w:r>
                            </w:p>
                          </w:txbxContent>
                        </wps:txbx>
                        <wps:bodyPr horzOverflow="overflow" vert="horz" lIns="0" tIns="0" rIns="0" bIns="0" rtlCol="0">
                          <a:noAutofit/>
                        </wps:bodyPr>
                      </wps:wsp>
                      <wps:wsp>
                        <wps:cNvPr id="19486" name="Rectangle 19486"/>
                        <wps:cNvSpPr/>
                        <wps:spPr>
                          <a:xfrm>
                            <a:off x="391775" y="2180288"/>
                            <a:ext cx="41615" cy="79761"/>
                          </a:xfrm>
                          <a:prstGeom prst="rect">
                            <a:avLst/>
                          </a:prstGeom>
                          <a:ln>
                            <a:noFill/>
                          </a:ln>
                        </wps:spPr>
                        <wps:txbx>
                          <w:txbxContent>
                            <w:p w:rsidR="00EE13F6" w:rsidRDefault="002E5BC4">
                              <w:r>
                                <w:rPr>
                                  <w:rFonts w:ascii="Times New Roman" w:eastAsia="Times New Roman" w:hAnsi="Times New Roman" w:cs="Times New Roman"/>
                                  <w:color w:val="585858"/>
                                  <w:sz w:val="9"/>
                                </w:rPr>
                                <w:t>0</w:t>
                              </w:r>
                            </w:p>
                          </w:txbxContent>
                        </wps:txbx>
                        <wps:bodyPr horzOverflow="overflow" vert="horz" lIns="0" tIns="0" rIns="0" bIns="0" rtlCol="0">
                          <a:noAutofit/>
                        </wps:bodyPr>
                      </wps:wsp>
                      <wps:wsp>
                        <wps:cNvPr id="19487" name="Rectangle 19487"/>
                        <wps:cNvSpPr/>
                        <wps:spPr>
                          <a:xfrm>
                            <a:off x="426541" y="2180288"/>
                            <a:ext cx="41615" cy="79761"/>
                          </a:xfrm>
                          <a:prstGeom prst="rect">
                            <a:avLst/>
                          </a:prstGeom>
                          <a:ln>
                            <a:noFill/>
                          </a:ln>
                        </wps:spPr>
                        <wps:txbx>
                          <w:txbxContent>
                            <w:p w:rsidR="00EE13F6" w:rsidRDefault="002E5BC4">
                              <w:r>
                                <w:rPr>
                                  <w:rFonts w:ascii="Times New Roman" w:eastAsia="Times New Roman" w:hAnsi="Times New Roman" w:cs="Times New Roman"/>
                                  <w:color w:val="585858"/>
                                  <w:sz w:val="9"/>
                                </w:rPr>
                                <w:t>0</w:t>
                              </w:r>
                            </w:p>
                          </w:txbxContent>
                        </wps:txbx>
                        <wps:bodyPr horzOverflow="overflow" vert="horz" lIns="0" tIns="0" rIns="0" bIns="0" rtlCol="0">
                          <a:noAutofit/>
                        </wps:bodyPr>
                      </wps:wsp>
                      <wps:wsp>
                        <wps:cNvPr id="19488" name="Rectangle 19488"/>
                        <wps:cNvSpPr/>
                        <wps:spPr>
                          <a:xfrm>
                            <a:off x="461308" y="2180288"/>
                            <a:ext cx="41615" cy="79761"/>
                          </a:xfrm>
                          <a:prstGeom prst="rect">
                            <a:avLst/>
                          </a:prstGeom>
                          <a:ln>
                            <a:noFill/>
                          </a:ln>
                        </wps:spPr>
                        <wps:txbx>
                          <w:txbxContent>
                            <w:p w:rsidR="00EE13F6" w:rsidRDefault="002E5BC4">
                              <w:r>
                                <w:rPr>
                                  <w:rFonts w:ascii="Times New Roman" w:eastAsia="Times New Roman" w:hAnsi="Times New Roman" w:cs="Times New Roman"/>
                                  <w:color w:val="585858"/>
                                  <w:sz w:val="9"/>
                                </w:rPr>
                                <w:t>0</w:t>
                              </w:r>
                            </w:p>
                          </w:txbxContent>
                        </wps:txbx>
                        <wps:bodyPr horzOverflow="overflow" vert="horz" lIns="0" tIns="0" rIns="0" bIns="0" rtlCol="0">
                          <a:noAutofit/>
                        </wps:bodyPr>
                      </wps:wsp>
                      <wps:wsp>
                        <wps:cNvPr id="19489" name="Rectangle 19489"/>
                        <wps:cNvSpPr/>
                        <wps:spPr>
                          <a:xfrm>
                            <a:off x="496074" y="2180288"/>
                            <a:ext cx="69331" cy="79761"/>
                          </a:xfrm>
                          <a:prstGeom prst="rect">
                            <a:avLst/>
                          </a:prstGeom>
                          <a:ln>
                            <a:noFill/>
                          </a:ln>
                        </wps:spPr>
                        <wps:txbx>
                          <w:txbxContent>
                            <w:p w:rsidR="00EE13F6" w:rsidRDefault="002E5BC4">
                              <w:r>
                                <w:rPr>
                                  <w:rFonts w:ascii="Times New Roman" w:eastAsia="Times New Roman" w:hAnsi="Times New Roman" w:cs="Times New Roman"/>
                                  <w:color w:val="585858"/>
                                  <w:sz w:val="9"/>
                                </w:rPr>
                                <w:t>%</w:t>
                              </w:r>
                            </w:p>
                          </w:txbxContent>
                        </wps:txbx>
                        <wps:bodyPr horzOverflow="overflow" vert="horz" lIns="0" tIns="0" rIns="0" bIns="0" rtlCol="0">
                          <a:noAutofit/>
                        </wps:bodyPr>
                      </wps:wsp>
                      <wps:wsp>
                        <wps:cNvPr id="19490" name="Rectangle 19490"/>
                        <wps:cNvSpPr/>
                        <wps:spPr>
                          <a:xfrm>
                            <a:off x="322242" y="2020975"/>
                            <a:ext cx="27716" cy="79762"/>
                          </a:xfrm>
                          <a:prstGeom prst="rect">
                            <a:avLst/>
                          </a:prstGeom>
                          <a:ln>
                            <a:noFill/>
                          </a:ln>
                        </wps:spPr>
                        <wps:txbx>
                          <w:txbxContent>
                            <w:p w:rsidR="00EE13F6" w:rsidRDefault="002E5BC4">
                              <w:r>
                                <w:rPr>
                                  <w:rFonts w:ascii="Times New Roman" w:eastAsia="Times New Roman" w:hAnsi="Times New Roman" w:cs="Times New Roman"/>
                                  <w:color w:val="585858"/>
                                  <w:sz w:val="9"/>
                                </w:rPr>
                                <w:t>-</w:t>
                              </w:r>
                            </w:p>
                          </w:txbxContent>
                        </wps:txbx>
                        <wps:bodyPr horzOverflow="overflow" vert="horz" lIns="0" tIns="0" rIns="0" bIns="0" rtlCol="0">
                          <a:noAutofit/>
                        </wps:bodyPr>
                      </wps:wsp>
                      <wps:wsp>
                        <wps:cNvPr id="19491" name="Rectangle 19491"/>
                        <wps:cNvSpPr/>
                        <wps:spPr>
                          <a:xfrm>
                            <a:off x="343102" y="2020975"/>
                            <a:ext cx="41615" cy="79762"/>
                          </a:xfrm>
                          <a:prstGeom prst="rect">
                            <a:avLst/>
                          </a:prstGeom>
                          <a:ln>
                            <a:noFill/>
                          </a:ln>
                        </wps:spPr>
                        <wps:txbx>
                          <w:txbxContent>
                            <w:p w:rsidR="00EE13F6" w:rsidRDefault="002E5BC4">
                              <w:r>
                                <w:rPr>
                                  <w:rFonts w:ascii="Times New Roman" w:eastAsia="Times New Roman" w:hAnsi="Times New Roman" w:cs="Times New Roman"/>
                                  <w:color w:val="585858"/>
                                  <w:sz w:val="9"/>
                                </w:rPr>
                                <w:t>4</w:t>
                              </w:r>
                            </w:p>
                          </w:txbxContent>
                        </wps:txbx>
                        <wps:bodyPr horzOverflow="overflow" vert="horz" lIns="0" tIns="0" rIns="0" bIns="0" rtlCol="0">
                          <a:noAutofit/>
                        </wps:bodyPr>
                      </wps:wsp>
                      <wps:wsp>
                        <wps:cNvPr id="19492" name="Rectangle 19492"/>
                        <wps:cNvSpPr/>
                        <wps:spPr>
                          <a:xfrm>
                            <a:off x="377868" y="2020975"/>
                            <a:ext cx="20808" cy="79762"/>
                          </a:xfrm>
                          <a:prstGeom prst="rect">
                            <a:avLst/>
                          </a:prstGeom>
                          <a:ln>
                            <a:noFill/>
                          </a:ln>
                        </wps:spPr>
                        <wps:txbx>
                          <w:txbxContent>
                            <w:p w:rsidR="00EE13F6" w:rsidRDefault="002E5BC4">
                              <w:r>
                                <w:rPr>
                                  <w:rFonts w:ascii="Times New Roman" w:eastAsia="Times New Roman" w:hAnsi="Times New Roman" w:cs="Times New Roman"/>
                                  <w:color w:val="585858"/>
                                  <w:sz w:val="9"/>
                                </w:rPr>
                                <w:t>,</w:t>
                              </w:r>
                            </w:p>
                          </w:txbxContent>
                        </wps:txbx>
                        <wps:bodyPr horzOverflow="overflow" vert="horz" lIns="0" tIns="0" rIns="0" bIns="0" rtlCol="0">
                          <a:noAutofit/>
                        </wps:bodyPr>
                      </wps:wsp>
                      <wps:wsp>
                        <wps:cNvPr id="19493" name="Rectangle 19493"/>
                        <wps:cNvSpPr/>
                        <wps:spPr>
                          <a:xfrm>
                            <a:off x="391775" y="2020975"/>
                            <a:ext cx="41615" cy="79762"/>
                          </a:xfrm>
                          <a:prstGeom prst="rect">
                            <a:avLst/>
                          </a:prstGeom>
                          <a:ln>
                            <a:noFill/>
                          </a:ln>
                        </wps:spPr>
                        <wps:txbx>
                          <w:txbxContent>
                            <w:p w:rsidR="00EE13F6" w:rsidRDefault="002E5BC4">
                              <w:r>
                                <w:rPr>
                                  <w:rFonts w:ascii="Times New Roman" w:eastAsia="Times New Roman" w:hAnsi="Times New Roman" w:cs="Times New Roman"/>
                                  <w:color w:val="585858"/>
                                  <w:sz w:val="9"/>
                                </w:rPr>
                                <w:t>0</w:t>
                              </w:r>
                            </w:p>
                          </w:txbxContent>
                        </wps:txbx>
                        <wps:bodyPr horzOverflow="overflow" vert="horz" lIns="0" tIns="0" rIns="0" bIns="0" rtlCol="0">
                          <a:noAutofit/>
                        </wps:bodyPr>
                      </wps:wsp>
                      <wps:wsp>
                        <wps:cNvPr id="19494" name="Rectangle 19494"/>
                        <wps:cNvSpPr/>
                        <wps:spPr>
                          <a:xfrm>
                            <a:off x="426541" y="2020975"/>
                            <a:ext cx="41615" cy="79762"/>
                          </a:xfrm>
                          <a:prstGeom prst="rect">
                            <a:avLst/>
                          </a:prstGeom>
                          <a:ln>
                            <a:noFill/>
                          </a:ln>
                        </wps:spPr>
                        <wps:txbx>
                          <w:txbxContent>
                            <w:p w:rsidR="00EE13F6" w:rsidRDefault="002E5BC4">
                              <w:r>
                                <w:rPr>
                                  <w:rFonts w:ascii="Times New Roman" w:eastAsia="Times New Roman" w:hAnsi="Times New Roman" w:cs="Times New Roman"/>
                                  <w:color w:val="585858"/>
                                  <w:sz w:val="9"/>
                                </w:rPr>
                                <w:t>0</w:t>
                              </w:r>
                            </w:p>
                          </w:txbxContent>
                        </wps:txbx>
                        <wps:bodyPr horzOverflow="overflow" vert="horz" lIns="0" tIns="0" rIns="0" bIns="0" rtlCol="0">
                          <a:noAutofit/>
                        </wps:bodyPr>
                      </wps:wsp>
                      <wps:wsp>
                        <wps:cNvPr id="19495" name="Rectangle 19495"/>
                        <wps:cNvSpPr/>
                        <wps:spPr>
                          <a:xfrm>
                            <a:off x="461308" y="2020975"/>
                            <a:ext cx="41615" cy="79762"/>
                          </a:xfrm>
                          <a:prstGeom prst="rect">
                            <a:avLst/>
                          </a:prstGeom>
                          <a:ln>
                            <a:noFill/>
                          </a:ln>
                        </wps:spPr>
                        <wps:txbx>
                          <w:txbxContent>
                            <w:p w:rsidR="00EE13F6" w:rsidRDefault="002E5BC4">
                              <w:r>
                                <w:rPr>
                                  <w:rFonts w:ascii="Times New Roman" w:eastAsia="Times New Roman" w:hAnsi="Times New Roman" w:cs="Times New Roman"/>
                                  <w:color w:val="585858"/>
                                  <w:sz w:val="9"/>
                                </w:rPr>
                                <w:t>0</w:t>
                              </w:r>
                            </w:p>
                          </w:txbxContent>
                        </wps:txbx>
                        <wps:bodyPr horzOverflow="overflow" vert="horz" lIns="0" tIns="0" rIns="0" bIns="0" rtlCol="0">
                          <a:noAutofit/>
                        </wps:bodyPr>
                      </wps:wsp>
                      <wps:wsp>
                        <wps:cNvPr id="19496" name="Rectangle 19496"/>
                        <wps:cNvSpPr/>
                        <wps:spPr>
                          <a:xfrm>
                            <a:off x="496074" y="2020975"/>
                            <a:ext cx="69331" cy="79762"/>
                          </a:xfrm>
                          <a:prstGeom prst="rect">
                            <a:avLst/>
                          </a:prstGeom>
                          <a:ln>
                            <a:noFill/>
                          </a:ln>
                        </wps:spPr>
                        <wps:txbx>
                          <w:txbxContent>
                            <w:p w:rsidR="00EE13F6" w:rsidRDefault="002E5BC4">
                              <w:r>
                                <w:rPr>
                                  <w:rFonts w:ascii="Times New Roman" w:eastAsia="Times New Roman" w:hAnsi="Times New Roman" w:cs="Times New Roman"/>
                                  <w:color w:val="585858"/>
                                  <w:sz w:val="9"/>
                                </w:rPr>
                                <w:t>%</w:t>
                              </w:r>
                            </w:p>
                          </w:txbxContent>
                        </wps:txbx>
                        <wps:bodyPr horzOverflow="overflow" vert="horz" lIns="0" tIns="0" rIns="0" bIns="0" rtlCol="0">
                          <a:noAutofit/>
                        </wps:bodyPr>
                      </wps:wsp>
                      <wps:wsp>
                        <wps:cNvPr id="19497" name="Rectangle 19497"/>
                        <wps:cNvSpPr/>
                        <wps:spPr>
                          <a:xfrm>
                            <a:off x="322242" y="1861664"/>
                            <a:ext cx="27716" cy="79762"/>
                          </a:xfrm>
                          <a:prstGeom prst="rect">
                            <a:avLst/>
                          </a:prstGeom>
                          <a:ln>
                            <a:noFill/>
                          </a:ln>
                        </wps:spPr>
                        <wps:txbx>
                          <w:txbxContent>
                            <w:p w:rsidR="00EE13F6" w:rsidRDefault="002E5BC4">
                              <w:r>
                                <w:rPr>
                                  <w:rFonts w:ascii="Times New Roman" w:eastAsia="Times New Roman" w:hAnsi="Times New Roman" w:cs="Times New Roman"/>
                                  <w:color w:val="585858"/>
                                  <w:sz w:val="9"/>
                                </w:rPr>
                                <w:t>-</w:t>
                              </w:r>
                            </w:p>
                          </w:txbxContent>
                        </wps:txbx>
                        <wps:bodyPr horzOverflow="overflow" vert="horz" lIns="0" tIns="0" rIns="0" bIns="0" rtlCol="0">
                          <a:noAutofit/>
                        </wps:bodyPr>
                      </wps:wsp>
                      <wps:wsp>
                        <wps:cNvPr id="19498" name="Rectangle 19498"/>
                        <wps:cNvSpPr/>
                        <wps:spPr>
                          <a:xfrm>
                            <a:off x="343102" y="1861664"/>
                            <a:ext cx="41615" cy="79762"/>
                          </a:xfrm>
                          <a:prstGeom prst="rect">
                            <a:avLst/>
                          </a:prstGeom>
                          <a:ln>
                            <a:noFill/>
                          </a:ln>
                        </wps:spPr>
                        <wps:txbx>
                          <w:txbxContent>
                            <w:p w:rsidR="00EE13F6" w:rsidRDefault="002E5BC4">
                              <w:r>
                                <w:rPr>
                                  <w:rFonts w:ascii="Times New Roman" w:eastAsia="Times New Roman" w:hAnsi="Times New Roman" w:cs="Times New Roman"/>
                                  <w:color w:val="585858"/>
                                  <w:sz w:val="9"/>
                                </w:rPr>
                                <w:t>2</w:t>
                              </w:r>
                            </w:p>
                          </w:txbxContent>
                        </wps:txbx>
                        <wps:bodyPr horzOverflow="overflow" vert="horz" lIns="0" tIns="0" rIns="0" bIns="0" rtlCol="0">
                          <a:noAutofit/>
                        </wps:bodyPr>
                      </wps:wsp>
                      <wps:wsp>
                        <wps:cNvPr id="19499" name="Rectangle 19499"/>
                        <wps:cNvSpPr/>
                        <wps:spPr>
                          <a:xfrm>
                            <a:off x="377868" y="1861664"/>
                            <a:ext cx="20808" cy="79762"/>
                          </a:xfrm>
                          <a:prstGeom prst="rect">
                            <a:avLst/>
                          </a:prstGeom>
                          <a:ln>
                            <a:noFill/>
                          </a:ln>
                        </wps:spPr>
                        <wps:txbx>
                          <w:txbxContent>
                            <w:p w:rsidR="00EE13F6" w:rsidRDefault="002E5BC4">
                              <w:r>
                                <w:rPr>
                                  <w:rFonts w:ascii="Times New Roman" w:eastAsia="Times New Roman" w:hAnsi="Times New Roman" w:cs="Times New Roman"/>
                                  <w:color w:val="585858"/>
                                  <w:sz w:val="9"/>
                                </w:rPr>
                                <w:t>,</w:t>
                              </w:r>
                            </w:p>
                          </w:txbxContent>
                        </wps:txbx>
                        <wps:bodyPr horzOverflow="overflow" vert="horz" lIns="0" tIns="0" rIns="0" bIns="0" rtlCol="0">
                          <a:noAutofit/>
                        </wps:bodyPr>
                      </wps:wsp>
                      <wps:wsp>
                        <wps:cNvPr id="19500" name="Rectangle 19500"/>
                        <wps:cNvSpPr/>
                        <wps:spPr>
                          <a:xfrm>
                            <a:off x="391775" y="1861664"/>
                            <a:ext cx="41615" cy="79762"/>
                          </a:xfrm>
                          <a:prstGeom prst="rect">
                            <a:avLst/>
                          </a:prstGeom>
                          <a:ln>
                            <a:noFill/>
                          </a:ln>
                        </wps:spPr>
                        <wps:txbx>
                          <w:txbxContent>
                            <w:p w:rsidR="00EE13F6" w:rsidRDefault="002E5BC4">
                              <w:r>
                                <w:rPr>
                                  <w:rFonts w:ascii="Times New Roman" w:eastAsia="Times New Roman" w:hAnsi="Times New Roman" w:cs="Times New Roman"/>
                                  <w:color w:val="585858"/>
                                  <w:sz w:val="9"/>
                                </w:rPr>
                                <w:t>0</w:t>
                              </w:r>
                            </w:p>
                          </w:txbxContent>
                        </wps:txbx>
                        <wps:bodyPr horzOverflow="overflow" vert="horz" lIns="0" tIns="0" rIns="0" bIns="0" rtlCol="0">
                          <a:noAutofit/>
                        </wps:bodyPr>
                      </wps:wsp>
                      <wps:wsp>
                        <wps:cNvPr id="19501" name="Rectangle 19501"/>
                        <wps:cNvSpPr/>
                        <wps:spPr>
                          <a:xfrm>
                            <a:off x="426541" y="1861664"/>
                            <a:ext cx="41615" cy="79762"/>
                          </a:xfrm>
                          <a:prstGeom prst="rect">
                            <a:avLst/>
                          </a:prstGeom>
                          <a:ln>
                            <a:noFill/>
                          </a:ln>
                        </wps:spPr>
                        <wps:txbx>
                          <w:txbxContent>
                            <w:p w:rsidR="00EE13F6" w:rsidRDefault="002E5BC4">
                              <w:r>
                                <w:rPr>
                                  <w:rFonts w:ascii="Times New Roman" w:eastAsia="Times New Roman" w:hAnsi="Times New Roman" w:cs="Times New Roman"/>
                                  <w:color w:val="585858"/>
                                  <w:sz w:val="9"/>
                                </w:rPr>
                                <w:t>0</w:t>
                              </w:r>
                            </w:p>
                          </w:txbxContent>
                        </wps:txbx>
                        <wps:bodyPr horzOverflow="overflow" vert="horz" lIns="0" tIns="0" rIns="0" bIns="0" rtlCol="0">
                          <a:noAutofit/>
                        </wps:bodyPr>
                      </wps:wsp>
                      <wps:wsp>
                        <wps:cNvPr id="19502" name="Rectangle 19502"/>
                        <wps:cNvSpPr/>
                        <wps:spPr>
                          <a:xfrm>
                            <a:off x="461308" y="1861664"/>
                            <a:ext cx="41615" cy="79762"/>
                          </a:xfrm>
                          <a:prstGeom prst="rect">
                            <a:avLst/>
                          </a:prstGeom>
                          <a:ln>
                            <a:noFill/>
                          </a:ln>
                        </wps:spPr>
                        <wps:txbx>
                          <w:txbxContent>
                            <w:p w:rsidR="00EE13F6" w:rsidRDefault="002E5BC4">
                              <w:r>
                                <w:rPr>
                                  <w:rFonts w:ascii="Times New Roman" w:eastAsia="Times New Roman" w:hAnsi="Times New Roman" w:cs="Times New Roman"/>
                                  <w:color w:val="585858"/>
                                  <w:sz w:val="9"/>
                                </w:rPr>
                                <w:t>0</w:t>
                              </w:r>
                            </w:p>
                          </w:txbxContent>
                        </wps:txbx>
                        <wps:bodyPr horzOverflow="overflow" vert="horz" lIns="0" tIns="0" rIns="0" bIns="0" rtlCol="0">
                          <a:noAutofit/>
                        </wps:bodyPr>
                      </wps:wsp>
                      <wps:wsp>
                        <wps:cNvPr id="19503" name="Rectangle 19503"/>
                        <wps:cNvSpPr/>
                        <wps:spPr>
                          <a:xfrm>
                            <a:off x="496074" y="1861664"/>
                            <a:ext cx="69331" cy="79762"/>
                          </a:xfrm>
                          <a:prstGeom prst="rect">
                            <a:avLst/>
                          </a:prstGeom>
                          <a:ln>
                            <a:noFill/>
                          </a:ln>
                        </wps:spPr>
                        <wps:txbx>
                          <w:txbxContent>
                            <w:p w:rsidR="00EE13F6" w:rsidRDefault="002E5BC4">
                              <w:r>
                                <w:rPr>
                                  <w:rFonts w:ascii="Times New Roman" w:eastAsia="Times New Roman" w:hAnsi="Times New Roman" w:cs="Times New Roman"/>
                                  <w:color w:val="585858"/>
                                  <w:sz w:val="9"/>
                                </w:rPr>
                                <w:t>%</w:t>
                              </w:r>
                            </w:p>
                          </w:txbxContent>
                        </wps:txbx>
                        <wps:bodyPr horzOverflow="overflow" vert="horz" lIns="0" tIns="0" rIns="0" bIns="0" rtlCol="0">
                          <a:noAutofit/>
                        </wps:bodyPr>
                      </wps:wsp>
                      <wps:wsp>
                        <wps:cNvPr id="203829" name="Rectangle 203829"/>
                        <wps:cNvSpPr/>
                        <wps:spPr>
                          <a:xfrm>
                            <a:off x="349429" y="1703138"/>
                            <a:ext cx="42198" cy="87921"/>
                          </a:xfrm>
                          <a:prstGeom prst="rect">
                            <a:avLst/>
                          </a:prstGeom>
                          <a:ln>
                            <a:noFill/>
                          </a:ln>
                        </wps:spPr>
                        <wps:txbx>
                          <w:txbxContent>
                            <w:p w:rsidR="00EE13F6" w:rsidRDefault="002E5BC4">
                              <w:r>
                                <w:rPr>
                                  <w:color w:val="585858"/>
                                  <w:sz w:val="9"/>
                                </w:rPr>
                                <w:t>0</w:t>
                              </w:r>
                            </w:p>
                          </w:txbxContent>
                        </wps:txbx>
                        <wps:bodyPr horzOverflow="overflow" vert="horz" lIns="0" tIns="0" rIns="0" bIns="0" rtlCol="0">
                          <a:noAutofit/>
                        </wps:bodyPr>
                      </wps:wsp>
                      <wps:wsp>
                        <wps:cNvPr id="203830" name="Rectangle 203830"/>
                        <wps:cNvSpPr/>
                        <wps:spPr>
                          <a:xfrm>
                            <a:off x="384198" y="1703138"/>
                            <a:ext cx="216766" cy="87921"/>
                          </a:xfrm>
                          <a:prstGeom prst="rect">
                            <a:avLst/>
                          </a:prstGeom>
                          <a:ln>
                            <a:noFill/>
                          </a:ln>
                        </wps:spPr>
                        <wps:txbx>
                          <w:txbxContent>
                            <w:p w:rsidR="00EE13F6" w:rsidRDefault="002E5BC4">
                              <w:r>
                                <w:rPr>
                                  <w:color w:val="585858"/>
                                  <w:sz w:val="9"/>
                                </w:rPr>
                                <w:t>,000%</w:t>
                              </w:r>
                            </w:p>
                          </w:txbxContent>
                        </wps:txbx>
                        <wps:bodyPr horzOverflow="overflow" vert="horz" lIns="0" tIns="0" rIns="0" bIns="0" rtlCol="0">
                          <a:noAutofit/>
                        </wps:bodyPr>
                      </wps:wsp>
                      <wps:wsp>
                        <wps:cNvPr id="203827" name="Rectangle 203827"/>
                        <wps:cNvSpPr/>
                        <wps:spPr>
                          <a:xfrm>
                            <a:off x="349429" y="1543826"/>
                            <a:ext cx="42198" cy="87921"/>
                          </a:xfrm>
                          <a:prstGeom prst="rect">
                            <a:avLst/>
                          </a:prstGeom>
                          <a:ln>
                            <a:noFill/>
                          </a:ln>
                        </wps:spPr>
                        <wps:txbx>
                          <w:txbxContent>
                            <w:p w:rsidR="00EE13F6" w:rsidRDefault="002E5BC4">
                              <w:r>
                                <w:rPr>
                                  <w:color w:val="585858"/>
                                  <w:sz w:val="9"/>
                                </w:rPr>
                                <w:t>2</w:t>
                              </w:r>
                            </w:p>
                          </w:txbxContent>
                        </wps:txbx>
                        <wps:bodyPr horzOverflow="overflow" vert="horz" lIns="0" tIns="0" rIns="0" bIns="0" rtlCol="0">
                          <a:noAutofit/>
                        </wps:bodyPr>
                      </wps:wsp>
                      <wps:wsp>
                        <wps:cNvPr id="203828" name="Rectangle 203828"/>
                        <wps:cNvSpPr/>
                        <wps:spPr>
                          <a:xfrm>
                            <a:off x="384198" y="1543826"/>
                            <a:ext cx="216766" cy="87921"/>
                          </a:xfrm>
                          <a:prstGeom prst="rect">
                            <a:avLst/>
                          </a:prstGeom>
                          <a:ln>
                            <a:noFill/>
                          </a:ln>
                        </wps:spPr>
                        <wps:txbx>
                          <w:txbxContent>
                            <w:p w:rsidR="00EE13F6" w:rsidRDefault="002E5BC4">
                              <w:r>
                                <w:rPr>
                                  <w:color w:val="585858"/>
                                  <w:sz w:val="9"/>
                                </w:rPr>
                                <w:t>,000%</w:t>
                              </w:r>
                            </w:p>
                          </w:txbxContent>
                        </wps:txbx>
                        <wps:bodyPr horzOverflow="overflow" vert="horz" lIns="0" tIns="0" rIns="0" bIns="0" rtlCol="0">
                          <a:noAutofit/>
                        </wps:bodyPr>
                      </wps:wsp>
                      <wps:wsp>
                        <wps:cNvPr id="203825" name="Rectangle 203825"/>
                        <wps:cNvSpPr/>
                        <wps:spPr>
                          <a:xfrm>
                            <a:off x="349429" y="1384514"/>
                            <a:ext cx="42198" cy="87921"/>
                          </a:xfrm>
                          <a:prstGeom prst="rect">
                            <a:avLst/>
                          </a:prstGeom>
                          <a:ln>
                            <a:noFill/>
                          </a:ln>
                        </wps:spPr>
                        <wps:txbx>
                          <w:txbxContent>
                            <w:p w:rsidR="00EE13F6" w:rsidRDefault="002E5BC4">
                              <w:r>
                                <w:rPr>
                                  <w:color w:val="585858"/>
                                  <w:sz w:val="9"/>
                                </w:rPr>
                                <w:t>4</w:t>
                              </w:r>
                            </w:p>
                          </w:txbxContent>
                        </wps:txbx>
                        <wps:bodyPr horzOverflow="overflow" vert="horz" lIns="0" tIns="0" rIns="0" bIns="0" rtlCol="0">
                          <a:noAutofit/>
                        </wps:bodyPr>
                      </wps:wsp>
                      <wps:wsp>
                        <wps:cNvPr id="203826" name="Rectangle 203826"/>
                        <wps:cNvSpPr/>
                        <wps:spPr>
                          <a:xfrm>
                            <a:off x="384198" y="1384514"/>
                            <a:ext cx="216766" cy="87921"/>
                          </a:xfrm>
                          <a:prstGeom prst="rect">
                            <a:avLst/>
                          </a:prstGeom>
                          <a:ln>
                            <a:noFill/>
                          </a:ln>
                        </wps:spPr>
                        <wps:txbx>
                          <w:txbxContent>
                            <w:p w:rsidR="00EE13F6" w:rsidRDefault="002E5BC4">
                              <w:r>
                                <w:rPr>
                                  <w:color w:val="585858"/>
                                  <w:sz w:val="9"/>
                                </w:rPr>
                                <w:t>,000%</w:t>
                              </w:r>
                            </w:p>
                          </w:txbxContent>
                        </wps:txbx>
                        <wps:bodyPr horzOverflow="overflow" vert="horz" lIns="0" tIns="0" rIns="0" bIns="0" rtlCol="0">
                          <a:noAutofit/>
                        </wps:bodyPr>
                      </wps:wsp>
                      <wps:wsp>
                        <wps:cNvPr id="203823" name="Rectangle 203823"/>
                        <wps:cNvSpPr/>
                        <wps:spPr>
                          <a:xfrm>
                            <a:off x="349429" y="1225202"/>
                            <a:ext cx="42198" cy="87921"/>
                          </a:xfrm>
                          <a:prstGeom prst="rect">
                            <a:avLst/>
                          </a:prstGeom>
                          <a:ln>
                            <a:noFill/>
                          </a:ln>
                        </wps:spPr>
                        <wps:txbx>
                          <w:txbxContent>
                            <w:p w:rsidR="00EE13F6" w:rsidRDefault="002E5BC4">
                              <w:r>
                                <w:rPr>
                                  <w:color w:val="585858"/>
                                  <w:sz w:val="9"/>
                                </w:rPr>
                                <w:t>6</w:t>
                              </w:r>
                            </w:p>
                          </w:txbxContent>
                        </wps:txbx>
                        <wps:bodyPr horzOverflow="overflow" vert="horz" lIns="0" tIns="0" rIns="0" bIns="0" rtlCol="0">
                          <a:noAutofit/>
                        </wps:bodyPr>
                      </wps:wsp>
                      <wps:wsp>
                        <wps:cNvPr id="203824" name="Rectangle 203824"/>
                        <wps:cNvSpPr/>
                        <wps:spPr>
                          <a:xfrm>
                            <a:off x="384198" y="1225202"/>
                            <a:ext cx="216766" cy="87921"/>
                          </a:xfrm>
                          <a:prstGeom prst="rect">
                            <a:avLst/>
                          </a:prstGeom>
                          <a:ln>
                            <a:noFill/>
                          </a:ln>
                        </wps:spPr>
                        <wps:txbx>
                          <w:txbxContent>
                            <w:p w:rsidR="00EE13F6" w:rsidRDefault="002E5BC4">
                              <w:r>
                                <w:rPr>
                                  <w:color w:val="585858"/>
                                  <w:sz w:val="9"/>
                                </w:rPr>
                                <w:t>,000%</w:t>
                              </w:r>
                            </w:p>
                          </w:txbxContent>
                        </wps:txbx>
                        <wps:bodyPr horzOverflow="overflow" vert="horz" lIns="0" tIns="0" rIns="0" bIns="0" rtlCol="0">
                          <a:noAutofit/>
                        </wps:bodyPr>
                      </wps:wsp>
                      <wps:wsp>
                        <wps:cNvPr id="203821" name="Rectangle 203821"/>
                        <wps:cNvSpPr/>
                        <wps:spPr>
                          <a:xfrm>
                            <a:off x="349429" y="1065889"/>
                            <a:ext cx="42198" cy="87921"/>
                          </a:xfrm>
                          <a:prstGeom prst="rect">
                            <a:avLst/>
                          </a:prstGeom>
                          <a:ln>
                            <a:noFill/>
                          </a:ln>
                        </wps:spPr>
                        <wps:txbx>
                          <w:txbxContent>
                            <w:p w:rsidR="00EE13F6" w:rsidRDefault="002E5BC4">
                              <w:r>
                                <w:rPr>
                                  <w:color w:val="585858"/>
                                  <w:sz w:val="9"/>
                                </w:rPr>
                                <w:t>8</w:t>
                              </w:r>
                            </w:p>
                          </w:txbxContent>
                        </wps:txbx>
                        <wps:bodyPr horzOverflow="overflow" vert="horz" lIns="0" tIns="0" rIns="0" bIns="0" rtlCol="0">
                          <a:noAutofit/>
                        </wps:bodyPr>
                      </wps:wsp>
                      <wps:wsp>
                        <wps:cNvPr id="203822" name="Rectangle 203822"/>
                        <wps:cNvSpPr/>
                        <wps:spPr>
                          <a:xfrm>
                            <a:off x="384198" y="1065889"/>
                            <a:ext cx="216766" cy="87921"/>
                          </a:xfrm>
                          <a:prstGeom prst="rect">
                            <a:avLst/>
                          </a:prstGeom>
                          <a:ln>
                            <a:noFill/>
                          </a:ln>
                        </wps:spPr>
                        <wps:txbx>
                          <w:txbxContent>
                            <w:p w:rsidR="00EE13F6" w:rsidRDefault="002E5BC4">
                              <w:r>
                                <w:rPr>
                                  <w:color w:val="585858"/>
                                  <w:sz w:val="9"/>
                                </w:rPr>
                                <w:t>,000%</w:t>
                              </w:r>
                            </w:p>
                          </w:txbxContent>
                        </wps:txbx>
                        <wps:bodyPr horzOverflow="overflow" vert="horz" lIns="0" tIns="0" rIns="0" bIns="0" rtlCol="0">
                          <a:noAutofit/>
                        </wps:bodyPr>
                      </wps:wsp>
                      <wps:wsp>
                        <wps:cNvPr id="203820" name="Rectangle 203820"/>
                        <wps:cNvSpPr/>
                        <wps:spPr>
                          <a:xfrm>
                            <a:off x="389208" y="906578"/>
                            <a:ext cx="216766" cy="87921"/>
                          </a:xfrm>
                          <a:prstGeom prst="rect">
                            <a:avLst/>
                          </a:prstGeom>
                          <a:ln>
                            <a:noFill/>
                          </a:ln>
                        </wps:spPr>
                        <wps:txbx>
                          <w:txbxContent>
                            <w:p w:rsidR="00EE13F6" w:rsidRDefault="002E5BC4">
                              <w:r>
                                <w:rPr>
                                  <w:color w:val="585858"/>
                                  <w:sz w:val="9"/>
                                </w:rPr>
                                <w:t>,000%</w:t>
                              </w:r>
                            </w:p>
                          </w:txbxContent>
                        </wps:txbx>
                        <wps:bodyPr horzOverflow="overflow" vert="horz" lIns="0" tIns="0" rIns="0" bIns="0" rtlCol="0">
                          <a:noAutofit/>
                        </wps:bodyPr>
                      </wps:wsp>
                      <wps:wsp>
                        <wps:cNvPr id="203819" name="Rectangle 203819"/>
                        <wps:cNvSpPr/>
                        <wps:spPr>
                          <a:xfrm>
                            <a:off x="319669" y="906578"/>
                            <a:ext cx="88441" cy="87921"/>
                          </a:xfrm>
                          <a:prstGeom prst="rect">
                            <a:avLst/>
                          </a:prstGeom>
                          <a:ln>
                            <a:noFill/>
                          </a:ln>
                        </wps:spPr>
                        <wps:txbx>
                          <w:txbxContent>
                            <w:p w:rsidR="00EE13F6" w:rsidRDefault="002E5BC4">
                              <w:r>
                                <w:rPr>
                                  <w:color w:val="585858"/>
                                  <w:sz w:val="9"/>
                                </w:rPr>
                                <w:t>10</w:t>
                              </w:r>
                            </w:p>
                          </w:txbxContent>
                        </wps:txbx>
                        <wps:bodyPr horzOverflow="overflow" vert="horz" lIns="0" tIns="0" rIns="0" bIns="0" rtlCol="0">
                          <a:noAutofit/>
                        </wps:bodyPr>
                      </wps:wsp>
                      <wps:wsp>
                        <wps:cNvPr id="203817" name="Rectangle 203817"/>
                        <wps:cNvSpPr/>
                        <wps:spPr>
                          <a:xfrm>
                            <a:off x="319669" y="747266"/>
                            <a:ext cx="88441" cy="87921"/>
                          </a:xfrm>
                          <a:prstGeom prst="rect">
                            <a:avLst/>
                          </a:prstGeom>
                          <a:ln>
                            <a:noFill/>
                          </a:ln>
                        </wps:spPr>
                        <wps:txbx>
                          <w:txbxContent>
                            <w:p w:rsidR="00EE13F6" w:rsidRDefault="002E5BC4">
                              <w:r>
                                <w:rPr>
                                  <w:color w:val="585858"/>
                                  <w:sz w:val="9"/>
                                </w:rPr>
                                <w:t>12</w:t>
                              </w:r>
                            </w:p>
                          </w:txbxContent>
                        </wps:txbx>
                        <wps:bodyPr horzOverflow="overflow" vert="horz" lIns="0" tIns="0" rIns="0" bIns="0" rtlCol="0">
                          <a:noAutofit/>
                        </wps:bodyPr>
                      </wps:wsp>
                      <wps:wsp>
                        <wps:cNvPr id="203818" name="Rectangle 203818"/>
                        <wps:cNvSpPr/>
                        <wps:spPr>
                          <a:xfrm>
                            <a:off x="389208" y="747266"/>
                            <a:ext cx="216766" cy="87921"/>
                          </a:xfrm>
                          <a:prstGeom prst="rect">
                            <a:avLst/>
                          </a:prstGeom>
                          <a:ln>
                            <a:noFill/>
                          </a:ln>
                        </wps:spPr>
                        <wps:txbx>
                          <w:txbxContent>
                            <w:p w:rsidR="00EE13F6" w:rsidRDefault="002E5BC4">
                              <w:r>
                                <w:rPr>
                                  <w:color w:val="585858"/>
                                  <w:sz w:val="9"/>
                                </w:rPr>
                                <w:t>,000%</w:t>
                              </w:r>
                            </w:p>
                          </w:txbxContent>
                        </wps:txbx>
                        <wps:bodyPr horzOverflow="overflow" vert="horz" lIns="0" tIns="0" rIns="0" bIns="0" rtlCol="0">
                          <a:noAutofit/>
                        </wps:bodyPr>
                      </wps:wsp>
                      <wps:wsp>
                        <wps:cNvPr id="203816" name="Rectangle 203816"/>
                        <wps:cNvSpPr/>
                        <wps:spPr>
                          <a:xfrm>
                            <a:off x="389208" y="587954"/>
                            <a:ext cx="216766" cy="87921"/>
                          </a:xfrm>
                          <a:prstGeom prst="rect">
                            <a:avLst/>
                          </a:prstGeom>
                          <a:ln>
                            <a:noFill/>
                          </a:ln>
                        </wps:spPr>
                        <wps:txbx>
                          <w:txbxContent>
                            <w:p w:rsidR="00EE13F6" w:rsidRDefault="002E5BC4">
                              <w:r>
                                <w:rPr>
                                  <w:color w:val="585858"/>
                                  <w:sz w:val="9"/>
                                </w:rPr>
                                <w:t>,000%</w:t>
                              </w:r>
                            </w:p>
                          </w:txbxContent>
                        </wps:txbx>
                        <wps:bodyPr horzOverflow="overflow" vert="horz" lIns="0" tIns="0" rIns="0" bIns="0" rtlCol="0">
                          <a:noAutofit/>
                        </wps:bodyPr>
                      </wps:wsp>
                      <wps:wsp>
                        <wps:cNvPr id="203815" name="Rectangle 203815"/>
                        <wps:cNvSpPr/>
                        <wps:spPr>
                          <a:xfrm>
                            <a:off x="319669" y="587954"/>
                            <a:ext cx="88441" cy="87921"/>
                          </a:xfrm>
                          <a:prstGeom prst="rect">
                            <a:avLst/>
                          </a:prstGeom>
                          <a:ln>
                            <a:noFill/>
                          </a:ln>
                        </wps:spPr>
                        <wps:txbx>
                          <w:txbxContent>
                            <w:p w:rsidR="00EE13F6" w:rsidRDefault="002E5BC4">
                              <w:r>
                                <w:rPr>
                                  <w:color w:val="585858"/>
                                  <w:sz w:val="9"/>
                                </w:rPr>
                                <w:t>14</w:t>
                              </w:r>
                            </w:p>
                          </w:txbxContent>
                        </wps:txbx>
                        <wps:bodyPr horzOverflow="overflow" vert="horz" lIns="0" tIns="0" rIns="0" bIns="0" rtlCol="0">
                          <a:noAutofit/>
                        </wps:bodyPr>
                      </wps:wsp>
                      <wps:wsp>
                        <wps:cNvPr id="203831" name="Rectangle 203831"/>
                        <wps:cNvSpPr/>
                        <wps:spPr>
                          <a:xfrm>
                            <a:off x="768800" y="1770564"/>
                            <a:ext cx="42198" cy="87921"/>
                          </a:xfrm>
                          <a:prstGeom prst="rect">
                            <a:avLst/>
                          </a:prstGeom>
                          <a:ln>
                            <a:noFill/>
                          </a:ln>
                        </wps:spPr>
                        <wps:txbx>
                          <w:txbxContent>
                            <w:p w:rsidR="00EE13F6" w:rsidRDefault="002E5BC4">
                              <w:r>
                                <w:rPr>
                                  <w:color w:val="585858"/>
                                  <w:sz w:val="9"/>
                                </w:rPr>
                                <w:t>1</w:t>
                              </w:r>
                            </w:p>
                          </w:txbxContent>
                        </wps:txbx>
                        <wps:bodyPr horzOverflow="overflow" vert="horz" lIns="0" tIns="0" rIns="0" bIns="0" rtlCol="0">
                          <a:noAutofit/>
                        </wps:bodyPr>
                      </wps:wsp>
                      <wps:wsp>
                        <wps:cNvPr id="203833" name="Rectangle 203833"/>
                        <wps:cNvSpPr/>
                        <wps:spPr>
                          <a:xfrm>
                            <a:off x="803569" y="1770564"/>
                            <a:ext cx="20808" cy="87921"/>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3832" name="Rectangle 203832"/>
                        <wps:cNvSpPr/>
                        <wps:spPr>
                          <a:xfrm>
                            <a:off x="817500" y="1770564"/>
                            <a:ext cx="88441" cy="87921"/>
                          </a:xfrm>
                          <a:prstGeom prst="rect">
                            <a:avLst/>
                          </a:prstGeom>
                          <a:ln>
                            <a:noFill/>
                          </a:ln>
                        </wps:spPr>
                        <wps:txbx>
                          <w:txbxContent>
                            <w:p w:rsidR="00EE13F6" w:rsidRDefault="002E5BC4">
                              <w:r>
                                <w:rPr>
                                  <w:color w:val="585858"/>
                                  <w:sz w:val="9"/>
                                </w:rPr>
                                <w:t>25</w:t>
                              </w:r>
                            </w:p>
                          </w:txbxContent>
                        </wps:txbx>
                        <wps:bodyPr horzOverflow="overflow" vert="horz" lIns="0" tIns="0" rIns="0" bIns="0" rtlCol="0">
                          <a:noAutofit/>
                        </wps:bodyPr>
                      </wps:wsp>
                      <wps:wsp>
                        <wps:cNvPr id="203835" name="Rectangle 203835"/>
                        <wps:cNvSpPr/>
                        <wps:spPr>
                          <a:xfrm>
                            <a:off x="1266208" y="1770564"/>
                            <a:ext cx="88441" cy="87921"/>
                          </a:xfrm>
                          <a:prstGeom prst="rect">
                            <a:avLst/>
                          </a:prstGeom>
                          <a:ln>
                            <a:noFill/>
                          </a:ln>
                        </wps:spPr>
                        <wps:txbx>
                          <w:txbxContent>
                            <w:p w:rsidR="00EE13F6" w:rsidRDefault="002E5BC4">
                              <w:r>
                                <w:rPr>
                                  <w:color w:val="585858"/>
                                  <w:sz w:val="9"/>
                                </w:rPr>
                                <w:t>43</w:t>
                              </w:r>
                            </w:p>
                          </w:txbxContent>
                        </wps:txbx>
                        <wps:bodyPr horzOverflow="overflow" vert="horz" lIns="0" tIns="0" rIns="0" bIns="0" rtlCol="0">
                          <a:noAutofit/>
                        </wps:bodyPr>
                      </wps:wsp>
                      <wps:wsp>
                        <wps:cNvPr id="203836" name="Rectangle 203836"/>
                        <wps:cNvSpPr/>
                        <wps:spPr>
                          <a:xfrm>
                            <a:off x="1252278" y="1770564"/>
                            <a:ext cx="20808" cy="87921"/>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3834" name="Rectangle 203834"/>
                        <wps:cNvSpPr/>
                        <wps:spPr>
                          <a:xfrm>
                            <a:off x="1217509" y="1770564"/>
                            <a:ext cx="42198" cy="87921"/>
                          </a:xfrm>
                          <a:prstGeom prst="rect">
                            <a:avLst/>
                          </a:prstGeom>
                          <a:ln>
                            <a:noFill/>
                          </a:ln>
                        </wps:spPr>
                        <wps:txbx>
                          <w:txbxContent>
                            <w:p w:rsidR="00EE13F6" w:rsidRDefault="002E5BC4">
                              <w:r>
                                <w:rPr>
                                  <w:color w:val="585858"/>
                                  <w:sz w:val="9"/>
                                </w:rPr>
                                <w:t>1</w:t>
                              </w:r>
                            </w:p>
                          </w:txbxContent>
                        </wps:txbx>
                        <wps:bodyPr horzOverflow="overflow" vert="horz" lIns="0" tIns="0" rIns="0" bIns="0" rtlCol="0">
                          <a:noAutofit/>
                        </wps:bodyPr>
                      </wps:wsp>
                      <wps:wsp>
                        <wps:cNvPr id="203839" name="Rectangle 203839"/>
                        <wps:cNvSpPr/>
                        <wps:spPr>
                          <a:xfrm>
                            <a:off x="1700986" y="1770564"/>
                            <a:ext cx="20808" cy="87921"/>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3838" name="Rectangle 203838"/>
                        <wps:cNvSpPr/>
                        <wps:spPr>
                          <a:xfrm>
                            <a:off x="1714916" y="1770564"/>
                            <a:ext cx="88441" cy="87921"/>
                          </a:xfrm>
                          <a:prstGeom prst="rect">
                            <a:avLst/>
                          </a:prstGeom>
                          <a:ln>
                            <a:noFill/>
                          </a:ln>
                        </wps:spPr>
                        <wps:txbx>
                          <w:txbxContent>
                            <w:p w:rsidR="00EE13F6" w:rsidRDefault="002E5BC4">
                              <w:r>
                                <w:rPr>
                                  <w:color w:val="585858"/>
                                  <w:sz w:val="9"/>
                                </w:rPr>
                                <w:t>67</w:t>
                              </w:r>
                            </w:p>
                          </w:txbxContent>
                        </wps:txbx>
                        <wps:bodyPr horzOverflow="overflow" vert="horz" lIns="0" tIns="0" rIns="0" bIns="0" rtlCol="0">
                          <a:noAutofit/>
                        </wps:bodyPr>
                      </wps:wsp>
                      <wps:wsp>
                        <wps:cNvPr id="203837" name="Rectangle 203837"/>
                        <wps:cNvSpPr/>
                        <wps:spPr>
                          <a:xfrm>
                            <a:off x="1666217" y="1770564"/>
                            <a:ext cx="42198" cy="87921"/>
                          </a:xfrm>
                          <a:prstGeom prst="rect">
                            <a:avLst/>
                          </a:prstGeom>
                          <a:ln>
                            <a:noFill/>
                          </a:ln>
                        </wps:spPr>
                        <wps:txbx>
                          <w:txbxContent>
                            <w:p w:rsidR="00EE13F6" w:rsidRDefault="002E5BC4">
                              <w:r>
                                <w:rPr>
                                  <w:color w:val="585858"/>
                                  <w:sz w:val="9"/>
                                </w:rPr>
                                <w:t>1</w:t>
                              </w:r>
                            </w:p>
                          </w:txbxContent>
                        </wps:txbx>
                        <wps:bodyPr horzOverflow="overflow" vert="horz" lIns="0" tIns="0" rIns="0" bIns="0" rtlCol="0">
                          <a:noAutofit/>
                        </wps:bodyPr>
                      </wps:wsp>
                      <wps:wsp>
                        <wps:cNvPr id="203840" name="Rectangle 203840"/>
                        <wps:cNvSpPr/>
                        <wps:spPr>
                          <a:xfrm>
                            <a:off x="2114926" y="1770564"/>
                            <a:ext cx="42198" cy="87921"/>
                          </a:xfrm>
                          <a:prstGeom prst="rect">
                            <a:avLst/>
                          </a:prstGeom>
                          <a:ln>
                            <a:noFill/>
                          </a:ln>
                        </wps:spPr>
                        <wps:txbx>
                          <w:txbxContent>
                            <w:p w:rsidR="00EE13F6" w:rsidRDefault="002E5BC4">
                              <w:r>
                                <w:rPr>
                                  <w:color w:val="585858"/>
                                  <w:sz w:val="9"/>
                                </w:rPr>
                                <w:t>2</w:t>
                              </w:r>
                            </w:p>
                          </w:txbxContent>
                        </wps:txbx>
                        <wps:bodyPr horzOverflow="overflow" vert="horz" lIns="0" tIns="0" rIns="0" bIns="0" rtlCol="0">
                          <a:noAutofit/>
                        </wps:bodyPr>
                      </wps:wsp>
                      <wps:wsp>
                        <wps:cNvPr id="203842" name="Rectangle 203842"/>
                        <wps:cNvSpPr/>
                        <wps:spPr>
                          <a:xfrm>
                            <a:off x="2149695" y="1770564"/>
                            <a:ext cx="20808" cy="87921"/>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3841" name="Rectangle 203841"/>
                        <wps:cNvSpPr/>
                        <wps:spPr>
                          <a:xfrm>
                            <a:off x="2163625" y="1770564"/>
                            <a:ext cx="88441" cy="87921"/>
                          </a:xfrm>
                          <a:prstGeom prst="rect">
                            <a:avLst/>
                          </a:prstGeom>
                          <a:ln>
                            <a:noFill/>
                          </a:ln>
                        </wps:spPr>
                        <wps:txbx>
                          <w:txbxContent>
                            <w:p w:rsidR="00EE13F6" w:rsidRDefault="002E5BC4">
                              <w:r>
                                <w:rPr>
                                  <w:color w:val="585858"/>
                                  <w:sz w:val="9"/>
                                </w:rPr>
                                <w:t>00</w:t>
                              </w:r>
                            </w:p>
                          </w:txbxContent>
                        </wps:txbx>
                        <wps:bodyPr horzOverflow="overflow" vert="horz" lIns="0" tIns="0" rIns="0" bIns="0" rtlCol="0">
                          <a:noAutofit/>
                        </wps:bodyPr>
                      </wps:wsp>
                      <wps:wsp>
                        <wps:cNvPr id="203845" name="Rectangle 203845"/>
                        <wps:cNvSpPr/>
                        <wps:spPr>
                          <a:xfrm>
                            <a:off x="2598403" y="1770564"/>
                            <a:ext cx="20808" cy="87921"/>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3844" name="Rectangle 203844"/>
                        <wps:cNvSpPr/>
                        <wps:spPr>
                          <a:xfrm>
                            <a:off x="2612333" y="1770564"/>
                            <a:ext cx="88441" cy="87921"/>
                          </a:xfrm>
                          <a:prstGeom prst="rect">
                            <a:avLst/>
                          </a:prstGeom>
                          <a:ln>
                            <a:noFill/>
                          </a:ln>
                        </wps:spPr>
                        <wps:txbx>
                          <w:txbxContent>
                            <w:p w:rsidR="00EE13F6" w:rsidRDefault="002E5BC4">
                              <w:r>
                                <w:rPr>
                                  <w:color w:val="585858"/>
                                  <w:sz w:val="9"/>
                                </w:rPr>
                                <w:t>50</w:t>
                              </w:r>
                            </w:p>
                          </w:txbxContent>
                        </wps:txbx>
                        <wps:bodyPr horzOverflow="overflow" vert="horz" lIns="0" tIns="0" rIns="0" bIns="0" rtlCol="0">
                          <a:noAutofit/>
                        </wps:bodyPr>
                      </wps:wsp>
                      <wps:wsp>
                        <wps:cNvPr id="203843" name="Rectangle 203843"/>
                        <wps:cNvSpPr/>
                        <wps:spPr>
                          <a:xfrm>
                            <a:off x="2563634" y="1770564"/>
                            <a:ext cx="42198" cy="87921"/>
                          </a:xfrm>
                          <a:prstGeom prst="rect">
                            <a:avLst/>
                          </a:prstGeom>
                          <a:ln>
                            <a:noFill/>
                          </a:ln>
                        </wps:spPr>
                        <wps:txbx>
                          <w:txbxContent>
                            <w:p w:rsidR="00EE13F6" w:rsidRDefault="002E5BC4">
                              <w:r>
                                <w:rPr>
                                  <w:color w:val="585858"/>
                                  <w:sz w:val="9"/>
                                </w:rPr>
                                <w:t>2</w:t>
                              </w:r>
                            </w:p>
                          </w:txbxContent>
                        </wps:txbx>
                        <wps:bodyPr horzOverflow="overflow" vert="horz" lIns="0" tIns="0" rIns="0" bIns="0" rtlCol="0">
                          <a:noAutofit/>
                        </wps:bodyPr>
                      </wps:wsp>
                      <wps:wsp>
                        <wps:cNvPr id="203847" name="Rectangle 203847"/>
                        <wps:cNvSpPr/>
                        <wps:spPr>
                          <a:xfrm>
                            <a:off x="3061041" y="1770564"/>
                            <a:ext cx="88441" cy="87921"/>
                          </a:xfrm>
                          <a:prstGeom prst="rect">
                            <a:avLst/>
                          </a:prstGeom>
                          <a:ln>
                            <a:noFill/>
                          </a:ln>
                        </wps:spPr>
                        <wps:txbx>
                          <w:txbxContent>
                            <w:p w:rsidR="00EE13F6" w:rsidRDefault="002E5BC4">
                              <w:r>
                                <w:rPr>
                                  <w:color w:val="585858"/>
                                  <w:sz w:val="9"/>
                                </w:rPr>
                                <w:t>33</w:t>
                              </w:r>
                            </w:p>
                          </w:txbxContent>
                        </wps:txbx>
                        <wps:bodyPr horzOverflow="overflow" vert="horz" lIns="0" tIns="0" rIns="0" bIns="0" rtlCol="0">
                          <a:noAutofit/>
                        </wps:bodyPr>
                      </wps:wsp>
                      <wps:wsp>
                        <wps:cNvPr id="203848" name="Rectangle 203848"/>
                        <wps:cNvSpPr/>
                        <wps:spPr>
                          <a:xfrm>
                            <a:off x="3047111" y="1770564"/>
                            <a:ext cx="20808" cy="87921"/>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3846" name="Rectangle 203846"/>
                        <wps:cNvSpPr/>
                        <wps:spPr>
                          <a:xfrm>
                            <a:off x="3012342" y="1770564"/>
                            <a:ext cx="42198" cy="87921"/>
                          </a:xfrm>
                          <a:prstGeom prst="rect">
                            <a:avLst/>
                          </a:prstGeom>
                          <a:ln>
                            <a:noFill/>
                          </a:ln>
                        </wps:spPr>
                        <wps:txbx>
                          <w:txbxContent>
                            <w:p w:rsidR="00EE13F6" w:rsidRDefault="002E5BC4">
                              <w:r>
                                <w:rPr>
                                  <w:color w:val="585858"/>
                                  <w:sz w:val="9"/>
                                </w:rPr>
                                <w:t>3</w:t>
                              </w:r>
                            </w:p>
                          </w:txbxContent>
                        </wps:txbx>
                        <wps:bodyPr horzOverflow="overflow" vert="horz" lIns="0" tIns="0" rIns="0" bIns="0" rtlCol="0">
                          <a:noAutofit/>
                        </wps:bodyPr>
                      </wps:wsp>
                      <wps:wsp>
                        <wps:cNvPr id="203851" name="Rectangle 203851"/>
                        <wps:cNvSpPr/>
                        <wps:spPr>
                          <a:xfrm>
                            <a:off x="3495819" y="1770564"/>
                            <a:ext cx="20808" cy="87921"/>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3849" name="Rectangle 203849"/>
                        <wps:cNvSpPr/>
                        <wps:spPr>
                          <a:xfrm>
                            <a:off x="3461050" y="1770564"/>
                            <a:ext cx="42198" cy="87921"/>
                          </a:xfrm>
                          <a:prstGeom prst="rect">
                            <a:avLst/>
                          </a:prstGeom>
                          <a:ln>
                            <a:noFill/>
                          </a:ln>
                        </wps:spPr>
                        <wps:txbx>
                          <w:txbxContent>
                            <w:p w:rsidR="00EE13F6" w:rsidRDefault="002E5BC4">
                              <w:r>
                                <w:rPr>
                                  <w:color w:val="585858"/>
                                  <w:sz w:val="9"/>
                                </w:rPr>
                                <w:t>4</w:t>
                              </w:r>
                            </w:p>
                          </w:txbxContent>
                        </wps:txbx>
                        <wps:bodyPr horzOverflow="overflow" vert="horz" lIns="0" tIns="0" rIns="0" bIns="0" rtlCol="0">
                          <a:noAutofit/>
                        </wps:bodyPr>
                      </wps:wsp>
                      <wps:wsp>
                        <wps:cNvPr id="203850" name="Rectangle 203850"/>
                        <wps:cNvSpPr/>
                        <wps:spPr>
                          <a:xfrm>
                            <a:off x="3509749" y="1770564"/>
                            <a:ext cx="88441" cy="87921"/>
                          </a:xfrm>
                          <a:prstGeom prst="rect">
                            <a:avLst/>
                          </a:prstGeom>
                          <a:ln>
                            <a:noFill/>
                          </a:ln>
                        </wps:spPr>
                        <wps:txbx>
                          <w:txbxContent>
                            <w:p w:rsidR="00EE13F6" w:rsidRDefault="002E5BC4">
                              <w:r>
                                <w:rPr>
                                  <w:color w:val="585858"/>
                                  <w:sz w:val="9"/>
                                </w:rPr>
                                <w:t>00</w:t>
                              </w:r>
                            </w:p>
                          </w:txbxContent>
                        </wps:txbx>
                        <wps:bodyPr horzOverflow="overflow" vert="horz" lIns="0" tIns="0" rIns="0" bIns="0" rtlCol="0">
                          <a:noAutofit/>
                        </wps:bodyPr>
                      </wps:wsp>
                      <wps:wsp>
                        <wps:cNvPr id="19519" name="Rectangle 19519"/>
                        <wps:cNvSpPr/>
                        <wps:spPr>
                          <a:xfrm>
                            <a:off x="3951462" y="1770564"/>
                            <a:ext cx="42198" cy="87921"/>
                          </a:xfrm>
                          <a:prstGeom prst="rect">
                            <a:avLst/>
                          </a:prstGeom>
                          <a:ln>
                            <a:noFill/>
                          </a:ln>
                        </wps:spPr>
                        <wps:txbx>
                          <w:txbxContent>
                            <w:p w:rsidR="00EE13F6" w:rsidRDefault="002E5BC4">
                              <w:r>
                                <w:rPr>
                                  <w:color w:val="585858"/>
                                  <w:sz w:val="9"/>
                                </w:rPr>
                                <w:t>5</w:t>
                              </w:r>
                            </w:p>
                          </w:txbxContent>
                        </wps:txbx>
                        <wps:bodyPr horzOverflow="overflow" vert="horz" lIns="0" tIns="0" rIns="0" bIns="0" rtlCol="0">
                          <a:noAutofit/>
                        </wps:bodyPr>
                      </wps:wsp>
                      <wps:wsp>
                        <wps:cNvPr id="203852" name="Rectangle 203852"/>
                        <wps:cNvSpPr/>
                        <wps:spPr>
                          <a:xfrm>
                            <a:off x="4358471" y="1770564"/>
                            <a:ext cx="42198" cy="87921"/>
                          </a:xfrm>
                          <a:prstGeom prst="rect">
                            <a:avLst/>
                          </a:prstGeom>
                          <a:ln>
                            <a:noFill/>
                          </a:ln>
                        </wps:spPr>
                        <wps:txbx>
                          <w:txbxContent>
                            <w:p w:rsidR="00EE13F6" w:rsidRDefault="002E5BC4">
                              <w:r>
                                <w:rPr>
                                  <w:color w:val="585858"/>
                                  <w:sz w:val="9"/>
                                </w:rPr>
                                <w:t>6</w:t>
                              </w:r>
                            </w:p>
                          </w:txbxContent>
                        </wps:txbx>
                        <wps:bodyPr horzOverflow="overflow" vert="horz" lIns="0" tIns="0" rIns="0" bIns="0" rtlCol="0">
                          <a:noAutofit/>
                        </wps:bodyPr>
                      </wps:wsp>
                      <wps:wsp>
                        <wps:cNvPr id="203854" name="Rectangle 203854"/>
                        <wps:cNvSpPr/>
                        <wps:spPr>
                          <a:xfrm>
                            <a:off x="4393240" y="1770564"/>
                            <a:ext cx="20808" cy="87921"/>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3853" name="Rectangle 203853"/>
                        <wps:cNvSpPr/>
                        <wps:spPr>
                          <a:xfrm>
                            <a:off x="4407170" y="1770564"/>
                            <a:ext cx="88441" cy="87921"/>
                          </a:xfrm>
                          <a:prstGeom prst="rect">
                            <a:avLst/>
                          </a:prstGeom>
                          <a:ln>
                            <a:noFill/>
                          </a:ln>
                        </wps:spPr>
                        <wps:txbx>
                          <w:txbxContent>
                            <w:p w:rsidR="00EE13F6" w:rsidRDefault="002E5BC4">
                              <w:r>
                                <w:rPr>
                                  <w:color w:val="585858"/>
                                  <w:sz w:val="9"/>
                                </w:rPr>
                                <w:t>67</w:t>
                              </w:r>
                            </w:p>
                          </w:txbxContent>
                        </wps:txbx>
                        <wps:bodyPr horzOverflow="overflow" vert="horz" lIns="0" tIns="0" rIns="0" bIns="0" rtlCol="0">
                          <a:noAutofit/>
                        </wps:bodyPr>
                      </wps:wsp>
                      <wps:wsp>
                        <wps:cNvPr id="19521" name="Shape 19521"/>
                        <wps:cNvSpPr/>
                        <wps:spPr>
                          <a:xfrm>
                            <a:off x="1185536" y="2806977"/>
                            <a:ext cx="132112" cy="0"/>
                          </a:xfrm>
                          <a:custGeom>
                            <a:avLst/>
                            <a:gdLst/>
                            <a:ahLst/>
                            <a:cxnLst/>
                            <a:rect l="0" t="0" r="0" b="0"/>
                            <a:pathLst>
                              <a:path w="132112">
                                <a:moveTo>
                                  <a:pt x="0" y="0"/>
                                </a:moveTo>
                                <a:lnTo>
                                  <a:pt x="132112" y="0"/>
                                </a:lnTo>
                              </a:path>
                            </a:pathLst>
                          </a:custGeom>
                          <a:ln w="12034" cap="rnd">
                            <a:round/>
                          </a:ln>
                        </wps:spPr>
                        <wps:style>
                          <a:lnRef idx="1">
                            <a:srgbClr val="5E5E5E"/>
                          </a:lnRef>
                          <a:fillRef idx="0">
                            <a:srgbClr val="000000">
                              <a:alpha val="0"/>
                            </a:srgbClr>
                          </a:fillRef>
                          <a:effectRef idx="0">
                            <a:scrgbClr r="0" g="0" b="0"/>
                          </a:effectRef>
                          <a:fontRef idx="none"/>
                        </wps:style>
                        <wps:bodyPr/>
                      </wps:wsp>
                      <wps:wsp>
                        <wps:cNvPr id="19522" name="Rectangle 19522"/>
                        <wps:cNvSpPr/>
                        <wps:spPr>
                          <a:xfrm>
                            <a:off x="1328837" y="2773887"/>
                            <a:ext cx="355412" cy="87921"/>
                          </a:xfrm>
                          <a:prstGeom prst="rect">
                            <a:avLst/>
                          </a:prstGeom>
                          <a:ln>
                            <a:noFill/>
                          </a:ln>
                        </wps:spPr>
                        <wps:txbx>
                          <w:txbxContent>
                            <w:p w:rsidR="00EE13F6" w:rsidRDefault="002E5BC4">
                              <w:r>
                                <w:rPr>
                                  <w:color w:val="585858"/>
                                  <w:sz w:val="9"/>
                                </w:rPr>
                                <w:t>spread</w:t>
                              </w:r>
                              <w:r>
                                <w:rPr>
                                  <w:color w:val="585858"/>
                                  <w:sz w:val="9"/>
                                </w:rPr>
                                <w:tab/>
                                <w:t>1%</w:t>
                              </w:r>
                            </w:p>
                          </w:txbxContent>
                        </wps:txbx>
                        <wps:bodyPr horzOverflow="overflow" vert="horz" lIns="0" tIns="0" rIns="0" bIns="0" rtlCol="0">
                          <a:noAutofit/>
                        </wps:bodyPr>
                      </wps:wsp>
                      <wps:wsp>
                        <wps:cNvPr id="19523" name="Shape 19523"/>
                        <wps:cNvSpPr/>
                        <wps:spPr>
                          <a:xfrm>
                            <a:off x="1686171" y="2806977"/>
                            <a:ext cx="132112" cy="0"/>
                          </a:xfrm>
                          <a:custGeom>
                            <a:avLst/>
                            <a:gdLst/>
                            <a:ahLst/>
                            <a:cxnLst/>
                            <a:rect l="0" t="0" r="0" b="0"/>
                            <a:pathLst>
                              <a:path w="132112">
                                <a:moveTo>
                                  <a:pt x="0" y="0"/>
                                </a:moveTo>
                                <a:lnTo>
                                  <a:pt x="132112" y="0"/>
                                </a:lnTo>
                              </a:path>
                            </a:pathLst>
                          </a:custGeom>
                          <a:ln w="12034" cap="rnd">
                            <a:round/>
                          </a:ln>
                        </wps:spPr>
                        <wps:style>
                          <a:lnRef idx="1">
                            <a:srgbClr val="B3B3B3"/>
                          </a:lnRef>
                          <a:fillRef idx="0">
                            <a:srgbClr val="000000">
                              <a:alpha val="0"/>
                            </a:srgbClr>
                          </a:fillRef>
                          <a:effectRef idx="0">
                            <a:scrgbClr r="0" g="0" b="0"/>
                          </a:effectRef>
                          <a:fontRef idx="none"/>
                        </wps:style>
                        <wps:bodyPr/>
                      </wps:wsp>
                      <wps:wsp>
                        <wps:cNvPr id="19524" name="Rectangle 19524"/>
                        <wps:cNvSpPr/>
                        <wps:spPr>
                          <a:xfrm>
                            <a:off x="1834943" y="2773887"/>
                            <a:ext cx="438660" cy="87921"/>
                          </a:xfrm>
                          <a:prstGeom prst="rect">
                            <a:avLst/>
                          </a:prstGeom>
                          <a:ln>
                            <a:noFill/>
                          </a:ln>
                        </wps:spPr>
                        <wps:txbx>
                          <w:txbxContent>
                            <w:p w:rsidR="00EE13F6" w:rsidRDefault="002E5BC4">
                              <w:r>
                                <w:rPr>
                                  <w:color w:val="585858"/>
                                  <w:sz w:val="9"/>
                                </w:rPr>
                                <w:t>spread</w:t>
                              </w:r>
                              <w:r>
                                <w:rPr>
                                  <w:color w:val="585858"/>
                                  <w:sz w:val="9"/>
                                </w:rPr>
                                <w:tab/>
                              </w:r>
                              <w:r>
                                <w:rPr>
                                  <w:color w:val="585858"/>
                                  <w:sz w:val="9"/>
                                </w:rPr>
                                <w:tab/>
                                <w:t>1.5%</w:t>
                              </w:r>
                            </w:p>
                          </w:txbxContent>
                        </wps:txbx>
                        <wps:bodyPr horzOverflow="overflow" vert="horz" lIns="0" tIns="0" rIns="0" bIns="0" rtlCol="0">
                          <a:noAutofit/>
                        </wps:bodyPr>
                      </wps:wsp>
                      <wps:wsp>
                        <wps:cNvPr id="19525" name="Shape 19525"/>
                        <wps:cNvSpPr/>
                        <wps:spPr>
                          <a:xfrm>
                            <a:off x="2256341" y="2806977"/>
                            <a:ext cx="132112" cy="0"/>
                          </a:xfrm>
                          <a:custGeom>
                            <a:avLst/>
                            <a:gdLst/>
                            <a:ahLst/>
                            <a:cxnLst/>
                            <a:rect l="0" t="0" r="0" b="0"/>
                            <a:pathLst>
                              <a:path w="132112">
                                <a:moveTo>
                                  <a:pt x="0" y="0"/>
                                </a:moveTo>
                                <a:lnTo>
                                  <a:pt x="132112" y="0"/>
                                </a:lnTo>
                              </a:path>
                            </a:pathLst>
                          </a:custGeom>
                          <a:ln w="12034" cap="rnd">
                            <a:round/>
                          </a:ln>
                        </wps:spPr>
                        <wps:style>
                          <a:lnRef idx="1">
                            <a:srgbClr val="898989"/>
                          </a:lnRef>
                          <a:fillRef idx="0">
                            <a:srgbClr val="000000">
                              <a:alpha val="0"/>
                            </a:srgbClr>
                          </a:fillRef>
                          <a:effectRef idx="0">
                            <a:scrgbClr r="0" g="0" b="0"/>
                          </a:effectRef>
                          <a:fontRef idx="none"/>
                        </wps:style>
                        <wps:bodyPr/>
                      </wps:wsp>
                      <wps:wsp>
                        <wps:cNvPr id="19526" name="Rectangle 19526"/>
                        <wps:cNvSpPr/>
                        <wps:spPr>
                          <a:xfrm>
                            <a:off x="2402691" y="2773887"/>
                            <a:ext cx="355412" cy="87921"/>
                          </a:xfrm>
                          <a:prstGeom prst="rect">
                            <a:avLst/>
                          </a:prstGeom>
                          <a:ln>
                            <a:noFill/>
                          </a:ln>
                        </wps:spPr>
                        <wps:txbx>
                          <w:txbxContent>
                            <w:p w:rsidR="00EE13F6" w:rsidRDefault="002E5BC4">
                              <w:r>
                                <w:rPr>
                                  <w:color w:val="585858"/>
                                  <w:sz w:val="9"/>
                                </w:rPr>
                                <w:t>spread</w:t>
                              </w:r>
                              <w:r>
                                <w:rPr>
                                  <w:color w:val="585858"/>
                                  <w:sz w:val="9"/>
                                </w:rPr>
                                <w:tab/>
                                <w:t>2%</w:t>
                              </w:r>
                            </w:p>
                          </w:txbxContent>
                        </wps:txbx>
                        <wps:bodyPr horzOverflow="overflow" vert="horz" lIns="0" tIns="0" rIns="0" bIns="0" rtlCol="0">
                          <a:noAutofit/>
                        </wps:bodyPr>
                      </wps:wsp>
                      <wps:wsp>
                        <wps:cNvPr id="19527" name="Shape 19527"/>
                        <wps:cNvSpPr/>
                        <wps:spPr>
                          <a:xfrm>
                            <a:off x="2763932" y="2806977"/>
                            <a:ext cx="132112" cy="0"/>
                          </a:xfrm>
                          <a:custGeom>
                            <a:avLst/>
                            <a:gdLst/>
                            <a:ahLst/>
                            <a:cxnLst/>
                            <a:rect l="0" t="0" r="0" b="0"/>
                            <a:pathLst>
                              <a:path w="132112">
                                <a:moveTo>
                                  <a:pt x="0" y="0"/>
                                </a:moveTo>
                                <a:lnTo>
                                  <a:pt x="132112" y="0"/>
                                </a:lnTo>
                              </a:path>
                            </a:pathLst>
                          </a:custGeom>
                          <a:ln w="12034" cap="rnd">
                            <a:round/>
                          </a:ln>
                        </wps:spPr>
                        <wps:style>
                          <a:lnRef idx="1">
                            <a:srgbClr val="212121"/>
                          </a:lnRef>
                          <a:fillRef idx="0">
                            <a:srgbClr val="000000">
                              <a:alpha val="0"/>
                            </a:srgbClr>
                          </a:fillRef>
                          <a:effectRef idx="0">
                            <a:scrgbClr r="0" g="0" b="0"/>
                          </a:effectRef>
                          <a:fontRef idx="none"/>
                        </wps:style>
                        <wps:bodyPr/>
                      </wps:wsp>
                      <wps:wsp>
                        <wps:cNvPr id="19528" name="Rectangle 19528"/>
                        <wps:cNvSpPr/>
                        <wps:spPr>
                          <a:xfrm>
                            <a:off x="2908794" y="2773887"/>
                            <a:ext cx="420149" cy="87921"/>
                          </a:xfrm>
                          <a:prstGeom prst="rect">
                            <a:avLst/>
                          </a:prstGeom>
                          <a:ln>
                            <a:noFill/>
                          </a:ln>
                        </wps:spPr>
                        <wps:txbx>
                          <w:txbxContent>
                            <w:p w:rsidR="00EE13F6" w:rsidRDefault="002E5BC4">
                              <w:r>
                                <w:rPr>
                                  <w:color w:val="585858"/>
                                  <w:sz w:val="9"/>
                                </w:rPr>
                                <w:t>spread</w:t>
                              </w:r>
                              <w:r>
                                <w:rPr>
                                  <w:color w:val="585858"/>
                                  <w:sz w:val="9"/>
                                </w:rPr>
                                <w:tab/>
                                <w:t>2.5%</w:t>
                              </w:r>
                            </w:p>
                          </w:txbxContent>
                        </wps:txbx>
                        <wps:bodyPr horzOverflow="overflow" vert="horz" lIns="0" tIns="0" rIns="0" bIns="0" rtlCol="0">
                          <a:noAutofit/>
                        </wps:bodyPr>
                      </wps:wsp>
                      <wps:wsp>
                        <wps:cNvPr id="19529" name="Shape 19529"/>
                        <wps:cNvSpPr/>
                        <wps:spPr>
                          <a:xfrm>
                            <a:off x="3313241" y="2806977"/>
                            <a:ext cx="139066" cy="0"/>
                          </a:xfrm>
                          <a:custGeom>
                            <a:avLst/>
                            <a:gdLst/>
                            <a:ahLst/>
                            <a:cxnLst/>
                            <a:rect l="0" t="0" r="0" b="0"/>
                            <a:pathLst>
                              <a:path w="139066">
                                <a:moveTo>
                                  <a:pt x="0" y="0"/>
                                </a:moveTo>
                                <a:lnTo>
                                  <a:pt x="139066" y="0"/>
                                </a:lnTo>
                              </a:path>
                            </a:pathLst>
                          </a:custGeom>
                          <a:ln w="12034" cap="rnd">
                            <a:round/>
                          </a:ln>
                        </wps:spPr>
                        <wps:style>
                          <a:lnRef idx="1">
                            <a:srgbClr val="DADADA"/>
                          </a:lnRef>
                          <a:fillRef idx="0">
                            <a:srgbClr val="000000">
                              <a:alpha val="0"/>
                            </a:srgbClr>
                          </a:fillRef>
                          <a:effectRef idx="0">
                            <a:scrgbClr r="0" g="0" b="0"/>
                          </a:effectRef>
                          <a:fontRef idx="none"/>
                        </wps:style>
                        <wps:bodyPr/>
                      </wps:wsp>
                      <wps:wsp>
                        <wps:cNvPr id="19530" name="Rectangle 19530"/>
                        <wps:cNvSpPr/>
                        <wps:spPr>
                          <a:xfrm>
                            <a:off x="3462390" y="2773887"/>
                            <a:ext cx="355412" cy="87921"/>
                          </a:xfrm>
                          <a:prstGeom prst="rect">
                            <a:avLst/>
                          </a:prstGeom>
                          <a:ln>
                            <a:noFill/>
                          </a:ln>
                        </wps:spPr>
                        <wps:txbx>
                          <w:txbxContent>
                            <w:p w:rsidR="00EE13F6" w:rsidRDefault="002E5BC4">
                              <w:r>
                                <w:rPr>
                                  <w:color w:val="585858"/>
                                  <w:sz w:val="9"/>
                                </w:rPr>
                                <w:t>spread</w:t>
                              </w:r>
                              <w:r>
                                <w:rPr>
                                  <w:color w:val="585858"/>
                                  <w:sz w:val="9"/>
                                </w:rPr>
                                <w:tab/>
                                <w:t>3%</w:t>
                              </w:r>
                            </w:p>
                          </w:txbxContent>
                        </wps:txbx>
                        <wps:bodyPr horzOverflow="overflow" vert="horz" lIns="0" tIns="0" rIns="0" bIns="0" rtlCol="0">
                          <a:noAutofit/>
                        </wps:bodyPr>
                      </wps:wsp>
                      <wps:wsp>
                        <wps:cNvPr id="19531" name="Shape 19531"/>
                        <wps:cNvSpPr/>
                        <wps:spPr>
                          <a:xfrm>
                            <a:off x="0" y="0"/>
                            <a:ext cx="4881205" cy="2906260"/>
                          </a:xfrm>
                          <a:custGeom>
                            <a:avLst/>
                            <a:gdLst/>
                            <a:ahLst/>
                            <a:cxnLst/>
                            <a:rect l="0" t="0" r="0" b="0"/>
                            <a:pathLst>
                              <a:path w="4881205" h="2906260">
                                <a:moveTo>
                                  <a:pt x="0" y="0"/>
                                </a:moveTo>
                                <a:lnTo>
                                  <a:pt x="4881205" y="0"/>
                                </a:lnTo>
                                <a:lnTo>
                                  <a:pt x="4881205" y="2906260"/>
                                </a:lnTo>
                                <a:lnTo>
                                  <a:pt x="0" y="2906260"/>
                                </a:lnTo>
                                <a:close/>
                              </a:path>
                            </a:pathLst>
                          </a:custGeom>
                          <a:ln w="6017" cap="flat">
                            <a:round/>
                          </a:ln>
                        </wps:spPr>
                        <wps:style>
                          <a:lnRef idx="1">
                            <a:srgbClr val="D9D9D9"/>
                          </a:lnRef>
                          <a:fillRef idx="0">
                            <a:srgbClr val="000000">
                              <a:alpha val="0"/>
                            </a:srgbClr>
                          </a:fillRef>
                          <a:effectRef idx="0">
                            <a:scrgbClr r="0" g="0" b="0"/>
                          </a:effectRef>
                          <a:fontRef idx="none"/>
                        </wps:style>
                        <wps:bodyPr/>
                      </wps:wsp>
                      <wps:wsp>
                        <wps:cNvPr id="19533" name="Rectangle 19533"/>
                        <wps:cNvSpPr/>
                        <wps:spPr>
                          <a:xfrm>
                            <a:off x="477184" y="54729"/>
                            <a:ext cx="303737" cy="136765"/>
                          </a:xfrm>
                          <a:prstGeom prst="rect">
                            <a:avLst/>
                          </a:prstGeom>
                          <a:ln>
                            <a:noFill/>
                          </a:ln>
                        </wps:spPr>
                        <wps:txbx>
                          <w:txbxContent>
                            <w:p w:rsidR="00EE13F6" w:rsidRDefault="002E5BC4">
                              <w:r>
                                <w:rPr>
                                  <w:b/>
                                  <w:sz w:val="13"/>
                                </w:rPr>
                                <w:t>Short</w:t>
                              </w:r>
                            </w:p>
                          </w:txbxContent>
                        </wps:txbx>
                        <wps:bodyPr horzOverflow="overflow" vert="horz" lIns="0" tIns="0" rIns="0" bIns="0" rtlCol="0">
                          <a:noAutofit/>
                        </wps:bodyPr>
                      </wps:wsp>
                      <wps:wsp>
                        <wps:cNvPr id="19535" name="Rectangle 19535"/>
                        <wps:cNvSpPr/>
                        <wps:spPr>
                          <a:xfrm>
                            <a:off x="720549" y="54729"/>
                            <a:ext cx="5179673" cy="136765"/>
                          </a:xfrm>
                          <a:prstGeom prst="rect">
                            <a:avLst/>
                          </a:prstGeom>
                          <a:ln>
                            <a:noFill/>
                          </a:ln>
                        </wps:spPr>
                        <wps:txbx>
                          <w:txbxContent>
                            <w:p w:rsidR="00EE13F6" w:rsidRDefault="002E5BC4">
                              <w:r>
                                <w:rPr>
                                  <w:b/>
                                  <w:sz w:val="13"/>
                                </w:rPr>
                                <w:t>term</w:t>
                              </w:r>
                              <w:r>
                                <w:rPr>
                                  <w:b/>
                                  <w:sz w:val="13"/>
                                </w:rPr>
                                <w:tab/>
                                <w:t>Equity</w:t>
                              </w:r>
                              <w:r>
                                <w:rPr>
                                  <w:b/>
                                  <w:sz w:val="13"/>
                                </w:rPr>
                                <w:tab/>
                                <w:t>price</w:t>
                              </w:r>
                              <w:r>
                                <w:rPr>
                                  <w:b/>
                                  <w:sz w:val="13"/>
                                </w:rPr>
                                <w:tab/>
                                <w:t>variation</w:t>
                              </w:r>
                              <w:r>
                                <w:rPr>
                                  <w:b/>
                                  <w:sz w:val="13"/>
                                </w:rPr>
                                <w:tab/>
                                <w:t>following</w:t>
                              </w:r>
                              <w:r>
                                <w:rPr>
                                  <w:b/>
                                  <w:sz w:val="13"/>
                                </w:rPr>
                                <w:tab/>
                                <w:t>the</w:t>
                              </w:r>
                              <w:r>
                                <w:rPr>
                                  <w:b/>
                                  <w:sz w:val="13"/>
                                </w:rPr>
                                <w:tab/>
                                <w:t>Introduction</w:t>
                              </w:r>
                              <w:r>
                                <w:rPr>
                                  <w:b/>
                                  <w:sz w:val="13"/>
                                </w:rPr>
                                <w:tab/>
                                <w:t>of</w:t>
                              </w:r>
                              <w:r>
                                <w:rPr>
                                  <w:b/>
                                  <w:sz w:val="13"/>
                                </w:rPr>
                                <w:tab/>
                                <w:t>the</w:t>
                              </w:r>
                              <w:r>
                                <w:rPr>
                                  <w:b/>
                                  <w:sz w:val="13"/>
                                </w:rPr>
                                <w:tab/>
                                <w:t>FTT</w:t>
                              </w:r>
                              <w:r>
                                <w:rPr>
                                  <w:b/>
                                  <w:sz w:val="13"/>
                                </w:rPr>
                                <w:tab/>
                                <w:t>for</w:t>
                              </w:r>
                              <w:r>
                                <w:rPr>
                                  <w:b/>
                                  <w:sz w:val="13"/>
                                </w:rPr>
                                <w:tab/>
                                <w:t>a</w:t>
                              </w:r>
                              <w:r>
                                <w:rPr>
                                  <w:b/>
                                  <w:sz w:val="13"/>
                                </w:rPr>
                                <w:tab/>
                                <w:t>firm</w:t>
                              </w:r>
                              <w:r>
                                <w:rPr>
                                  <w:b/>
                                  <w:sz w:val="13"/>
                                </w:rPr>
                                <w:tab/>
                                <w:t>funded</w:t>
                              </w:r>
                              <w:r>
                                <w:rPr>
                                  <w:b/>
                                  <w:sz w:val="13"/>
                                </w:rPr>
                                <w:tab/>
                                <w:t>through</w:t>
                              </w:r>
                              <w:r>
                                <w:rPr>
                                  <w:b/>
                                  <w:sz w:val="13"/>
                                </w:rPr>
                                <w:tab/>
                                <w:t>fixed</w:t>
                              </w:r>
                              <w:r>
                                <w:rPr>
                                  <w:b/>
                                  <w:sz w:val="13"/>
                                </w:rPr>
                                <w:tab/>
                              </w:r>
                            </w:p>
                          </w:txbxContent>
                        </wps:txbx>
                        <wps:bodyPr horzOverflow="overflow" vert="horz" lIns="0" tIns="0" rIns="0" bIns="0" rtlCol="0">
                          <a:noAutofit/>
                        </wps:bodyPr>
                      </wps:wsp>
                      <wps:wsp>
                        <wps:cNvPr id="19537" name="Rectangle 19537"/>
                        <wps:cNvSpPr/>
                        <wps:spPr>
                          <a:xfrm>
                            <a:off x="588437" y="157020"/>
                            <a:ext cx="5217363" cy="136765"/>
                          </a:xfrm>
                          <a:prstGeom prst="rect">
                            <a:avLst/>
                          </a:prstGeom>
                          <a:ln>
                            <a:noFill/>
                          </a:ln>
                        </wps:spPr>
                        <wps:txbx>
                          <w:txbxContent>
                            <w:p w:rsidR="00EE13F6" w:rsidRDefault="002E5BC4">
                              <w:r>
                                <w:rPr>
                                  <w:b/>
                                  <w:sz w:val="13"/>
                                </w:rPr>
                                <w:t>term</w:t>
                              </w:r>
                              <w:r>
                                <w:rPr>
                                  <w:b/>
                                  <w:sz w:val="13"/>
                                </w:rPr>
                                <w:tab/>
                                <w:t>debt</w:t>
                              </w:r>
                              <w:r>
                                <w:rPr>
                                  <w:b/>
                                  <w:sz w:val="13"/>
                                </w:rPr>
                                <w:tab/>
                                <w:t>maturity</w:t>
                              </w:r>
                              <w:r>
                                <w:rPr>
                                  <w:b/>
                                  <w:sz w:val="13"/>
                                </w:rPr>
                                <w:tab/>
                                <w:t>and</w:t>
                              </w:r>
                              <w:r>
                                <w:rPr>
                                  <w:b/>
                                  <w:sz w:val="13"/>
                                </w:rPr>
                                <w:tab/>
                                <w:t>equity(T=5</w:t>
                              </w:r>
                              <w:r>
                                <w:rPr>
                                  <w:b/>
                                  <w:sz w:val="13"/>
                                </w:rPr>
                                <w:tab/>
                                <w:t>years;ROA=5%;r=1%;sigma=20%;Tax</w:t>
                              </w:r>
                              <w:r>
                                <w:rPr>
                                  <w:b/>
                                  <w:sz w:val="13"/>
                                </w:rPr>
                                <w:tab/>
                                <w:t>rate=35%;FTT</w:t>
                              </w:r>
                              <w:r>
                                <w:rPr>
                                  <w:b/>
                                  <w:sz w:val="13"/>
                                </w:rPr>
                                <w:tab/>
                                <w:t>roundtrip</w:t>
                              </w:r>
                              <w:r>
                                <w:rPr>
                                  <w:b/>
                                  <w:sz w:val="13"/>
                                </w:rPr>
                                <w:tab/>
                              </w:r>
                            </w:p>
                          </w:txbxContent>
                        </wps:txbx>
                        <wps:bodyPr horzOverflow="overflow" vert="horz" lIns="0" tIns="0" rIns="0" bIns="0" rtlCol="0">
                          <a:noAutofit/>
                        </wps:bodyPr>
                      </wps:wsp>
                      <wps:wsp>
                        <wps:cNvPr id="19538" name="Rectangle 19538"/>
                        <wps:cNvSpPr/>
                        <wps:spPr>
                          <a:xfrm>
                            <a:off x="2319804" y="265329"/>
                            <a:ext cx="586098" cy="136766"/>
                          </a:xfrm>
                          <a:prstGeom prst="rect">
                            <a:avLst/>
                          </a:prstGeom>
                          <a:ln>
                            <a:noFill/>
                          </a:ln>
                        </wps:spPr>
                        <wps:txbx>
                          <w:txbxContent>
                            <w:p w:rsidR="00EE13F6" w:rsidRDefault="002E5BC4">
                              <w:r>
                                <w:rPr>
                                  <w:b/>
                                  <w:sz w:val="13"/>
                                </w:rPr>
                                <w:t>rate=0,2%)</w:t>
                              </w:r>
                            </w:p>
                          </w:txbxContent>
                        </wps:txbx>
                        <wps:bodyPr horzOverflow="overflow" vert="horz" lIns="0" tIns="0" rIns="0" bIns="0" rtlCol="0">
                          <a:noAutofit/>
                        </wps:bodyPr>
                      </wps:wsp>
                      <wps:wsp>
                        <wps:cNvPr id="19539" name="Rectangle 19539"/>
                        <wps:cNvSpPr/>
                        <wps:spPr>
                          <a:xfrm>
                            <a:off x="2354364" y="2349817"/>
                            <a:ext cx="642912" cy="107460"/>
                          </a:xfrm>
                          <a:prstGeom prst="rect">
                            <a:avLst/>
                          </a:prstGeom>
                          <a:ln>
                            <a:noFill/>
                          </a:ln>
                        </wps:spPr>
                        <wps:txbx>
                          <w:txbxContent>
                            <w:p w:rsidR="00EE13F6" w:rsidRDefault="002E5BC4">
                              <w:r>
                                <w:rPr>
                                  <w:b/>
                                  <w:sz w:val="10"/>
                                </w:rPr>
                                <w:t>Firm's</w:t>
                              </w:r>
                              <w:r>
                                <w:rPr>
                                  <w:b/>
                                  <w:sz w:val="10"/>
                                </w:rPr>
                                <w:tab/>
                                <w:t>leverage</w:t>
                              </w:r>
                            </w:p>
                          </w:txbxContent>
                        </wps:txbx>
                        <wps:bodyPr horzOverflow="overflow" vert="horz" lIns="0" tIns="0" rIns="0" bIns="0" rtlCol="0">
                          <a:noAutofit/>
                        </wps:bodyPr>
                      </wps:wsp>
                      <wps:wsp>
                        <wps:cNvPr id="20052" name="Rectangle 20052"/>
                        <wps:cNvSpPr/>
                        <wps:spPr>
                          <a:xfrm>
                            <a:off x="497807" y="3122872"/>
                            <a:ext cx="5350359" cy="182187"/>
                          </a:xfrm>
                          <a:prstGeom prst="rect">
                            <a:avLst/>
                          </a:prstGeom>
                          <a:ln>
                            <a:noFill/>
                          </a:ln>
                        </wps:spPr>
                        <wps:txbx>
                          <w:txbxContent>
                            <w:p w:rsidR="00EE13F6" w:rsidRDefault="002E5BC4">
                              <w:r>
                                <w:rPr>
                                  <w:b/>
                                  <w:color w:val="585858"/>
                                  <w:sz w:val="18"/>
                                </w:rPr>
                                <w:t>Short</w:t>
                              </w:r>
                              <w:r>
                                <w:rPr>
                                  <w:b/>
                                  <w:color w:val="585858"/>
                                  <w:sz w:val="18"/>
                                </w:rPr>
                                <w:tab/>
                                <w:t>Term</w:t>
                              </w:r>
                              <w:r>
                                <w:rPr>
                                  <w:b/>
                                  <w:color w:val="585858"/>
                                  <w:sz w:val="18"/>
                                </w:rPr>
                                <w:tab/>
                                <w:t>Impact</w:t>
                              </w:r>
                              <w:r>
                                <w:rPr>
                                  <w:b/>
                                  <w:color w:val="585858"/>
                                  <w:sz w:val="18"/>
                                </w:rPr>
                                <w:tab/>
                                <w:t>of</w:t>
                              </w:r>
                              <w:r>
                                <w:rPr>
                                  <w:b/>
                                  <w:color w:val="585858"/>
                                  <w:sz w:val="18"/>
                                </w:rPr>
                                <w:tab/>
                                <w:t>the</w:t>
                              </w:r>
                              <w:r>
                                <w:rPr>
                                  <w:b/>
                                  <w:color w:val="585858"/>
                                  <w:sz w:val="18"/>
                                </w:rPr>
                                <w:tab/>
                                <w:t>FTT</w:t>
                              </w:r>
                              <w:r>
                                <w:rPr>
                                  <w:b/>
                                  <w:color w:val="585858"/>
                                  <w:sz w:val="18"/>
                                </w:rPr>
                                <w:tab/>
                                <w:t>on</w:t>
                              </w:r>
                              <w:r>
                                <w:rPr>
                                  <w:b/>
                                  <w:color w:val="585858"/>
                                  <w:sz w:val="18"/>
                                </w:rPr>
                                <w:tab/>
                              </w:r>
                              <w:r>
                                <w:rPr>
                                  <w:b/>
                                  <w:color w:val="585858"/>
                                  <w:sz w:val="18"/>
                                </w:rPr>
                                <w:t>Theoretical</w:t>
                              </w:r>
                              <w:r>
                                <w:rPr>
                                  <w:b/>
                                  <w:color w:val="585858"/>
                                  <w:sz w:val="18"/>
                                </w:rPr>
                                <w:tab/>
                                <w:t>Equity</w:t>
                              </w:r>
                              <w:r>
                                <w:rPr>
                                  <w:b/>
                                  <w:color w:val="585858"/>
                                  <w:sz w:val="18"/>
                                </w:rPr>
                                <w:tab/>
                                <w:t>Share</w:t>
                              </w:r>
                              <w:r>
                                <w:rPr>
                                  <w:b/>
                                  <w:color w:val="585858"/>
                                  <w:sz w:val="18"/>
                                </w:rPr>
                                <w:tab/>
                                <w:t>Price</w:t>
                              </w:r>
                              <w:r>
                                <w:rPr>
                                  <w:b/>
                                  <w:color w:val="585858"/>
                                  <w:sz w:val="18"/>
                                </w:rPr>
                                <w:tab/>
                              </w:r>
                              <w:r>
                                <w:rPr>
                                  <w:b/>
                                  <w:color w:val="585858"/>
                                  <w:sz w:val="18"/>
                                </w:rPr>
                                <w:tab/>
                                <w:t>Depending</w:t>
                              </w:r>
                              <w:r>
                                <w:rPr>
                                  <w:b/>
                                  <w:color w:val="585858"/>
                                  <w:sz w:val="18"/>
                                </w:rPr>
                                <w:tab/>
                                <w:t>Upon</w:t>
                              </w:r>
                              <w:r>
                                <w:rPr>
                                  <w:b/>
                                  <w:color w:val="585858"/>
                                  <w:sz w:val="18"/>
                                </w:rPr>
                                <w:tab/>
                                <w:t>Debt</w:t>
                              </w:r>
                              <w:r>
                                <w:rPr>
                                  <w:b/>
                                  <w:color w:val="585858"/>
                                  <w:sz w:val="18"/>
                                </w:rPr>
                                <w:tab/>
                              </w:r>
                            </w:p>
                          </w:txbxContent>
                        </wps:txbx>
                        <wps:bodyPr horzOverflow="overflow" vert="horz" lIns="0" tIns="0" rIns="0" bIns="0" rtlCol="0">
                          <a:noAutofit/>
                        </wps:bodyPr>
                      </wps:wsp>
                    </wpg:wgp>
                  </a:graphicData>
                </a:graphic>
              </wp:inline>
            </w:drawing>
          </mc:Choice>
          <mc:Fallback>
            <w:pict>
              <v:group id="Group 204095" o:spid="_x0000_s1387" style="width:384.35pt;height:256.7pt;mso-position-horizontal-relative:char;mso-position-vertical-relative:line" coordsize="48812,3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">
                <v:shape id="Shape 19451" o:spid="_x0000_s1388" style="position:absolute;left:6049;top:22142;width:40329;height:0;visibility:visible;mso-wrap-style:square;v-text-anchor:top" coordsize="4032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5iskA&#10;AADeAAAADwAAAGRycy9kb3ducmV2LnhtbESP0U7CQBBF30n8h82Y+GJgixEjhYWYikRjfBD4gEl3&#10;bCvd2aa7QMvXOyQmvM3N3HPnznzZuVodqQ2VZwPjUQKKOPe24sLAbvs2fAYVIrLF2jMZ6CnAcnEz&#10;mGNq/Ym/6biJhZIQDikaKGNsUq1DXpLDMPINsex+fOswimwLbVs8Sbir9UOSPGmHFcuFEhvKSsr3&#10;m4OTGrv75GO//uz711W2/ZVyX+dpZszdbfcyAxWpi1fzP/1uhZs+TsZweUdm0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UZ5iskAAADeAAAADwAAAAAAAAAAAAAAAACYAgAA&#10;ZHJzL2Rvd25yZXYueG1sUEsFBgAAAAAEAAQA9QAAAI4DAAAAAA==&#10;" path="m,l4032904,e" filled="f" strokecolor="#d9d9d9" strokeweight=".16714mm">
                  <v:path arrowok="t" textboxrect="0,0,4032904,0"/>
                </v:shape>
                <v:shape id="Shape 19452" o:spid="_x0000_s1389" style="position:absolute;left:6049;top:20518;width:40329;height:0;visibility:visible;mso-wrap-style:square;v-text-anchor:top" coordsize="4032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n/ckA&#10;AADeAAAADwAAAGRycy9kb3ducmV2LnhtbESP0U7CQBBF30n8h82Y8GJgKxEjhYWYokRjfBD4gEl3&#10;bCvd2aa7QsvXOyQmvM3N3HPnzmLVuVodqQ2VZwP34wQUce5txYWB/e519AQqRGSLtWcy0FOA1fJm&#10;sMDU+hN/0XEbCyUhHFI0UMbYpFqHvCSHYewbYtl9+9ZhFNkW2rZ4knBX60mSPGqHFcuFEhvKSsoP&#10;218nNfZ3yfth89H365ds9yPlPs+zzJjhbfc8BxWpi1fzP/1mhZs9TCdweU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ZTn/ckAAADeAAAADwAAAAAAAAAAAAAAAACYAgAA&#10;ZHJzL2Rvd25yZXYueG1sUEsFBgAAAAAEAAQA9QAAAI4DAAAAAA==&#10;" path="m,l4032904,e" filled="f" strokecolor="#d9d9d9" strokeweight=".16714mm">
                  <v:path arrowok="t" textboxrect="0,0,4032904,0"/>
                </v:shape>
                <v:shape id="Shape 19453" o:spid="_x0000_s1390" style="position:absolute;left:6049;top:18953;width:40329;height:0;visibility:visible;mso-wrap-style:square;v-text-anchor:top" coordsize="4032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CZskA&#10;AADeAAAADwAAAGRycy9kb3ducmV2LnhtbESP3UrDQBCF7wXfYRnBG2k3/pU27bZItEWRXvTnAYbs&#10;mMRmZ0N2bZM+fUcQvJvDnO/Mmdmic7U6Uhsqzwbuhwko4tzbigsD+91yMAYVIrLF2jMZ6CnAYn59&#10;NcPU+hNv6LiNhZIQDikaKGNsUq1DXpLDMPQNsey+fOswimwLbVs8Sbir9UOSjLTDiuVCiQ1lJeWH&#10;7Y+TGvu75OOw+uz717ds9y3l1udJZsztTfcyBRWpi//mP/rdCjd5en6E33dkBj2/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hCZskAAADeAAAADwAAAAAAAAAAAAAAAACYAgAA&#10;ZHJzL2Rvd25yZXYueG1sUEsFBgAAAAAEAAQA9QAAAI4DAAAAAA==&#10;" path="m,l4032904,e" filled="f" strokecolor="#d9d9d9" strokeweight=".16714mm">
                  <v:path arrowok="t" textboxrect="0,0,4032904,0"/>
                </v:shape>
                <v:shape id="Shape 19454" o:spid="_x0000_s1391" style="position:absolute;left:6049;top:15764;width:40329;height:0;visibility:visible;mso-wrap-style:square;v-text-anchor:top" coordsize="4032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aEskA&#10;AADeAAAADwAAAGRycy9kb3ducmV2LnhtbESP0U7CQBBF30n8h82Y8EJgq0EjhYWYCkZjfBD4gEl3&#10;bCvd2aa7QOvXOyYkvM3N3HPnzmLVuVqdqA2VZwN3kwQUce5txYWB/W4zfgIVIrLF2jMZ6CnAankz&#10;WGBq/Zm/6LSNhZIQDikaKGNsUq1DXpLDMPENsey+feswimwLbVs8S7ir9X2SPGqHFcuFEhvKSsoP&#10;26OTGvtR8n54/ej7l3W2+5Fyn7+zzJjhbfc8BxWpi1fzhX6zws2mD1P4f0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HaEskAAADeAAAADwAAAAAAAAAAAAAAAACYAgAA&#10;ZHJzL2Rvd25yZXYueG1sUEsFBgAAAAAEAAQA9QAAAI4DAAAAAA==&#10;" path="m,l4032904,e" filled="f" strokecolor="#d9d9d9" strokeweight=".16714mm">
                  <v:path arrowok="t" textboxrect="0,0,4032904,0"/>
                </v:shape>
                <v:shape id="Shape 19455" o:spid="_x0000_s1392" style="position:absolute;left:6049;top:14140;width:40329;height:0;visibility:visible;mso-wrap-style:square;v-text-anchor:top" coordsize="4032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1/ickA&#10;AADeAAAADwAAAGRycy9kb3ducmV2LnhtbESP3UrDQBCF7wXfYRmhN9JuLFbatNsiqYoiXvTnAYbs&#10;NEmbnQ3ZbZv49I4geDeHOd+ZM4tV52p1oTZUng08jBJQxLm3FRcG9rvX4RRUiMgWa89koKcAq+Xt&#10;zQJT66+8ocs2FkpCOKRooIyxSbUOeUkOw8g3xLI7+NZhFNkW2rZ4lXBX63GSPGmHFcuFEhvKSspP&#10;27OTGvv75OP09tn365dsd5RyX9+zzJjBXfc8BxWpi//mP/rdCjd7nEzg9x2ZQS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n1/ickAAADeAAAADwAAAAAAAAAAAAAAAACYAgAA&#10;ZHJzL2Rvd25yZXYueG1sUEsFBgAAAAAEAAQA9QAAAI4DAAAAAA==&#10;" path="m,l4032904,e" filled="f" strokecolor="#d9d9d9" strokeweight=".16714mm">
                  <v:path arrowok="t" textboxrect="0,0,4032904,0"/>
                </v:shape>
                <v:shape id="Shape 19456" o:spid="_x0000_s1393" style="position:absolute;left:6049;top:12575;width:40329;height:0;visibility:visible;mso-wrap-style:square;v-text-anchor:top" coordsize="4032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skA&#10;AADeAAAADwAAAGRycy9kb3ducmV2LnhtbESP0U7CQBBF30n8h82Y8EJgq1EihYWYCgZjfBD4gEl3&#10;bCvd2aa7QOvXOyQmvs3N3HPnzmLVuVqdqQ2VZwN3kwQUce5txYWBw34zfgIVIrLF2jMZ6CnAankz&#10;WGBq/YU/6byLhZIQDikaKGNsUq1DXpLDMPENsey+fOswimwLbVu8SLir9X2STLXDiuVCiQ1lJeXH&#10;3clJjcMoeTu+vvf9yzrbf0u5j59ZZszwtnueg4rUxX/zH721ws0eHqdwfUdm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h/skAAADeAAAADwAAAAAAAAAAAAAAAACYAgAA&#10;ZHJzL2Rvd25yZXYueG1sUEsFBgAAAAAEAAQA9QAAAI4DAAAAAA==&#10;" path="m,l4032904,e" filled="f" strokecolor="#d9d9d9" strokeweight=".16714mm">
                  <v:path arrowok="t" textboxrect="0,0,4032904,0"/>
                </v:shape>
                <v:shape id="Shape 19457" o:spid="_x0000_s1394" style="position:absolute;left:6049;top:10951;width:40329;height:0;visibility:visible;mso-wrap-style:square;v-text-anchor:top" coordsize="4032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EZckA&#10;AADeAAAADwAAAGRycy9kb3ducmV2LnhtbESP3UrDQBCF7wXfYRnBG2k3ito27bZItEWRXvTnAYbs&#10;mMRmZ0N2bZM+fUcQvJvDnO/Mmdmic7U6Uhsqzwbuhwko4tzbigsD+91yMAYVIrLF2jMZ6CnAYn59&#10;NcPU+hNv6LiNhZIQDikaKGNsUq1DXpLDMPQNsey+fOswimwLbVs8Sbir9UOSPGuHFcuFEhvKSsoP&#10;2x8nNfZ3ycdh9dn3r2/Z7lvKrc+TzJjbm+5lCipSF//Nf/S7FW7y+DSC33dkBj2/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NEZckAAADeAAAADwAAAAAAAAAAAAAAAACYAgAA&#10;ZHJzL2Rvd25yZXYueG1sUEsFBgAAAAAEAAQA9QAAAI4DAAAAAA==&#10;" path="m,l4032904,e" filled="f" strokecolor="#d9d9d9" strokeweight=".16714mm">
                  <v:path arrowok="t" textboxrect="0,0,4032904,0"/>
                </v:shape>
                <v:shape id="Shape 19458" o:spid="_x0000_s1395" style="position:absolute;left:6049;top:9386;width:40329;height:0;visibility:visible;mso-wrap-style:square;v-text-anchor:top" coordsize="4032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QF8kA&#10;AADeAAAADwAAAGRycy9kb3ducmV2LnhtbESPzW7CQAyE70i8w8pIvVSwaUUrCCyoSlvUquqBnwew&#10;sm6SkvVG2S0kPD0+VOJmazwzn5frztXqRG2oPBt4mCSgiHNvKy4MHPbv4xmoEJEt1p7JQE8B1qvh&#10;YImp9Wfe0mkXCyUhHFI0UMbYpFqHvCSHYeIbYtF+fOswytoW2rZ4lnBX68ckedYOK5aGEhvKSsqP&#10;uz8nGIf75PO4+er717ds/ytw35d5ZszdqHtZgIrUxdvxv/vDim8+fRJeeUdm0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zQF8kAAADeAAAADwAAAAAAAAAAAAAAAACYAgAA&#10;ZHJzL2Rvd25yZXYueG1sUEsFBgAAAAAEAAQA9QAAAI4DAAAAAA==&#10;" path="m,l4032904,e" filled="f" strokecolor="#d9d9d9" strokeweight=".16714mm">
                  <v:path arrowok="t" textboxrect="0,0,4032904,0"/>
                </v:shape>
                <v:shape id="Shape 19459" o:spid="_x0000_s1396" style="position:absolute;left:6049;top:7762;width:40329;height:0;visibility:visible;mso-wrap-style:square;v-text-anchor:top" coordsize="4032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1jMkA&#10;AADeAAAADwAAAGRycy9kb3ducmV2LnhtbESP0UrDQBBF3wX/YRmhL2I3LVVM7LZIaqVFfLDtBwzZ&#10;MYnNzobs2iZ+fUcQfJvL3HPnznzZu0adqAu1ZwOTcQKKuPC25tLAYb++ewQVIrLFxjMZGCjAcnF9&#10;NcfM+jN/0GkXSyUhHDI0UMXYZlqHoiKHYexbYtl9+s5hFNmV2nZ4lnDX6GmSPGiHNcuFClvKKyqO&#10;u28nNQ63yfb4+jYMq5d8/yXl3n/S3JjRTf/8BCpSH//Nf/TGCpfO7lP4fUdm0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zB1jMkAAADeAAAADwAAAAAAAAAAAAAAAACYAgAA&#10;ZHJzL2Rvd25yZXYueG1sUEsFBgAAAAAEAAQA9QAAAI4DAAAAAA==&#10;" path="m,l4032904,e" filled="f" strokecolor="#d9d9d9" strokeweight=".16714mm">
                  <v:path arrowok="t" textboxrect="0,0,4032904,0"/>
                </v:shape>
                <v:shape id="Shape 19460" o:spid="_x0000_s1397" style="position:absolute;left:6049;top:6197;width:40329;height:0;visibility:visible;mso-wrap-style:square;v-text-anchor:top" coordsize="4032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WrMUA&#10;AADeAAAADwAAAGRycy9kb3ducmV2LnhtbERPzWrCQBC+F3yHZQQvpW6UIpq6ikRbLKUHfx5gyE6T&#10;1OxsyG418ek7h0Jv8zHf73LduVpdqQ2VZwOTcQKKOPe24sLA+fT6NAcVIrLF2jMZ6CnAejV4WGJq&#10;/Y0PdD3GQokJhxQNlDE2qdYhL8lhGPuGWH5fvnUYBbaFti3exNzVepokM+2wYkkosaGspPxy/HFS&#10;4/yYvF/ePvp+u8tO31Lu877IjBkNu80LqEhd/Cf/qfdWdIvnmQyQOXKD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hasxQAAAN4AAAAPAAAAAAAAAAAAAAAAAJgCAABkcnMv&#10;ZG93bnJldi54bWxQSwUGAAAAAAQABAD1AAAAigMAAAAA&#10;" path="m,l4032904,e" filled="f" strokecolor="#d9d9d9" strokeweight=".16714mm">
                  <v:path arrowok="t" textboxrect="0,0,4032904,0"/>
                </v:shape>
                <v:shape id="Shape 19461" o:spid="_x0000_s1398" style="position:absolute;left:10499;top:6197;width:0;height:15945;visibility:visible;mso-wrap-style:square;v-text-anchor:top" coordsize="0,159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f1scA&#10;AADeAAAADwAAAGRycy9kb3ducmV2LnhtbESPQWvCQBCF7wX/wzKCl1I3WqttdBUVCl61vXgbspNs&#10;SHY2ZFcT/fXdguBthvfmfW9Wm97W4kqtLx0rmIwTEMSZ0yUXCn5/vt8+QfiArLF2TApu5GGzHrys&#10;MNWu4yNdT6EQMYR9igpMCE0qpc8MWfRj1xBHLXetxRDXtpC6xS6G21pOk2QuLZYcCQYb2hvKqtPF&#10;RsjH/XB8Py+yqcmrrs9fy121uyk1GvbbJYhAfXiaH9cHHet/zeYT+H8nzi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eX9bHAAAA3gAAAA8AAAAAAAAAAAAAAAAAmAIAAGRy&#10;cy9kb3ducmV2LnhtbFBLBQYAAAAABAAEAPUAAACMAwAAAAA=&#10;" path="m,l,1594532e" filled="f" strokecolor="#d9d9d9" strokeweight=".16714mm">
                  <v:path arrowok="t" textboxrect="0,0,0,1594532"/>
                </v:shape>
                <v:shape id="Shape 19462" o:spid="_x0000_s1399" style="position:absolute;left:15019;top:6197;width:0;height:15945;visibility:visible;mso-wrap-style:square;v-text-anchor:top" coordsize="0,159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BocgA&#10;AADeAAAADwAAAGRycy9kb3ducmV2LnhtbESPT2vCQBDF70K/wzKFXkQ3xta2qavUguDVPxdvQ3aS&#10;DcnOhuxqYj+9KxR6m+G9eb83y/VgG3GlzleOFcymCQji3OmKSwWn43byAcIHZI2NY1JwIw/r1dNo&#10;iZl2Pe/pegiliCHsM1RgQmgzKX1uyKKfupY4aoXrLIa4dqXUHfYx3DYyTZKFtFhxJBhs6cdQXh8u&#10;NkLefnf7+fk9T01R90Mxrjb15qbUy/Pw/QUi0BD+zX/XOx3rf74uUni8E2e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MGhyAAAAN4AAAAPAAAAAAAAAAAAAAAAAJgCAABk&#10;cnMvZG93bnJldi54bWxQSwUGAAAAAAQABAD1AAAAjQMAAAAA&#10;" path="m,l,1594532e" filled="f" strokecolor="#d9d9d9" strokeweight=".16714mm">
                  <v:path arrowok="t" textboxrect="0,0,0,1594532"/>
                </v:shape>
                <v:shape id="Shape 19463" o:spid="_x0000_s1400" style="position:absolute;left:19469;top:6197;width:0;height:15945;visibility:visible;mso-wrap-style:square;v-text-anchor:top" coordsize="0,159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kOsgA&#10;AADeAAAADwAAAGRycy9kb3ducmV2LnhtbESPQWvCQBCF74L/YZlCL1I3amvb1E2oguBV20tvQ3aS&#10;DcnOhuzWxP56Vyh4m+G9ed+bTT7aVpyp97VjBYt5AoK4cLrmSsH31/7pDYQPyBpbx6TgQh7ybDrZ&#10;YKrdwEc6n0IlYgj7FBWYELpUSl8YsujnriOOWul6iyGufSV1j0MMt61cJslaWqw5Egx2tDNUNKdf&#10;GyEvf4fj6ue1WJqyGcZyVm+b7UWpx4fx8wNEoDHczf/XBx3rvz+vV3B7J84g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GQ6yAAAAN4AAAAPAAAAAAAAAAAAAAAAAJgCAABk&#10;cnMvZG93bnJldi54bWxQSwUGAAAAAAQABAD1AAAAjQMAAAAA&#10;" path="m,l,1594532e" filled="f" strokecolor="#d9d9d9" strokeweight=".16714mm">
                  <v:path arrowok="t" textboxrect="0,0,0,1594532"/>
                </v:shape>
                <v:shape id="Shape 19464" o:spid="_x0000_s1401" style="position:absolute;left:23988;top:6197;width:0;height:15945;visibility:visible;mso-wrap-style:square;v-text-anchor:top" coordsize="0,159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8TscA&#10;AADeAAAADwAAAGRycy9kb3ducmV2LnhtbESPQWvCQBCF70L/wzKCF9FNrdU2ukotFLxqvXgbspNs&#10;SHY2ZLcm+uu7guBthvfmfW/W297W4kKtLx0reJ0mIIgzp0suFJx+fyYfIHxA1lg7JgVX8rDdvAzW&#10;mGrX8YEux1CIGMI+RQUmhCaV0meGLPqpa4ijlrvWYohrW0jdYhfDbS1nSbKQFkuOBIMNfRvKquOf&#10;jZD32/7wdl5mM5NXXZ+Py121uyo1GvZfKxCB+vA0P673Otb/nC/mcH8nzi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p/E7HAAAA3gAAAA8AAAAAAAAAAAAAAAAAmAIAAGRy&#10;cy9kb3ducmV2LnhtbFBLBQYAAAAABAAEAPUAAACMAwAAAAA=&#10;" path="m,l,1594532e" filled="f" strokecolor="#d9d9d9" strokeweight=".16714mm">
                  <v:path arrowok="t" textboxrect="0,0,0,1594532"/>
                </v:shape>
                <v:shape id="Shape 19465" o:spid="_x0000_s1402" style="position:absolute;left:28438;top:6197;width:0;height:15945;visibility:visible;mso-wrap-style:square;v-text-anchor:top" coordsize="0,159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ccA&#10;AADeAAAADwAAAGRycy9kb3ducmV2LnhtbESPT2vCQBDF74V+h2UKXkrd+Lc1uooWBK/aXnobspNs&#10;SHY2ZFcT++ldQfA2w3vzfm9Wm97W4kKtLx0rGA0TEMSZ0yUXCn5/9h9fIHxA1lg7JgVX8rBZv76s&#10;MNWu4yNdTqEQMYR9igpMCE0qpc8MWfRD1xBHLXetxRDXtpC6xS6G21qOk2QuLZYcCQYb+jaUVaez&#10;jZDZ/+E4+fvMxiavuj5/L3fV7qrU4K3fLkEE6sPT/Lg+6Fh/MZ3P4P5On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dXHAAAA3gAAAA8AAAAAAAAAAAAAAAAAmAIAAGRy&#10;cy9kb3ducmV2LnhtbFBLBQYAAAAABAAEAPUAAACMAwAAAAA=&#10;" path="m,l,1594532e" filled="f" strokecolor="#d9d9d9" strokeweight=".16714mm">
                  <v:path arrowok="t" textboxrect="0,0,0,1594532"/>
                </v:shape>
                <v:shape id="Shape 19466" o:spid="_x0000_s1403" style="position:absolute;left:32958;top:6197;width:0;height:15945;visibility:visible;mso-wrap-style:square;v-text-anchor:top" coordsize="0,159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HosgA&#10;AADeAAAADwAAAGRycy9kb3ducmV2LnhtbESPT2vCQBDF74LfYRmhF6kbbRs1ukotFLz659LbkJ1k&#10;Q7KzIbua2E/fLRR6m+G9eb832/1gG3GnzleOFcxnCQji3OmKSwXXy+fzCoQPyBobx6TgQR72u/Fo&#10;i5l2PZ/ofg6liCHsM1RgQmgzKX1uyKKfuZY4aoXrLIa4dqXUHfYx3DZykSSptFhxJBhs6cNQXp9v&#10;NkLevo+nl69lvjBF3Q/FtDrUh4dST5PhfQMi0BD+zX/XRx3rr1/TFH7fiTPI3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8eiyAAAAN4AAAAPAAAAAAAAAAAAAAAAAJgCAABk&#10;cnMvZG93bnJldi54bWxQSwUGAAAAAAQABAD1AAAAjQMAAAAA&#10;" path="m,l,1594532e" filled="f" strokecolor="#d9d9d9" strokeweight=".16714mm">
                  <v:path arrowok="t" textboxrect="0,0,0,1594532"/>
                </v:shape>
                <v:shape id="Shape 19467" o:spid="_x0000_s1404" style="position:absolute;left:37408;top:6197;width:0;height:15945;visibility:visible;mso-wrap-style:square;v-text-anchor:top" coordsize="0,159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iOccA&#10;AADeAAAADwAAAGRycy9kb3ducmV2LnhtbESPT2vCQBDF74V+h2UKXopu/FNtU1fRguBV66W3ITvJ&#10;hmRnQ3Y1sZ/eFQRvM7w37/dmue5tLS7U+tKxgvEoAUGcOV1yoeD0uxt+gvABWWPtmBRcycN69fqy&#10;xFS7jg90OYZCxBD2KSowITSplD4zZNGPXEMctdy1FkNc20LqFrsYbms5SZK5tFhyJBhs6MdQVh3P&#10;NkI+/veH6d8im5i86vr8vdxW26tSg7d+8w0iUB+e5sf1Xsf6X7P5Au7vxBn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7YjnHAAAA3gAAAA8AAAAAAAAAAAAAAAAAmAIAAGRy&#10;cy9kb3ducmV2LnhtbFBLBQYAAAAABAAEAPUAAACMAwAAAAA=&#10;" path="m,l,1594532e" filled="f" strokecolor="#d9d9d9" strokeweight=".16714mm">
                  <v:path arrowok="t" textboxrect="0,0,0,1594532"/>
                </v:shape>
                <v:shape id="Shape 19468" o:spid="_x0000_s1405" style="position:absolute;left:41928;top:6197;width:0;height:15945;visibility:visible;mso-wrap-style:square;v-text-anchor:top" coordsize="0,159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2S8YA&#10;AADeAAAADwAAAGRycy9kb3ducmV2LnhtbESPTW/CMAyG75P2HyJP2mUaKWywUQhoIE3iCttlN6tx&#10;m6qNUzWBFn79fJi0my2/H4/X29G36kJ9rAMbmE4yUMRFsDVXBr6/Pp/fQcWEbLENTAauFGG7ub9b&#10;Y27DwEe6nFKlJIRjjgZcSl2udSwceYyT0BHLrQy9xyRrX2nb4yDhvtWzLFtojzVLg8OO9o6K5nT2&#10;UjK/HY4vP2/FzJXNMJZP9a7ZXY15fBg/VqASjelf/Oc+WMFfvi6E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T2S8YAAADeAAAADwAAAAAAAAAAAAAAAACYAgAAZHJz&#10;L2Rvd25yZXYueG1sUEsFBgAAAAAEAAQA9QAAAIsDAAAAAA==&#10;" path="m,l,1594532e" filled="f" strokecolor="#d9d9d9" strokeweight=".16714mm">
                  <v:path arrowok="t" textboxrect="0,0,0,1594532"/>
                </v:shape>
                <v:shape id="Shape 19469" o:spid="_x0000_s1406" style="position:absolute;left:46378;top:6197;width:0;height:15945;visibility:visible;mso-wrap-style:square;v-text-anchor:top" coordsize="0,159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0McA&#10;AADeAAAADwAAAGRycy9kb3ducmV2LnhtbESPQWvCQBCF7wX/wzKCl6KbqrU1dRUtCF61XnobspNs&#10;SHY2ZLcm9te7guBthvfmfW9Wm97W4kKtLx0reJskIIgzp0suFJx/9uNPED4ga6wdk4IredisBy8r&#10;TLXr+EiXUyhEDGGfogITQpNK6TNDFv3ENcRRy11rMcS1LaRusYvhtpbTJFlIiyVHgsGGvg1l1enP&#10;Rsj7/+E4+/3Ipiavuj5/LXfV7qrUaNhvv0AE6sPT/Lg+6Fh/OV8s4f5On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oU9DHAAAA3gAAAA8AAAAAAAAAAAAAAAAAmAIAAGRy&#10;cy9kb3ducmV2LnhtbFBLBQYAAAAABAAEAPUAAACMAwAAAAA=&#10;" path="m,l,1594532e" filled="f" strokecolor="#d9d9d9" strokeweight=".16714mm">
                  <v:path arrowok="t" textboxrect="0,0,0,1594532"/>
                </v:shape>
                <v:shape id="Shape 19470" o:spid="_x0000_s1407" style="position:absolute;left:6049;top:6197;width:0;height:15945;visibility:visible;mso-wrap-style:square;v-text-anchor:top" coordsize="1,159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7tMUA&#10;AADeAAAADwAAAGRycy9kb3ducmV2LnhtbESPT0/DMAzF70h8h8hI3FjKhGB0yybYBBrHdRNnq/Ha&#10;isapkqx/vj0+TNrNlp/fe7/VZnSt6inExrOB51kGirj0tuHKwOn49bQAFROyxdYzGZgowmZ9f7fC&#10;3PqBD9QXqVJiwjFHA3VKXa51LGtyGGe+I5bb2QeHSdZQaRtwEHPX6nmWvWqHDUtCjR1tayr/iosz&#10;kMLpc/D7793vFKr2Jxa9z6bemMeH8WMJKtGYbuLr995K/feXNwEQHJ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Xu0xQAAAN4AAAAPAAAAAAAAAAAAAAAAAJgCAABkcnMv&#10;ZG93bnJldi54bWxQSwUGAAAAAAQABAD1AAAAigMAAAAA&#10;" path="m,1594532l1,e" filled="f" strokecolor="#bfbfbf" strokeweight=".16714mm">
                  <v:path arrowok="t" textboxrect="0,0,1,1594532"/>
                </v:shape>
                <v:shape id="Shape 19471" o:spid="_x0000_s1408" style="position:absolute;left:6049;top:17329;width:40329;height:0;visibility:visible;mso-wrap-style:square;v-text-anchor:top" coordsize="4032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6wJcUA&#10;AADeAAAADwAAAGRycy9kb3ducmV2LnhtbERPTUvDQBC9F/wPywhepNlUitbYbSkpgj14MIrobciO&#10;2WB2NmQnbfz3riD0No/3Oevt5Dt1pCG2gQ0sshwUcR1sy42Bt9fH+QpUFGSLXWAy8EMRtpuL2RoL&#10;G078QsdKGpVCOBZowIn0hdaxduQxZqEnTtxXGDxKgkOj7YCnFO47fZPnt9pjy6nBYU+lo/q7Gr0B&#10;iXudu8Ny+tzLx3tb7q6fy8NozNXltHsAJTTJWfzvfrJp/v3ybgF/76Qb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rAlxQAAAN4AAAAPAAAAAAAAAAAAAAAAAJgCAABkcnMv&#10;ZG93bnJldi54bWxQSwUGAAAAAAQABAD1AAAAigMAAAAA&#10;" path="m,l4032904,e" filled="f" strokecolor="#bfbfbf" strokeweight=".16714mm">
                  <v:path arrowok="t" textboxrect="0,0,4032904,0"/>
                </v:shape>
                <v:shape id="Shape 19473" o:spid="_x0000_s1409" style="position:absolute;left:8239;top:7912;width:35949;height:11192;visibility:visible;mso-wrap-style:square;v-text-anchor:top" coordsize="3594847,111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vxcUA&#10;AADeAAAADwAAAGRycy9kb3ducmV2LnhtbERPTWvCQBC9C/6HZQq91U1rNDV1lVIolV7U1Iu3aXZM&#10;gtnZkF2T+O+7QsHbPN7nLNeDqUVHrassK3ieRCCIc6srLhQcfj6fXkE4j6yxtkwKruRgvRqPlphq&#10;2/OeuswXIoSwS1FB6X2TSunykgy6iW2IA3eyrUEfYFtI3WIfwk0tX6JoLg1WHBpKbOijpPycXYyC&#10;b653X/H292AvA8o+Oc2m3h6VenwY3t9AeBr8Xfzv3ugwfxEnU7i9E2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2/FxQAAAN4AAAAPAAAAAAAAAAAAAAAAAJgCAABkcnMv&#10;ZG93bnJldi54bWxQSwUGAAAAAAQABAD1AAAAigMAAAAA&#10;" path="m,998839r451963,36103l896973,1065027r451964,36103l1793947,1119181r451963,-30085l2697873,1022907,3142883,836377,3594847,e" filled="f" strokecolor="#5e5e5e" strokeweight=".33428mm">
                  <v:stroke endcap="round"/>
                  <v:path arrowok="t" textboxrect="0,0,3594847,1119181"/>
                </v:shape>
                <v:shape id="Shape 19475" o:spid="_x0000_s1410" style="position:absolute;left:8239;top:12966;width:35949;height:6499;visibility:visible;mso-wrap-style:square;v-text-anchor:top" coordsize="3594847,649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4V8IA&#10;AADeAAAADwAAAGRycy9kb3ducmV2LnhtbERPzYrCMBC+L/gOYQRva6rorlajiCJ6WtjqAwzN2Fab&#10;SWmirX16IyzsbT6+31muW1OKB9WusKxgNIxAEKdWF5wpOJ/2nzMQziNrLC2Tgic5WK96H0uMtW34&#10;lx6Jz0QIYRejgtz7KpbSpTkZdENbEQfuYmuDPsA6k7rGJoSbUo6j6EsaLDg05FjRNqf0ltyNgtNe&#10;7n6uG0ddk2jTYTehQ3tUatBvNwsQnlr/L/5zH3WYP598T+H9Tr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bhXwgAAAN4AAAAPAAAAAAAAAAAAAAAAAJgCAABkcnMvZG93&#10;bnJldi54bWxQSwUGAAAAAAQABAD1AAAAhwMAAAAA&#10;" path="m,505437r451963,36102l896973,583659r451964,36102l1793947,649847r451963,l2697873,607727,3142883,487385,3594847,e" filled="f" strokecolor="#b3b3b3" strokeweight=".33428mm">
                  <v:stroke endcap="round"/>
                  <v:path arrowok="t" textboxrect="0,0,3594847,649847"/>
                </v:shape>
                <v:shape id="Shape 19477" o:spid="_x0000_s1411" style="position:absolute;left:8239;top:16396;width:35949;height:3671;visibility:visible;mso-wrap-style:square;v-text-anchor:top" coordsize="3594847,36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8Tp8UA&#10;AADeAAAADwAAAGRycy9kb3ducmV2LnhtbERPS2vCQBC+F/wPywje6sZHjabZiEiF0pPGQq9DdkxC&#10;s7MhuyZpf323UOhtPr7npPvRNKKnztWWFSzmEQjiwuqaSwXv19PjFoTzyBoby6Tgixzss8lDiom2&#10;A1+oz30pQgi7BBVU3reJlK6oyKCb25Y4cDfbGfQBdqXUHQ4h3DRyGUUbabDm0FBhS8eKis/8bhS8&#10;5MXuY/V0frsT9dGwqofl8fug1Gw6Hp5BeBr9v/jP/arD/N06juH3nXCD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xOnxQAAAN4AAAAPAAAAAAAAAAAAAAAAAJgCAABkcnMv&#10;ZG93bnJldi54bWxQSwUGAAAAAAQABAD1AAAAigMAAAAA&#10;" path="m,102291l451963,210598r445010,48137l1348937,306872r445010,42120l2245910,367043r451963,-18051l3142883,276787,3594847,e" filled="f" strokecolor="#898989" strokeweight=".33428mm">
                  <v:stroke endcap="round"/>
                  <v:path arrowok="t" textboxrect="0,0,3594847,367043"/>
                </v:shape>
                <v:shape id="Shape 19479" o:spid="_x0000_s1412" style="position:absolute;left:8239;top:18201;width:35949;height:2407;visibility:visible;mso-wrap-style:square;v-text-anchor:top" coordsize="3594847,24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4lsUA&#10;AADeAAAADwAAAGRycy9kb3ducmV2LnhtbERPS2vCQBC+F/wPywi91Y21+IiuIoKQHnqIingcsmMS&#10;zc6mu6um/75bKHibj+85i1VnGnEn52vLCoaDBARxYXXNpYLDfvs2BeEDssbGMin4IQ+rZe9lgam2&#10;D87pvguliCHsU1RQhdCmUvqiIoN+YFviyJ2tMxgidKXUDh8x3DTyPUnG0mDNsaHCljYVFdfdzSj4&#10;ym7GnQ/jIX0eT270fcmzzSlX6rXfrecgAnXhKf53ZzrOn31MZvD3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XiWxQAAAN4AAAAPAAAAAAAAAAAAAAAAAJgCAABkcnMv&#10;ZG93bnJldi54bWxQSwUGAAAAAAQABAD1AAAAigMAAAAA&#10;" path="m,l451963,48137,896973,96274r451964,54154l1793947,204581r451963,36103l2697873,240684r445010,-24069l3594847,72205e" filled="f" strokecolor="#212121" strokeweight=".33428mm">
                  <v:stroke endcap="round"/>
                  <v:path arrowok="t" textboxrect="0,0,3594847,240684"/>
                </v:shape>
                <v:shape id="Shape 19481" o:spid="_x0000_s1413" style="position:absolute;left:8239;top:18322;width:35949;height:3008;visibility:visible;mso-wrap-style:square;v-text-anchor:top" coordsize="3594847,30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SEccA&#10;AADeAAAADwAAAGRycy9kb3ducmV2LnhtbERPS08CMRC+m/AfmiHhJt0VYnChEGIimHBQUWO8TdrZ&#10;B2yn67YsK7/emph4my/fcxar3taio9ZXjhWk4wQEsXam4kLB2+vD9QyED8gGa8ek4Js8rJaDqwVm&#10;xp35hbp9KEQMYZ+hgjKEJpPS65Is+rFriCOXu9ZiiLAtpGnxHMNtLW+S5FZarDg2lNjQfUn6uD9Z&#10;BZuvtMv1+2H3nE8+tp/pU3HQl7VSo2G/noMI1Id/8Z/70cT5d9NZCr/vxB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W0hHHAAAA3gAAAA8AAAAAAAAAAAAAAAAAmAIAAGRy&#10;cy9kb3ducmV2LnhtbFBLBQYAAAAABAAEAPUAAACMAwAAAAA=&#10;" path="m,l451963,48137r445010,54154l1348937,162462r445010,60171l2245910,276787r451963,18051l3142883,300855r451964,-42120e" filled="f" strokecolor="#dadada" strokeweight=".33428mm">
                  <v:stroke endcap="round"/>
                  <v:path arrowok="t" textboxrect="0,0,3594847,300855"/>
                </v:shape>
                <v:rect id="Rectangle 19483" o:spid="_x0000_s1414" style="position:absolute;left:3222;top:21802;width:277;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7b8UA&#10;AADeAAAADwAAAGRycy9kb3ducmV2LnhtbERPS2vCQBC+C/0PyxS86aZVJE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Ptv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9"/>
                          </w:rPr>
                          <w:t>-</w:t>
                        </w:r>
                      </w:p>
                    </w:txbxContent>
                  </v:textbox>
                </v:rect>
                <v:rect id="Rectangle 19484" o:spid="_x0000_s1415" style="position:absolute;left:3431;top:21802;width:41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jG8UA&#10;AADeAAAADwAAAGRycy9kb3ducmV2LnhtbERPTWvCQBC9F/oflil4q5uKlCRmI9Ja9FhNQb0N2TEJ&#10;zc6G7NbE/vquIPQ2j/c52XI0rbhQ7xrLCl6mEQji0uqGKwVfxcdzDMJ5ZI2tZVJwJQfL/PEhw1Tb&#10;gXd02ftKhBB2KSqove9SKV1Zk0E3tR1x4M62N+gD7CupexxCuGnlLIpepcGGQ0ONHb3VVH7vf4yC&#10;Tdytjlv7O1Tt+rQ5fB6S9yLxSk2extUChKfR/4vv7q0O85N5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WMb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9"/>
                          </w:rPr>
                          <w:t>6</w:t>
                        </w:r>
                      </w:p>
                    </w:txbxContent>
                  </v:textbox>
                </v:rect>
                <v:rect id="Rectangle 19485" o:spid="_x0000_s1416" style="position:absolute;left:3778;top:21802;width:208;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GgMUA&#10;AADeAAAADwAAAGRycy9kb3ducmV2LnhtbERPS2vCQBC+C/0PyxS86aZFJUldRaqiRx8F29uQnSah&#10;2dmQXU3017uC0Nt8fM+ZzjtTiQs1rrSs4G0YgSDOrC45V/B1XA9iEM4ja6wsk4IrOZjPXnpTTLVt&#10;eU+Xg89FCGGXooLC+zqV0mUFGXRDWxMH7tc2Bn2ATS51g20IN5V8j6KJNFhyaCiwps+Csr/D2SjY&#10;xPXie2tvbV6tfjan3SlZHhOvVP+1W3yA8NT5f/HTvdVhfjKKx/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caA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9"/>
                          </w:rPr>
                          <w:t>,</w:t>
                        </w:r>
                      </w:p>
                    </w:txbxContent>
                  </v:textbox>
                </v:rect>
                <v:rect id="Rectangle 19486" o:spid="_x0000_s1417" style="position:absolute;left:3917;top:21802;width:41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Y98UA&#10;AADeAAAADwAAAGRycy9kb3ducmV2LnhtbERPS2vCQBC+F/oflil4q5sWkSRmI9IHerSmoN6G7JiE&#10;ZmdDdmuiv94tCL3Nx/ecbDmaVpypd41lBS/TCARxaXXDlYLv4vM5BuE8ssbWMim4kINl/viQYart&#10;wF903vlKhBB2KSqove9SKV1Zk0E3tR1x4E62N+gD7CupexxCuGnlaxTNpcGGQ0ONHb3VVP7sfo2C&#10;ddytDht7Har247jeb/fJe5F4pSZP42oBwtPo/8V390aH+cksns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1j3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9"/>
                          </w:rPr>
                          <w:t>0</w:t>
                        </w:r>
                      </w:p>
                    </w:txbxContent>
                  </v:textbox>
                </v:rect>
                <v:rect id="Rectangle 19487" o:spid="_x0000_s1418" style="position:absolute;left:4265;top:21802;width:41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9bMUA&#10;AADeAAAADwAAAGRycy9kb3ducmV2LnhtbERPS2vCQBC+C/0PyxS86aZFNEldRaqiRx8F29uQnSah&#10;2dmQXU3017uC0Nt8fM+ZzjtTiQs1rrSs4G0YgSDOrC45V/B1XA9iEM4ja6wsk4IrOZjPXnpTTLVt&#10;eU+Xg89FCGGXooLC+zqV0mUFGXRDWxMH7tc2Bn2ATS51g20IN5V8j6KxNFhyaCiwps+Csr/D2SjY&#10;xPXie2tvbV6tfjan3SlZHhOvVP+1W3yA8NT5f/HTvdVhfjKK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1s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9"/>
                          </w:rPr>
                          <w:t>0</w:t>
                        </w:r>
                      </w:p>
                    </w:txbxContent>
                  </v:textbox>
                </v:rect>
                <v:rect id="Rectangle 19488" o:spid="_x0000_s1419" style="position:absolute;left:4613;top:21802;width:41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pHsgA&#10;AADeAAAADwAAAGRycy9kb3ducmV2LnhtbESPT2vCQBDF74LfYZlCb7ppKSWJriK2RY/1D6i3ITtN&#10;QrOzIbs1aT995yB4m+G9ee838+XgGnWlLtSeDTxNE1DEhbc1lwaOh49JCipEZIuNZzLwSwGWi/Fo&#10;jrn1Pe/ouo+lkhAOORqoYmxzrUNRkcMw9S2xaF++cxhl7UptO+wl3DX6OUletcOapaHCltYVFd/7&#10;H2dgk7ar89b/9WXzftmcPk/Z2yGLxjw+DKsZqEhDvJtv11sr+NlLK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FGkeyAAAAN4AAAAPAAAAAAAAAAAAAAAAAJgCAABk&#10;cnMvZG93bnJldi54bWxQSwUGAAAAAAQABAD1AAAAjQMAAAAA&#10;" filled="f" stroked="f">
                  <v:textbox inset="0,0,0,0">
                    <w:txbxContent>
                      <w:p w:rsidR="00EE13F6" w:rsidRDefault="002E5BC4">
                        <w:r>
                          <w:rPr>
                            <w:rFonts w:ascii="Times New Roman" w:eastAsia="Times New Roman" w:hAnsi="Times New Roman" w:cs="Times New Roman"/>
                            <w:color w:val="585858"/>
                            <w:sz w:val="9"/>
                          </w:rPr>
                          <w:t>0</w:t>
                        </w:r>
                      </w:p>
                    </w:txbxContent>
                  </v:textbox>
                </v:rect>
                <v:rect id="Rectangle 19489" o:spid="_x0000_s1420" style="position:absolute;left:4960;top:21802;width:694;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MhcUA&#10;AADeAAAADwAAAGRycy9kb3ducmV2LnhtbERPS2vCQBC+F/oflin0VjctRZKYjUgf6LEaQb0N2TEJ&#10;ZmdDdmtSf31XELzNx/ecbD6aVpypd41lBa+TCARxaXXDlYJt8f0Sg3AeWWNrmRT8kYN5/viQYart&#10;wGs6b3wlQgi7FBXU3neplK6syaCb2I44cEfbG/QB9pXUPQ4h3LTyLYqm0mDDoaHGjj5qKk+bX6Ng&#10;GXeL/cpehqr9Oix3P7vks0i8Us9P42IGwtPo7+Kbe6XD/OQ9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MyF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9"/>
                          </w:rPr>
                          <w:t>%</w:t>
                        </w:r>
                      </w:p>
                    </w:txbxContent>
                  </v:textbox>
                </v:rect>
                <v:rect id="Rectangle 19490" o:spid="_x0000_s1421" style="position:absolute;left:3222;top:20209;width:277;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zxccA&#10;AADeAAAADwAAAGRycy9kb3ducmV2LnhtbESPQWvCQBCF74L/YZlCb7ppKcVEVxHbokergnobsmMS&#10;zM6G7Nak/fXOoeBthnnz3vtmi97V6kZtqDwbeBknoIhzbysuDBz2X6MJqBCRLdaeycAvBVjMh4MZ&#10;ZtZ3/E23XSyUmHDI0EAZY5NpHfKSHIaxb4jldvGtwyhrW2jbYifmrtavSfKuHVYsCSU2tCopv+5+&#10;nIH1pFmeNv6vK+rP8/q4PaYf+zQa8/zUL6egIvXxIf7/3lipn76l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788X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9"/>
                          </w:rPr>
                          <w:t>-</w:t>
                        </w:r>
                      </w:p>
                    </w:txbxContent>
                  </v:textbox>
                </v:rect>
                <v:rect id="Rectangle 19491" o:spid="_x0000_s1422" style="position:absolute;left:3431;top:20209;width:41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XsQA&#10;AADeAAAADwAAAGRycy9kb3ducmV2LnhtbERPS4vCMBC+C/sfwgjeNFUWsdUosu6iRx8L6m1oxrbY&#10;TEqTtdVfbwRhb/PxPWe2aE0pblS7wrKC4SACQZxaXXCm4Pfw05+AcB5ZY2mZFNzJwWL+0Zlhom3D&#10;O7rtfSZCCLsEFeTeV4mULs3JoBvYijhwF1sb9AHWmdQ1NiHclHIURWNpsODQkGNFXzml1/2fUbCe&#10;VMvTxj6arPw+r4/bY7w6xF6pXrddTkF4av2/+O3e6DA//oy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3Vl7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9"/>
                          </w:rPr>
                          <w:t>4</w:t>
                        </w:r>
                      </w:p>
                    </w:txbxContent>
                  </v:textbox>
                </v:rect>
                <v:rect id="Rectangle 19492" o:spid="_x0000_s1423" style="position:absolute;left:3778;top:20209;width:208;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IKcMA&#10;AADeAAAADwAAAGRycy9kb3ducmV2LnhtbERPTYvCMBC9L/gfwgh7W1NFxFajiK7o0VVBvQ3N2Bab&#10;SWmytuuvNwuCt3m8z5nOW1OKO9WusKyg34tAEKdWF5wpOB7WX2MQziNrLC2Tgj9yMJ91PqaYaNvw&#10;D933PhMhhF2CCnLvq0RKl+Zk0PVsRRy4q60N+gDrTOoamxBuSjmIopE0WHBoyLGiZU7pbf9rFGzG&#10;1eK8tY8mK78vm9PuFK8OsVfqs9suJiA8tf4tfrm3OsyPh/EA/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XIKcMAAADeAAAADwAAAAAAAAAAAAAAAACYAgAAZHJzL2Rv&#10;d25yZXYueG1sUEsFBgAAAAAEAAQA9QAAAIgDAAAAAA==&#10;" filled="f" stroked="f">
                  <v:textbox inset="0,0,0,0">
                    <w:txbxContent>
                      <w:p w:rsidR="00EE13F6" w:rsidRDefault="002E5BC4">
                        <w:r>
                          <w:rPr>
                            <w:rFonts w:ascii="Times New Roman" w:eastAsia="Times New Roman" w:hAnsi="Times New Roman" w:cs="Times New Roman"/>
                            <w:color w:val="585858"/>
                            <w:sz w:val="9"/>
                          </w:rPr>
                          <w:t>,</w:t>
                        </w:r>
                      </w:p>
                    </w:txbxContent>
                  </v:textbox>
                </v:rect>
                <v:rect id="Rectangle 19493" o:spid="_x0000_s1424" style="position:absolute;left:3917;top:20209;width:41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tssUA&#10;AADeAAAADwAAAGRycy9kb3ducmV2LnhtbERPS2vCQBC+C/6HZYTedFMrJYlZRWyLHn0U0t6G7JiE&#10;ZmdDdmtif31XKPQ2H99zsvVgGnGlztWWFTzOIhDEhdU1lwrez2/TGITzyBoby6TgRg7Wq/Eow1Tb&#10;no90PflShBB2KSqovG9TKV1RkUE3sy1x4C62M+gD7EqpO+xDuGnkPIqepcGaQ0OFLW0rKr5O30bB&#10;Lm43H3v705fN6+cuP+TJyznxSj1Mhs0ShKfB/4v/3Hsd5ieL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W2y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9"/>
                          </w:rPr>
                          <w:t>0</w:t>
                        </w:r>
                      </w:p>
                    </w:txbxContent>
                  </v:textbox>
                </v:rect>
                <v:rect id="Rectangle 19494" o:spid="_x0000_s1425" style="position:absolute;left:4265;top:20209;width:41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1xsQA&#10;AADeAAAADwAAAGRycy9kb3ducmV2LnhtbERPS4vCMBC+C/sfwix401SRxVajyK6iRx8L6m1oxrbY&#10;TEoTbd1fbwRhb/PxPWc6b00p7lS7wrKCQT8CQZxaXXCm4Pew6o1BOI+ssbRMCh7kYD776Ewx0bbh&#10;Hd33PhMhhF2CCnLvq0RKl+Zk0PVtRRy4i60N+gDrTOoamxBuSjmMoi9psODQkGNF3zml1/3NKFiP&#10;q8VpY/+arFye18ftMf45xF6p7me7mIDw1Pp/8du90WF+PIp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9cb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9"/>
                          </w:rPr>
                          <w:t>0</w:t>
                        </w:r>
                      </w:p>
                    </w:txbxContent>
                  </v:textbox>
                </v:rect>
                <v:rect id="Rectangle 19495" o:spid="_x0000_s1426" style="position:absolute;left:4613;top:20209;width:41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QXcUA&#10;AADeAAAADwAAAGRycy9kb3ducmV2LnhtbERPS2vCQBC+C/6HZYTedFOpJYlZRWyLHn0U0t6G7JiE&#10;ZmdDdmtif31XKPQ2H99zsvVgGnGlztWWFTzOIhDEhdU1lwrez2/TGITzyBoby6TgRg7Wq/Eow1Tb&#10;no90PflShBB2KSqovG9TKV1RkUE3sy1x4C62M+gD7EqpO+xDuGnkPIqepcGaQ0OFLW0rKr5O30bB&#10;Lm43H3v705fN6+cuP+TJyznxSj1Mhs0ShKfB/4v/3Hsd5idPyQL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FBd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9"/>
                          </w:rPr>
                          <w:t>0</w:t>
                        </w:r>
                      </w:p>
                    </w:txbxContent>
                  </v:textbox>
                </v:rect>
                <v:rect id="Rectangle 19496" o:spid="_x0000_s1427" style="position:absolute;left:4960;top:20209;width:694;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OKsQA&#10;AADeAAAADwAAAGRycy9kb3ducmV2LnhtbERPS4vCMBC+L/gfwgje1lQRsdUo4gM97qqg3oZmbIvN&#10;pDTRdvfXbxYEb/PxPWe2aE0pnlS7wrKCQT8CQZxaXXCm4HTcfk5AOI+ssbRMCn7IwWLe+Zhhom3D&#10;3/Q8+EyEEHYJKsi9rxIpXZqTQde3FXHgbrY26AOsM6lrbEK4KeUwisbSYMGhIceKVjml98PDKNhN&#10;quVlb3+brNxcd+evc7w+xl6pXrddTkF4av1b/HLvdZgfj+I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ezir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9"/>
                          </w:rPr>
                          <w:t>%</w:t>
                        </w:r>
                      </w:p>
                    </w:txbxContent>
                  </v:textbox>
                </v:rect>
                <v:rect id="Rectangle 19497" o:spid="_x0000_s1428" style="position:absolute;left:3222;top:18616;width:277;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rscUA&#10;AADeAAAADwAAAGRycy9kb3ducmV2LnhtbERPS2vCQBC+C/6HZYTedFMpNolZRWyLHn0U0t6G7JiE&#10;ZmdDdmtif31XKPQ2H99zsvVgGnGlztWWFTzOIhDEhdU1lwrez2/TGITzyBoby6TgRg7Wq/Eow1Tb&#10;no90PflShBB2KSqovG9TKV1RkUE3sy1x4C62M+gD7EqpO+xDuGnkPIoW0mDNoaHClrYVFV+nb6Ng&#10;F7ebj7396cvm9XOXH/Lk5Zx4pR4mw2YJwtPg/8V/7r0O85On5B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mux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9"/>
                          </w:rPr>
                          <w:t>-</w:t>
                        </w:r>
                      </w:p>
                    </w:txbxContent>
                  </v:textbox>
                </v:rect>
                <v:rect id="Rectangle 19498" o:spid="_x0000_s1429" style="position:absolute;left:3431;top:18616;width:41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w8cA&#10;AADeAAAADwAAAGRycy9kb3ducmV2LnhtbESPQWvCQBCF74L/YZlCb7ppKcVEVxHbokergnobsmMS&#10;zM6G7Nak/fXOoeBthvfmvW9mi97V6kZtqDwbeBknoIhzbysuDBz2X6MJqBCRLdaeycAvBVjMh4MZ&#10;ZtZ3/E23XSyUhHDI0EAZY5NpHfKSHIaxb4hFu/jWYZS1LbRtsZNwV+vXJHnXDiuWhhIbWpWUX3c/&#10;zsB60ixPG//XFfXneX3cHtOPfRqNeX7ql1NQkfr4MP9fb6zgp2+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N/8P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9"/>
                          </w:rPr>
                          <w:t>2</w:t>
                        </w:r>
                      </w:p>
                    </w:txbxContent>
                  </v:textbox>
                </v:rect>
                <v:rect id="Rectangle 19499" o:spid="_x0000_s1430" style="position:absolute;left:3778;top:18616;width:208;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aWMUA&#10;AADeAAAADwAAAGRycy9kb3ducmV2LnhtbERPS2vCQBC+C/0PyxR6002liJu6EaktevRRsL0N2WkS&#10;mp0N2W2S+utdQfA2H99zFsvB1qKj1leONTxPEhDEuTMVFxo+jx/jOQgfkA3WjknDP3lYZg+jBabG&#10;9byn7hAKEUPYp6ihDKFJpfR5SRb9xDXEkftxrcUQYVtI02Ifw20tp0kykxYrjg0lNvRWUv57+LMa&#10;NvNm9bV1576o3783p91JrY8qaP30OKxeQQQawl18c29NnK9elILrO/EG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VpY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9"/>
                          </w:rPr>
                          <w:t>,</w:t>
                        </w:r>
                      </w:p>
                    </w:txbxContent>
                  </v:textbox>
                </v:rect>
                <v:rect id="Rectangle 19500" o:spid="_x0000_s1431" style="position:absolute;left:3917;top:18616;width:41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p38cA&#10;AADeAAAADwAAAGRycy9kb3ducmV2LnhtbESPQWvCQBCF74L/YZlCb7ppwWJSVxGr6NGqoL0N2WkS&#10;mp0N2dWk/fXOoeBthnnz3vtmi97V6kZtqDwbeBknoIhzbysuDJyOm9EUVIjIFmvPZOCXAizmw8EM&#10;M+s7/qTbIRZKTDhkaKCMscm0DnlJDsPYN8Ry+/atwyhrW2jbYifmrtavSfKmHVYsCSU2tCop/zlc&#10;nYHttFledv6vK+r11/a8P6cfxzQa8/zUL99BRerjQ/z/vbNSP50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Qad/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9"/>
                          </w:rPr>
                          <w:t>0</w:t>
                        </w:r>
                      </w:p>
                    </w:txbxContent>
                  </v:textbox>
                </v:rect>
                <v:rect id="Rectangle 19501" o:spid="_x0000_s1432" style="position:absolute;left:4265;top:18616;width:41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MRMUA&#10;AADeAAAADwAAAGRycy9kb3ducmV2LnhtbERPTWvCQBC9F/oflil4azYKFROzitSWeKxasL0N2TEJ&#10;zc6G7DaJ/vquIPQ2j/c52Xo0jeipc7VlBdMoBkFcWF1zqeDz+P68AOE8ssbGMim4kIP16vEhw1Tb&#10;gffUH3wpQgi7FBVU3replK6oyKCLbEscuLPtDPoAu1LqDocQbho5i+O5NFhzaKiwpdeKip/Dr1GQ&#10;L9rN185eh7J5+85PH6dke0y8UpOncbME4Wn0/+K7e6fD/OQlns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MxE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9"/>
                          </w:rPr>
                          <w:t>0</w:t>
                        </w:r>
                      </w:p>
                    </w:txbxContent>
                  </v:textbox>
                </v:rect>
                <v:rect id="Rectangle 19502" o:spid="_x0000_s1433" style="position:absolute;left:4613;top:18616;width:41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SM8QA&#10;AADeAAAADwAAAGRycy9kb3ducmV2LnhtbERPS4vCMBC+C/sfwix401RhxVajyK6LHn0sqLehGdti&#10;MylNtNVfbwRhb/PxPWc6b00pblS7wrKCQT8CQZxaXXCm4G//2xuDcB5ZY2mZFNzJwXz20Zliom3D&#10;W7rtfCZCCLsEFeTeV4mULs3JoOvbijhwZ1sb9AHWmdQ1NiHclHIYRSNpsODQkGNF3zmll93VKFiN&#10;q8VxbR9NVi5Pq8PmEP/sY69U97NdTEB4av2/+O1e6zA//oq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UjP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9"/>
                          </w:rPr>
                          <w:t>0</w:t>
                        </w:r>
                      </w:p>
                    </w:txbxContent>
                  </v:textbox>
                </v:rect>
                <v:rect id="Rectangle 19503" o:spid="_x0000_s1434" style="position:absolute;left:4960;top:18616;width:694;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3qMQA&#10;AADeAAAADwAAAGRycy9kb3ducmV2LnhtbERPS2vCQBC+F/oflil4qxsrFRNdRaqix/oA9TZkxySY&#10;nQ3Z1aT+ercgeJuP7znjaWtKcaPaFZYV9LoRCOLU6oIzBfvd8nMIwnlkjaVlUvBHDqaT97cxJto2&#10;vKHb1mcihLBLUEHufZVI6dKcDLqurYgDd7a1QR9gnUldYxPCTSm/omggDRYcGnKs6Cen9LK9GgWr&#10;YTU7ru29ycrFaXX4PcTzXeyV6ny0sxEIT61/iZ/utQ7z4++o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96j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9"/>
                          </w:rPr>
                          <w:t>%</w:t>
                        </w:r>
                      </w:p>
                    </w:txbxContent>
                  </v:textbox>
                </v:rect>
                <v:rect id="Rectangle 203829" o:spid="_x0000_s1435" style="position:absolute;left:3494;top:17031;width:42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bYsgA&#10;AADfAAAADwAAAGRycy9kb3ducmV2LnhtbESPT2vCQBTE74LfYXlCb7ppCiWJriJq0aN/Cra3R/aZ&#10;hGbfhuxq0n56VxB6HGbmN8xs0Zta3Kh1lWUFr5MIBHFudcWFgs/TxzgB4TyyxtoyKfglB4v5cDDD&#10;TNuOD3Q7+kIECLsMFZTeN5mULi/JoJvYhjh4F9sa9EG2hdQtdgFuahlH0bs0WHFYKLGhVUn5z/Fq&#10;FGyTZvm1s39dUW++t+f9OV2fUq/Uy6hfTkF46v1/+NneaQVx9JbEK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VtiyAAAAN8AAAAPAAAAAAAAAAAAAAAAAJgCAABk&#10;cnMvZG93bnJldi54bWxQSwUGAAAAAAQABAD1AAAAjQMAAAAA&#10;" filled="f" stroked="f">
                  <v:textbox inset="0,0,0,0">
                    <w:txbxContent>
                      <w:p w:rsidR="00EE13F6" w:rsidRDefault="002E5BC4">
                        <w:r>
                          <w:rPr>
                            <w:color w:val="585858"/>
                            <w:sz w:val="9"/>
                          </w:rPr>
                          <w:t>0</w:t>
                        </w:r>
                      </w:p>
                    </w:txbxContent>
                  </v:textbox>
                </v:rect>
                <v:rect id="Rectangle 203830" o:spid="_x0000_s1436" style="position:absolute;left:3841;top:17031;width:216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kIsUA&#10;AADfAAAADwAAAGRycy9kb3ducmV2LnhtbESPy4rCMBSG94LvEI4wO01VGGo1inhBl44K6u7QHNti&#10;c1KaaDvz9GYx4PLnv/HNFq0pxYtqV1hWMBxEIIhTqwvOFJxP234MwnlkjaVlUvBLDhbzbmeGibYN&#10;/9Dr6DMRRtglqCD3vkqkdGlOBt3AVsTBu9vaoA+yzqSusQnjppSjKPqWBgsODzlWtMopfRyfRsEu&#10;rpbXvf1rsnJz210Ol8n6NPFKffXa5RSEp9Z/wv/tvVYwisbxOBAEnsA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mQixQAAAN8AAAAPAAAAAAAAAAAAAAAAAJgCAABkcnMv&#10;ZG93bnJldi54bWxQSwUGAAAAAAQABAD1AAAAigMAAAAA&#10;" filled="f" stroked="f">
                  <v:textbox inset="0,0,0,0">
                    <w:txbxContent>
                      <w:p w:rsidR="00EE13F6" w:rsidRDefault="002E5BC4">
                        <w:r>
                          <w:rPr>
                            <w:color w:val="585858"/>
                            <w:sz w:val="9"/>
                          </w:rPr>
                          <w:t>,000%</w:t>
                        </w:r>
                      </w:p>
                    </w:txbxContent>
                  </v:textbox>
                </v:rect>
                <v:rect id="Rectangle 203827" o:spid="_x0000_s1437" style="position:absolute;left:3494;top:15438;width:42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qi8gA&#10;AADfAAAADwAAAGRycy9kb3ducmV2LnhtbESPT2vCQBTE70K/w/IK3nTTCBpTV5Gq6NE/BdvbI/ua&#10;hGbfhuxqYj99VxA8DjPzG2a26EwlrtS40rKCt2EEgjizuuRcwedpM0hAOI+ssbJMCm7kYDF/6c0w&#10;1bblA12PPhcBwi5FBYX3dSqlywoy6Ia2Jg7ej20M+iCbXOoG2wA3lYyjaCwNlhwWCqzpo6Ds93gx&#10;CrZJvfza2b82r9bf2/P+PF2dpl6p/mu3fAfhqfPP8KO90wriaJTEE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xmqLyAAAAN8AAAAPAAAAAAAAAAAAAAAAAJgCAABk&#10;cnMvZG93bnJldi54bWxQSwUGAAAAAAQABAD1AAAAjQMAAAAA&#10;" filled="f" stroked="f">
                  <v:textbox inset="0,0,0,0">
                    <w:txbxContent>
                      <w:p w:rsidR="00EE13F6" w:rsidRDefault="002E5BC4">
                        <w:r>
                          <w:rPr>
                            <w:color w:val="585858"/>
                            <w:sz w:val="9"/>
                          </w:rPr>
                          <w:t>2</w:t>
                        </w:r>
                      </w:p>
                    </w:txbxContent>
                  </v:textbox>
                </v:rect>
                <v:rect id="Rectangle 203828" o:spid="_x0000_s1438" style="position:absolute;left:3841;top:15438;width:216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cUA&#10;AADfAAAADwAAAGRycy9kb3ducmV2LnhtbERPTWvCQBC9F/wPywjemk0jlBhdRbQSj60W0t6G7JiE&#10;ZmdDdpvE/vruodDj431vdpNpxUC9aywreIpiEMSl1Q1XCt6vp8cUhPPIGlvLpOBODnbb2cMGM21H&#10;fqPh4isRQthlqKD2vsukdGVNBl1kO+LA3Wxv0AfYV1L3OIZw08okjp+lwYZDQ40dHWoqvy7fRkGe&#10;dvuPs/0Zq/blMy9ei9XxuvJKLebTfg3C0+T/xX/us1aQxMs0CY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f75xQAAAN8AAAAPAAAAAAAAAAAAAAAAAJgCAABkcnMv&#10;ZG93bnJldi54bWxQSwUGAAAAAAQABAD1AAAAigMAAAAA&#10;" filled="f" stroked="f">
                  <v:textbox inset="0,0,0,0">
                    <w:txbxContent>
                      <w:p w:rsidR="00EE13F6" w:rsidRDefault="002E5BC4">
                        <w:r>
                          <w:rPr>
                            <w:color w:val="585858"/>
                            <w:sz w:val="9"/>
                          </w:rPr>
                          <w:t>,000%</w:t>
                        </w:r>
                      </w:p>
                    </w:txbxContent>
                  </v:textbox>
                </v:rect>
                <v:rect id="Rectangle 203825" o:spid="_x0000_s1439" style="position:absolute;left:3494;top:13845;width:42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RZ8gA&#10;AADfAAAADwAAAGRycy9kb3ducmV2LnhtbESPT2vCQBTE70K/w/IK3nTTiBJTV5Gq6NE/BdvbI/ua&#10;hGbfhuxqYj99VxA8DjPzG2a26EwlrtS40rKCt2EEgjizuuRcwedpM0hAOI+ssbJMCm7kYDF/6c0w&#10;1bblA12PPhcBwi5FBYX3dSqlywoy6Ia2Jg7ej20M+iCbXOoG2wA3lYyjaCINlhwWCqzpo6Ds93gx&#10;CrZJvfza2b82r9bf2/P+PF2dpl6p/mu3fAfhqfPP8KO90wriaJTE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WFFnyAAAAN8AAAAPAAAAAAAAAAAAAAAAAJgCAABk&#10;cnMvZG93bnJldi54bWxQSwUGAAAAAAQABAD1AAAAjQMAAAAA&#10;" filled="f" stroked="f">
                  <v:textbox inset="0,0,0,0">
                    <w:txbxContent>
                      <w:p w:rsidR="00EE13F6" w:rsidRDefault="002E5BC4">
                        <w:r>
                          <w:rPr>
                            <w:color w:val="585858"/>
                            <w:sz w:val="9"/>
                          </w:rPr>
                          <w:t>4</w:t>
                        </w:r>
                      </w:p>
                    </w:txbxContent>
                  </v:textbox>
                </v:rect>
                <v:rect id="Rectangle 203826" o:spid="_x0000_s1440" style="position:absolute;left:3841;top:13845;width:216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PEMgA&#10;AADfAAAADwAAAGRycy9kb3ducmV2LnhtbESPQWvCQBSE74L/YXlCb7oxBYlpVhFb0WPVgu3tkX0m&#10;wezbkF2TtL++KxR6HGbmGyZbD6YWHbWusqxgPotAEOdWV1wo+DjvpgkI55E11pZJwTc5WK/GowxT&#10;bXs+UnfyhQgQdikqKL1vUildXpJBN7MNcfCutjXog2wLqVvsA9zUMo6ihTRYcVgosaFtSfntdDcK&#10;9kmz+TzYn76o3772l/fL8vW89Eo9TYbNCwhPg/8P/7UPWkEcPSfxAh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is8QyAAAAN8AAAAPAAAAAAAAAAAAAAAAAJgCAABk&#10;cnMvZG93bnJldi54bWxQSwUGAAAAAAQABAD1AAAAjQMAAAAA&#10;" filled="f" stroked="f">
                  <v:textbox inset="0,0,0,0">
                    <w:txbxContent>
                      <w:p w:rsidR="00EE13F6" w:rsidRDefault="002E5BC4">
                        <w:r>
                          <w:rPr>
                            <w:color w:val="585858"/>
                            <w:sz w:val="9"/>
                          </w:rPr>
                          <w:t>,000%</w:t>
                        </w:r>
                      </w:p>
                    </w:txbxContent>
                  </v:textbox>
                </v:rect>
                <v:rect id="Rectangle 203823" o:spid="_x0000_s1441" style="position:absolute;left:3494;top:12252;width:42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iMgA&#10;AADfAAAADwAAAGRycy9kb3ducmV2LnhtbESPQWvCQBSE74X+h+UVvNVNI0iMWUXaih5bFdTbI/ua&#10;hGbfhuyaRH99tyB4HGbmGyZbDqYWHbWusqzgbRyBIM6trrhQcNivXxMQziNrrC2Tgis5WC6enzJM&#10;te35m7qdL0SAsEtRQel9k0rp8pIMurFtiIP3Y1uDPsi2kLrFPsBNLeMomkqDFYeFEht6Lyn/3V2M&#10;gk3SrE5be+uL+vO8OX4dZx/7mVdq9DKs5iA8Df4Rvre3WkEcTZJ4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yIyAAAAN8AAAAPAAAAAAAAAAAAAAAAAJgCAABk&#10;cnMvZG93bnJldi54bWxQSwUGAAAAAAQABAD1AAAAjQMAAAAA&#10;" filled="f" stroked="f">
                  <v:textbox inset="0,0,0,0">
                    <w:txbxContent>
                      <w:p w:rsidR="00EE13F6" w:rsidRDefault="002E5BC4">
                        <w:r>
                          <w:rPr>
                            <w:color w:val="585858"/>
                            <w:sz w:val="9"/>
                          </w:rPr>
                          <w:t>6</w:t>
                        </w:r>
                      </w:p>
                    </w:txbxContent>
                  </v:textbox>
                </v:rect>
                <v:rect id="Rectangle 203824" o:spid="_x0000_s1442" style="position:absolute;left:3841;top:12252;width:216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0/MgA&#10;AADfAAAADwAAAGRycy9kb3ducmV2LnhtbESPT2vCQBTE70K/w/IK3nTTKBJTV5Gq6NE/BdvbI/ua&#10;hGbfhuxqYj99VxA8DjPzG2a26EwlrtS40rKCt2EEgjizuuRcwedpM0hAOI+ssbJMCm7kYDF/6c0w&#10;1bblA12PPhcBwi5FBYX3dSqlywoy6Ia2Jg7ej20M+iCbXOoG2wA3lYyjaCINlhwWCqzpo6Ds93gx&#10;CrZJvfza2b82r9bf2/P+PF2dpl6p/mu3fAfhqfPP8KO90wriaJTE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PT8yAAAAN8AAAAPAAAAAAAAAAAAAAAAAJgCAABk&#10;cnMvZG93bnJldi54bWxQSwUGAAAAAAQABAD1AAAAjQMAAAAA&#10;" filled="f" stroked="f">
                  <v:textbox inset="0,0,0,0">
                    <w:txbxContent>
                      <w:p w:rsidR="00EE13F6" w:rsidRDefault="002E5BC4">
                        <w:r>
                          <w:rPr>
                            <w:color w:val="585858"/>
                            <w:sz w:val="9"/>
                          </w:rPr>
                          <w:t>,000%</w:t>
                        </w:r>
                      </w:p>
                    </w:txbxContent>
                  </v:textbox>
                </v:rect>
                <v:rect id="Rectangle 203821" o:spid="_x0000_s1443" style="position:absolute;left:3494;top:10658;width:422;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XZMcA&#10;AADfAAAADwAAAGRycy9kb3ducmV2LnhtbESPT2vCQBTE74LfYXlCb7oxQompq4h/0KPVgu3tkX0m&#10;wezbkF1N2k/vFgSPw8z8hpktOlOJOzWutKxgPIpAEGdWl5wr+DpthwkI55E1VpZJwS85WMz7vRmm&#10;2rb8Sfejz0WAsEtRQeF9nUrpsoIMupGtiYN3sY1BH2STS91gG+CmknEUvUuDJYeFAmtaFZRdjzej&#10;YJfUy++9/WvzavOzOx/O0/Vp6pV6G3TLDxCeOv8KP9t7rSCOJkk8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jV2THAAAA3wAAAA8AAAAAAAAAAAAAAAAAmAIAAGRy&#10;cy9kb3ducmV2LnhtbFBLBQYAAAAABAAEAPUAAACMAwAAAAA=&#10;" filled="f" stroked="f">
                  <v:textbox inset="0,0,0,0">
                    <w:txbxContent>
                      <w:p w:rsidR="00EE13F6" w:rsidRDefault="002E5BC4">
                        <w:r>
                          <w:rPr>
                            <w:color w:val="585858"/>
                            <w:sz w:val="9"/>
                          </w:rPr>
                          <w:t>8</w:t>
                        </w:r>
                      </w:p>
                    </w:txbxContent>
                  </v:textbox>
                </v:rect>
                <v:rect id="Rectangle 203822" o:spid="_x0000_s1444" style="position:absolute;left:3841;top:10658;width:2168;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JE8cA&#10;AADfAAAADwAAAGRycy9kb3ducmV2LnhtbESPQWvCQBSE7wX/w/KE3urGFEpMXUXUokc1gu3tkX1N&#10;gtm3IbuatL/eFQSPw8x8w0znvanFlVpXWVYwHkUgiHOrKy4UHLOvtwSE88gaa8uk4I8czGeDlymm&#10;2na8p+vBFyJA2KWooPS+SaV0eUkG3cg2xMH7ta1BH2RbSN1iF+CmlnEUfUiDFYeFEhtalpSfDxej&#10;YJM0i++t/e+Kev2zOe1Ok1U28Uq9DvvFJwhPvX+GH+2tVhBH70kc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xyRPHAAAA3wAAAA8AAAAAAAAAAAAAAAAAmAIAAGRy&#10;cy9kb3ducmV2LnhtbFBLBQYAAAAABAAEAPUAAACMAwAAAAA=&#10;" filled="f" stroked="f">
                  <v:textbox inset="0,0,0,0">
                    <w:txbxContent>
                      <w:p w:rsidR="00EE13F6" w:rsidRDefault="002E5BC4">
                        <w:r>
                          <w:rPr>
                            <w:color w:val="585858"/>
                            <w:sz w:val="9"/>
                          </w:rPr>
                          <w:t>,000%</w:t>
                        </w:r>
                      </w:p>
                    </w:txbxContent>
                  </v:textbox>
                </v:rect>
                <v:rect id="Rectangle 203820" o:spid="_x0000_s1445" style="position:absolute;left:3892;top:9065;width:2167;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8cA&#10;AADfAAAADwAAAGRycy9kb3ducmV2LnhtbESPzWrCQBSF9wXfYbiCu2bSCCVGRxGtxGWrhbS7S+aa&#10;hGbuhMw0iX36zqLQ5eH88W12k2nFQL1rLCt4imIQxKXVDVcK3q+nxxSE88gaW8uk4E4OdtvZwwYz&#10;bUd+o+HiKxFG2GWooPa+y6R0ZU0GXWQ74uDdbG/QB9lXUvc4hnHTyiSOn6XBhsNDjR0daiq/Lt9G&#10;QZ52+4+z/Rmr9uUzL16L1fG68kot5tN+DcLT5P/Df+2zVpDEyzQJ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v8v/HAAAA3wAAAA8AAAAAAAAAAAAAAAAAmAIAAGRy&#10;cy9kb3ducmV2LnhtbFBLBQYAAAAABAAEAPUAAACMAwAAAAA=&#10;" filled="f" stroked="f">
                  <v:textbox inset="0,0,0,0">
                    <w:txbxContent>
                      <w:p w:rsidR="00EE13F6" w:rsidRDefault="002E5BC4">
                        <w:r>
                          <w:rPr>
                            <w:color w:val="585858"/>
                            <w:sz w:val="9"/>
                          </w:rPr>
                          <w:t>,000%</w:t>
                        </w:r>
                      </w:p>
                    </w:txbxContent>
                  </v:textbox>
                </v:rect>
                <v:rect id="Rectangle 203819" o:spid="_x0000_s1446" style="position:absolute;left:3196;top:9065;width:88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R38gA&#10;AADfAAAADwAAAGRycy9kb3ducmV2LnhtbESPT2vCQBTE7wW/w/IEb3WjQknSbET8gx5bFbS3R/Y1&#10;Cc2+DdnVxH76bqHQ4zAzv2Gy5WAacafO1ZYVzKYRCOLC6ppLBefT7jkG4TyyxsYyKXiQg2U+esow&#10;1bbnd7offSkChF2KCirv21RKV1Rk0E1tSxy8T9sZ9EF2pdQd9gFuGjmPohdpsOawUGFL64qKr+PN&#10;KNjH7ep6sN992Ww/9pe3S7I5JV6pyXhYvYLwNPj/8F/7oBXMo0U8S+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eZHfyAAAAN8AAAAPAAAAAAAAAAAAAAAAAJgCAABk&#10;cnMvZG93bnJldi54bWxQSwUGAAAAAAQABAD1AAAAjQMAAAAA&#10;" filled="f" stroked="f">
                  <v:textbox inset="0,0,0,0">
                    <w:txbxContent>
                      <w:p w:rsidR="00EE13F6" w:rsidRDefault="002E5BC4">
                        <w:r>
                          <w:rPr>
                            <w:color w:val="585858"/>
                            <w:sz w:val="9"/>
                          </w:rPr>
                          <w:t>10</w:t>
                        </w:r>
                      </w:p>
                    </w:txbxContent>
                  </v:textbox>
                </v:rect>
                <v:rect id="Rectangle 203817" o:spid="_x0000_s1447" style="position:absolute;left:3196;top:7472;width:88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gNsgA&#10;AADfAAAADwAAAGRycy9kb3ducmV2LnhtbESPT2vCQBTE7wW/w/KE3upGC22M2YjYFj3WP6DeHtln&#10;Esy+DdmtSf30bqHgcZiZ3zDpvDe1uFLrKssKxqMIBHFudcWFgv3u6yUG4TyyxtoyKfglB/Ns8JRi&#10;om3HG7pufSEChF2CCkrvm0RKl5dk0I1sQxy8s20N+iDbQuoWuwA3tZxE0Zs0WHFYKLGhZUn5Zftj&#10;FKziZnFc21tX1J+n1eH7MP3YTb1Sz8N+MQPhqfeP8H97rRVMotd4/A5/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qqA2yAAAAN8AAAAPAAAAAAAAAAAAAAAAAJgCAABk&#10;cnMvZG93bnJldi54bWxQSwUGAAAAAAQABAD1AAAAjQMAAAAA&#10;" filled="f" stroked="f">
                  <v:textbox inset="0,0,0,0">
                    <w:txbxContent>
                      <w:p w:rsidR="00EE13F6" w:rsidRDefault="002E5BC4">
                        <w:r>
                          <w:rPr>
                            <w:color w:val="585858"/>
                            <w:sz w:val="9"/>
                          </w:rPr>
                          <w:t>12</w:t>
                        </w:r>
                      </w:p>
                    </w:txbxContent>
                  </v:textbox>
                </v:rect>
                <v:rect id="Rectangle 203818" o:spid="_x0000_s1448" style="position:absolute;left:3892;top:7472;width:2167;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0RMQA&#10;AADfAAAADwAAAGRycy9kb3ducmV2LnhtbERPy4rCMBTdC/MP4Q6401QFaatRZEbRpY8Bx92ludOW&#10;aW5KE231681CcHk47/myM5W4UeNKywpGwwgEcWZ1ybmCn9NmEINwHlljZZkU3MnBcvHRm2OqbcsH&#10;uh19LkIIuxQVFN7XqZQuK8igG9qaOHB/tjHoA2xyqRtsQ7ip5DiKptJgyaGhwJq+Csr+j1ejYBvX&#10;q9+dfbR5tb5sz/tz8n1KvFL9z241A+Gp82/xy73TCsbRJB6FweF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1NETEAAAA3wAAAA8AAAAAAAAAAAAAAAAAmAIAAGRycy9k&#10;b3ducmV2LnhtbFBLBQYAAAAABAAEAPUAAACJAwAAAAA=&#10;" filled="f" stroked="f">
                  <v:textbox inset="0,0,0,0">
                    <w:txbxContent>
                      <w:p w:rsidR="00EE13F6" w:rsidRDefault="002E5BC4">
                        <w:r>
                          <w:rPr>
                            <w:color w:val="585858"/>
                            <w:sz w:val="9"/>
                          </w:rPr>
                          <w:t>,000%</w:t>
                        </w:r>
                      </w:p>
                    </w:txbxContent>
                  </v:textbox>
                </v:rect>
                <v:rect id="Rectangle 203816" o:spid="_x0000_s1449" style="position:absolute;left:3892;top:5879;width:2167;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FrccA&#10;AADfAAAADwAAAGRycy9kb3ducmV2LnhtbESPT4vCMBTE7wv7HcJb8LamKkitRpFV0aN/FtTbo3m2&#10;ZZuX0kRb/fRGEPY4zMxvmMmsNaW4Ue0Kywp63QgEcWp1wZmC38PqOwbhPLLG0jIpuJOD2fTzY4KJ&#10;tg3v6Lb3mQgQdgkqyL2vEildmpNB17UVcfAutjbog6wzqWtsAtyUsh9FQ2mw4LCQY0U/OaV/+6tR&#10;sI6r+WljH01WLs/r4/Y4WhxGXqnOVzsfg/DU+v/wu73RCvrRIO4N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mBa3HAAAA3wAAAA8AAAAAAAAAAAAAAAAAmAIAAGRy&#10;cy9kb3ducmV2LnhtbFBLBQYAAAAABAAEAPUAAACMAwAAAAA=&#10;" filled="f" stroked="f">
                  <v:textbox inset="0,0,0,0">
                    <w:txbxContent>
                      <w:p w:rsidR="00EE13F6" w:rsidRDefault="002E5BC4">
                        <w:r>
                          <w:rPr>
                            <w:color w:val="585858"/>
                            <w:sz w:val="9"/>
                          </w:rPr>
                          <w:t>,000%</w:t>
                        </w:r>
                      </w:p>
                    </w:txbxContent>
                  </v:textbox>
                </v:rect>
                <v:rect id="Rectangle 203815" o:spid="_x0000_s1450" style="position:absolute;left:3196;top:5879;width:88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b2sgA&#10;AADfAAAADwAAAGRycy9kb3ducmV2LnhtbESPT2vCQBTE7wW/w/KE3upGS0uM2YjYFj3WP6DeHtln&#10;Esy+DdmtSf30bqHgcZiZ3zDpvDe1uFLrKssKxqMIBHFudcWFgv3u6yUG4TyyxtoyKfglB/Ns8JRi&#10;om3HG7pufSEChF2CCkrvm0RKl5dk0I1sQxy8s20N+iDbQuoWuwA3tZxE0bs0WHFYKLGhZUn5Zftj&#10;FKziZnFc21tX1J+n1eH7MP3YTb1Sz8N+MQPhqfeP8H97rRVMotd4/AZ/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JvayAAAAN8AAAAPAAAAAAAAAAAAAAAAAJgCAABk&#10;cnMvZG93bnJldi54bWxQSwUGAAAAAAQABAD1AAAAjQMAAAAA&#10;" filled="f" stroked="f">
                  <v:textbox inset="0,0,0,0">
                    <w:txbxContent>
                      <w:p w:rsidR="00EE13F6" w:rsidRDefault="002E5BC4">
                        <w:r>
                          <w:rPr>
                            <w:color w:val="585858"/>
                            <w:sz w:val="9"/>
                          </w:rPr>
                          <w:t>14</w:t>
                        </w:r>
                      </w:p>
                    </w:txbxContent>
                  </v:textbox>
                </v:rect>
                <v:rect id="Rectangle 203831" o:spid="_x0000_s1451" style="position:absolute;left:7688;top:17705;width:421;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BucgA&#10;AADfAAAADwAAAGRycy9kb3ducmV2LnhtbESPQWvCQBSE74L/YXlCb2ajQolpVhHbYo5tFGxvj+xr&#10;Esy+DdmtSfvruwXB4zAz3zDZdjStuFLvGssKFlEMgri0uuFKwen4Ok9AOI+ssbVMCn7IwXYznWSY&#10;ajvwO10LX4kAYZeigtr7LpXSlTUZdJHtiIP3ZXuDPsi+krrHIcBNK5dx/CgNNhwWauxoX1N5Kb6N&#10;gkPS7T5y+ztU7cvn4fx2Xj8f116ph9m4ewLhafT38K2dawXLeJWsFvD/J3w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sG5yAAAAN8AAAAPAAAAAAAAAAAAAAAAAJgCAABk&#10;cnMvZG93bnJldi54bWxQSwUGAAAAAAQABAD1AAAAjQMAAAAA&#10;" filled="f" stroked="f">
                  <v:textbox inset="0,0,0,0">
                    <w:txbxContent>
                      <w:p w:rsidR="00EE13F6" w:rsidRDefault="002E5BC4">
                        <w:r>
                          <w:rPr>
                            <w:color w:val="585858"/>
                            <w:sz w:val="9"/>
                          </w:rPr>
                          <w:t>1</w:t>
                        </w:r>
                      </w:p>
                    </w:txbxContent>
                  </v:textbox>
                </v:rect>
                <v:rect id="Rectangle 203833" o:spid="_x0000_s1452" style="position:absolute;left:8035;top:17705;width:20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6VcgA&#10;AADfAAAADwAAAGRycy9kb3ducmV2LnhtbESPQWvCQBSE74L/YXlCb7rRgMQ0q4it6LHVgu3tkX0m&#10;wezbkF2T1F/fLRR6HGbmGybbDKYWHbWusqxgPotAEOdWV1wo+DjvpwkI55E11pZJwTc52KzHowxT&#10;bXt+p+7kCxEg7FJUUHrfpFK6vCSDbmYb4uBdbWvQB9kWUrfYB7ip5SKKltJgxWGhxIZ2JeW3090o&#10;OCTN9vNoH31Rv34dLm+X1ct55ZV6mgzbZxCeBv8f/msftYJFFCdxDL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JPpVyAAAAN8AAAAPAAAAAAAAAAAAAAAAAJgCAABk&#10;cnMvZG93bnJldi54bWxQSwUGAAAAAAQABAD1AAAAjQMAAAAA&#10;" filled="f" stroked="f">
                  <v:textbox inset="0,0,0,0">
                    <w:txbxContent>
                      <w:p w:rsidR="00EE13F6" w:rsidRDefault="002E5BC4">
                        <w:r>
                          <w:rPr>
                            <w:color w:val="585858"/>
                            <w:sz w:val="9"/>
                          </w:rPr>
                          <w:t>,</w:t>
                        </w:r>
                      </w:p>
                    </w:txbxContent>
                  </v:textbox>
                </v:rect>
                <v:rect id="Rectangle 203832" o:spid="_x0000_s1453" style="position:absolute;left:8175;top:17705;width:884;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fzsgA&#10;AADfAAAADwAAAGRycy9kb3ducmV2LnhtbESPQWvCQBSE74X+h+UVvNVNI0iMWUXaih5bFdTbI/ua&#10;hGbfhuyaRH99tyB4HGbmGyZbDqYWHbWusqzgbRyBIM6trrhQcNivXxMQziNrrC2Tgis5WC6enzJM&#10;te35m7qdL0SAsEtRQel9k0rp8pIMurFtiIP3Y1uDPsi2kLrFPsBNLeMomkqDFYeFEht6Lyn/3V2M&#10;gk3SrE5be+uL+vO8OX4dZx/7mVdq9DKs5iA8Df4Rvre3WkEcTZJJDP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F/OyAAAAN8AAAAPAAAAAAAAAAAAAAAAAJgCAABk&#10;cnMvZG93bnJldi54bWxQSwUGAAAAAAQABAD1AAAAjQMAAAAA&#10;" filled="f" stroked="f">
                  <v:textbox inset="0,0,0,0">
                    <w:txbxContent>
                      <w:p w:rsidR="00EE13F6" w:rsidRDefault="002E5BC4">
                        <w:r>
                          <w:rPr>
                            <w:color w:val="585858"/>
                            <w:sz w:val="9"/>
                          </w:rPr>
                          <w:t>25</w:t>
                        </w:r>
                      </w:p>
                    </w:txbxContent>
                  </v:textbox>
                </v:rect>
                <v:rect id="Rectangle 203835" o:spid="_x0000_s1454" style="position:absolute;left:12662;top:17705;width:884;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HusgA&#10;AADfAAAADwAAAGRycy9kb3ducmV2LnhtbESPQWvCQBSE70L/w/IK3nRTRYmpq0ir6FFjwfb2yL4m&#10;odm3Ibua6K93BaHHYWa+YebLzlTiQo0rLSt4G0YgiDOrS84VfB03gxiE88gaK8uk4EoOlouX3hwT&#10;bVs+0CX1uQgQdgkqKLyvEyldVpBBN7Q1cfB+bWPQB9nkUjfYBrip5CiKptJgyWGhwJo+Csr+0rNR&#10;sI3r1ffO3tq8Wv9sT/vT7PM480r1X7vVOwhPnf8PP9s7rWAUjePxB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ce6yAAAAN8AAAAPAAAAAAAAAAAAAAAAAJgCAABk&#10;cnMvZG93bnJldi54bWxQSwUGAAAAAAQABAD1AAAAjQMAAAAA&#10;" filled="f" stroked="f">
                  <v:textbox inset="0,0,0,0">
                    <w:txbxContent>
                      <w:p w:rsidR="00EE13F6" w:rsidRDefault="002E5BC4">
                        <w:r>
                          <w:rPr>
                            <w:color w:val="585858"/>
                            <w:sz w:val="9"/>
                          </w:rPr>
                          <w:t>43</w:t>
                        </w:r>
                      </w:p>
                    </w:txbxContent>
                  </v:textbox>
                </v:rect>
                <v:rect id="Rectangle 203836" o:spid="_x0000_s1455" style="position:absolute;left:12522;top:17705;width:20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ZzccA&#10;AADfAAAADwAAAGRycy9kb3ducmV2LnhtbESPT4vCMBTE74LfITzBm6YqSO0aRfyDHl0V3L09mrdt&#10;sXkpTbTd/fRmQfA4zMxvmPmyNaV4UO0KywpGwwgEcWp1wZmCy3k3iEE4j6yxtEwKfsnBctHtzDHR&#10;tuFPepx8JgKEXYIKcu+rREqX5mTQDW1FHLwfWxv0QdaZ1DU2AW5KOY6iqTRYcFjIsaJ1TuntdDcK&#10;9nG1+jrYvyYrt9/76/E625xnXql+r119gPDU+nf41T5oBeNoEk+m8P8nf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TWc3HAAAA3wAAAA8AAAAAAAAAAAAAAAAAmAIAAGRy&#10;cy9kb3ducmV2LnhtbFBLBQYAAAAABAAEAPUAAACMAwAAAAA=&#10;" filled="f" stroked="f">
                  <v:textbox inset="0,0,0,0">
                    <w:txbxContent>
                      <w:p w:rsidR="00EE13F6" w:rsidRDefault="002E5BC4">
                        <w:r>
                          <w:rPr>
                            <w:color w:val="585858"/>
                            <w:sz w:val="9"/>
                          </w:rPr>
                          <w:t>,</w:t>
                        </w:r>
                      </w:p>
                    </w:txbxContent>
                  </v:textbox>
                </v:rect>
                <v:rect id="Rectangle 203834" o:spid="_x0000_s1456" style="position:absolute;left:12175;top:17705;width:42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iIcgA&#10;AADfAAAADwAAAGRycy9kb3ducmV2LnhtbESPQWvCQBSE70L/w/IK3nRTFYmpq0ir6FFjwfb2yL4m&#10;odm3Ibua6K93BaHHYWa+YebLzlTiQo0rLSt4G0YgiDOrS84VfB03gxiE88gaK8uk4EoOlouX3hwT&#10;bVs+0CX1uQgQdgkqKLyvEyldVpBBN7Q1cfB+bWPQB9nkUjfYBrip5CiKptJgyWGhwJo+Csr+0rNR&#10;sI3r1ffO3tq8Wv9sT/vT7PM480r1X7vVOwhPnf8PP9s7rWAUjePxB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WIhyAAAAN8AAAAPAAAAAAAAAAAAAAAAAJgCAABk&#10;cnMvZG93bnJldi54bWxQSwUGAAAAAAQABAD1AAAAjQMAAAAA&#10;" filled="f" stroked="f">
                  <v:textbox inset="0,0,0,0">
                    <w:txbxContent>
                      <w:p w:rsidR="00EE13F6" w:rsidRDefault="002E5BC4">
                        <w:r>
                          <w:rPr>
                            <w:color w:val="585858"/>
                            <w:sz w:val="9"/>
                          </w:rPr>
                          <w:t>1</w:t>
                        </w:r>
                      </w:p>
                    </w:txbxContent>
                  </v:textbox>
                </v:rect>
                <v:rect id="Rectangle 203839" o:spid="_x0000_s1457" style="position:absolute;left:17009;top:17705;width:20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zNv8gA&#10;AADfAAAADwAAAGRycy9kb3ducmV2LnhtbESPQWvCQBSE7wX/w/IEb3WjQknSbERsix6rKdjeHtnX&#10;JDT7NmS3JvbXdwXB4zAz3zDZejStOFPvGssKFvMIBHFpdcOVgo/i7TEG4TyyxtYyKbiQg3U+ecgw&#10;1XbgA52PvhIBwi5FBbX3XSqlK2sy6Oa2Iw7et+0N+iD7SuoehwA3rVxG0ZM02HBYqLGjbU3lz/HX&#10;KNjF3eZzb/+Gqn392p3eT8lLkXilZtNx8wzC0+jv4Vt7rxUso1W8SuD6J3wBm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zM2/yAAAAN8AAAAPAAAAAAAAAAAAAAAAAJgCAABk&#10;cnMvZG93bnJldi54bWxQSwUGAAAAAAQABAD1AAAAjQMAAAAA&#10;" filled="f" stroked="f">
                  <v:textbox inset="0,0,0,0">
                    <w:txbxContent>
                      <w:p w:rsidR="00EE13F6" w:rsidRDefault="002E5BC4">
                        <w:r>
                          <w:rPr>
                            <w:color w:val="585858"/>
                            <w:sz w:val="9"/>
                          </w:rPr>
                          <w:t>,</w:t>
                        </w:r>
                      </w:p>
                    </w:txbxContent>
                  </v:textbox>
                </v:rect>
                <v:rect id="Rectangle 203838" o:spid="_x0000_s1458" style="position:absolute;left:17149;top:17705;width:884;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oJMQA&#10;AADfAAAADwAAAGRycy9kb3ducmV2LnhtbERPy4rCMBTdC/5DuMLsNFVhqNUo4gNdOiqou0tzbYvN&#10;TWmi7czXm8WAy8N5zxatKcWLaldYVjAcRCCIU6sLzhScT9t+DMJ5ZI2lZVLwSw4W825nhom2Df/Q&#10;6+gzEULYJagg975KpHRpTgbdwFbEgbvb2qAPsM6krrEJ4aaUoyj6lgYLDg05VrTKKX0cn0bBLq6W&#10;1739a7Jyc9tdDpfJ+jTxSn312uUUhKfWf8T/7r1WMIrG8TgMDn/CF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aCTEAAAA3wAAAA8AAAAAAAAAAAAAAAAAmAIAAGRycy9k&#10;b3ducmV2LnhtbFBLBQYAAAAABAAEAPUAAACJAwAAAAA=&#10;" filled="f" stroked="f">
                  <v:textbox inset="0,0,0,0">
                    <w:txbxContent>
                      <w:p w:rsidR="00EE13F6" w:rsidRDefault="002E5BC4">
                        <w:r>
                          <w:rPr>
                            <w:color w:val="585858"/>
                            <w:sz w:val="9"/>
                          </w:rPr>
                          <w:t>67</w:t>
                        </w:r>
                      </w:p>
                    </w:txbxContent>
                  </v:textbox>
                </v:rect>
                <v:rect id="Rectangle 203837" o:spid="_x0000_s1459" style="position:absolute;left:16662;top:17705;width:42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sgA&#10;AADfAAAADwAAAGRycy9kb3ducmV2LnhtbESPQWvCQBSE70L/w/IK3nRTBY2pq0ir6FFjwfb2yL4m&#10;odm3Ibua6K93BaHHYWa+YebLzlTiQo0rLSt4G0YgiDOrS84VfB03gxiE88gaK8uk4EoOlouX3hwT&#10;bVs+0CX1uQgQdgkqKLyvEyldVpBBN7Q1cfB+bWPQB9nkUjfYBrip5CiKJtJgyWGhwJo+Csr+0rNR&#10;sI3r1ffO3tq8Wv9sT/vT7PM480r1X7vVOwhPnf8PP9s7rWAUjePxF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H/xWyAAAAN8AAAAPAAAAAAAAAAAAAAAAAJgCAABk&#10;cnMvZG93bnJldi54bWxQSwUGAAAAAAQABAD1AAAAjQMAAAAA&#10;" filled="f" stroked="f">
                  <v:textbox inset="0,0,0,0">
                    <w:txbxContent>
                      <w:p w:rsidR="00EE13F6" w:rsidRDefault="002E5BC4">
                        <w:r>
                          <w:rPr>
                            <w:color w:val="585858"/>
                            <w:sz w:val="9"/>
                          </w:rPr>
                          <w:t>1</w:t>
                        </w:r>
                      </w:p>
                    </w:txbxContent>
                  </v:textbox>
                </v:rect>
                <v:rect id="Rectangle 203840" o:spid="_x0000_s1460" style="position:absolute;left:21149;top:17705;width:42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XX8cA&#10;AADfAAAADwAAAGRycy9kb3ducmV2LnhtbESPzWrCQBSF9wXfYbhCd3VSLSVGRxG1xGVNBNvdJXNN&#10;QjN3QmaapH36zqLg8nD++Nbb0TSip87VlhU8zyIQxIXVNZcKLvnbUwzCeWSNjWVS8EMOtpvJwxoT&#10;bQc+U5/5UoQRdgkqqLxvEyldUZFBN7MtcfButjPog+xKqTscwrhp5DyKXqXBmsNDhS3tKyq+sm+j&#10;II3b3cfJ/g5lc/xMr+/X5SFfeqUep+NuBcLT6O/h//ZJK5hHi/glEASew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wF1/HAAAA3wAAAA8AAAAAAAAAAAAAAAAAmAIAAGRy&#10;cy9kb3ducmV2LnhtbFBLBQYAAAAABAAEAPUAAACMAwAAAAA=&#10;" filled="f" stroked="f">
                  <v:textbox inset="0,0,0,0">
                    <w:txbxContent>
                      <w:p w:rsidR="00EE13F6" w:rsidRDefault="002E5BC4">
                        <w:r>
                          <w:rPr>
                            <w:color w:val="585858"/>
                            <w:sz w:val="9"/>
                          </w:rPr>
                          <w:t>2</w:t>
                        </w:r>
                      </w:p>
                    </w:txbxContent>
                  </v:textbox>
                </v:rect>
                <v:rect id="Rectangle 203842" o:spid="_x0000_s1461" style="position:absolute;left:21496;top:17705;width:20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ss8gA&#10;AADfAAAADwAAAGRycy9kb3ducmV2LnhtbESPT2vCQBTE70K/w/IK3nTTKBJTV5Gq6NE/BdvbI/ua&#10;hGbfhuxqYj99VxA8DjPzG2a26EwlrtS40rKCt2EEgjizuuRcwedpM0hAOI+ssbJMCm7kYDF/6c0w&#10;1bblA12PPhcBwi5FBYX3dSqlywoy6Ia2Jg7ej20M+iCbXOoG2wA3lYyjaCINlhwWCqzpo6Ds93gx&#10;CrZJvfza2b82r9bf2/P+PF2dpl6p/mu3fAfhqfPP8KO90wriaJSM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biyzyAAAAN8AAAAPAAAAAAAAAAAAAAAAAJgCAABk&#10;cnMvZG93bnJldi54bWxQSwUGAAAAAAQABAD1AAAAjQMAAAAA&#10;" filled="f" stroked="f">
                  <v:textbox inset="0,0,0,0">
                    <w:txbxContent>
                      <w:p w:rsidR="00EE13F6" w:rsidRDefault="002E5BC4">
                        <w:r>
                          <w:rPr>
                            <w:color w:val="585858"/>
                            <w:sz w:val="9"/>
                          </w:rPr>
                          <w:t>,</w:t>
                        </w:r>
                      </w:p>
                    </w:txbxContent>
                  </v:textbox>
                </v:rect>
                <v:rect id="Rectangle 203841" o:spid="_x0000_s1462" style="position:absolute;left:21636;top:17705;width:884;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yxMgA&#10;AADfAAAADwAAAGRycy9kb3ducmV2LnhtbESPT2vCQBTE7wW/w/KE3upGW0qM2YjYFj3WP6DeHtln&#10;Esy+DdmtSf30bqHgcZiZ3zDpvDe1uFLrKssKxqMIBHFudcWFgv3u6yUG4TyyxtoyKfglB/Ns8JRi&#10;om3HG7pufSEChF2CCkrvm0RKl5dk0I1sQxy8s20N+iDbQuoWuwA3tZxE0bs0WHFYKLGhZUn5Zftj&#10;FKziZnFc21tX1J+n1eH7MP3YTb1Sz8N+MQPhqfeP8H97rRVMotf4bQx/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vLLEyAAAAN8AAAAPAAAAAAAAAAAAAAAAAJgCAABk&#10;cnMvZG93bnJldi54bWxQSwUGAAAAAAQABAD1AAAAjQMAAAAA&#10;" filled="f" stroked="f">
                  <v:textbox inset="0,0,0,0">
                    <w:txbxContent>
                      <w:p w:rsidR="00EE13F6" w:rsidRDefault="002E5BC4">
                        <w:r>
                          <w:rPr>
                            <w:color w:val="585858"/>
                            <w:sz w:val="9"/>
                          </w:rPr>
                          <w:t>00</w:t>
                        </w:r>
                      </w:p>
                    </w:txbxContent>
                  </v:textbox>
                </v:rect>
                <v:rect id="Rectangle 203845" o:spid="_x0000_s1463" style="position:absolute;left:25984;top:17705;width:20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0x8gA&#10;AADfAAAADwAAAGRycy9kb3ducmV2LnhtbESPW2vCQBSE34X+h+UIvunGW4mpq4gX9NFqwfbtkD1N&#10;QrNnQ3Y10V/fLQh9HGbmG2a+bE0pblS7wrKC4SACQZxaXXCm4OO868cgnEfWWFomBXdysFy8dOaY&#10;aNvwO91OPhMBwi5BBbn3VSKlS3My6Aa2Ig7et60N+iDrTOoamwA3pRxF0as0WHBYyLGidU7pz+lq&#10;FOzjavV5sI8mK7df+8vxMtucZ16pXrddvYHw1Pr/8LN90ApG0TieTOHvT/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h7THyAAAAN8AAAAPAAAAAAAAAAAAAAAAAJgCAABk&#10;cnMvZG93bnJldi54bWxQSwUGAAAAAAQABAD1AAAAjQMAAAAA&#10;" filled="f" stroked="f">
                  <v:textbox inset="0,0,0,0">
                    <w:txbxContent>
                      <w:p w:rsidR="00EE13F6" w:rsidRDefault="002E5BC4">
                        <w:r>
                          <w:rPr>
                            <w:color w:val="585858"/>
                            <w:sz w:val="9"/>
                          </w:rPr>
                          <w:t>,</w:t>
                        </w:r>
                      </w:p>
                    </w:txbxContent>
                  </v:textbox>
                </v:rect>
                <v:rect id="Rectangle 203844" o:spid="_x0000_s1464" style="position:absolute;left:26123;top:17705;width:884;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RXMgA&#10;AADfAAAADwAAAGRycy9kb3ducmV2LnhtbESPT2vCQBTE7wW/w/KE3upGKyXGbES0RY/1D6i3R/aZ&#10;BLNvQ3Zr0n76bqHgcZiZ3zDpoje1uFPrKssKxqMIBHFudcWFguPh4yUG4TyyxtoyKfgmB4ts8JRi&#10;om3HO7rvfSEChF2CCkrvm0RKl5dk0I1sQxy8q20N+iDbQuoWuwA3tZxE0Zs0WHFYKLGhVUn5bf9l&#10;FGziZnne2p+uqN8vm9PnabY+zLxSz8N+OQfhqfeP8H97qxVMotd4Oo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yxFcyAAAAN8AAAAPAAAAAAAAAAAAAAAAAJgCAABk&#10;cnMvZG93bnJldi54bWxQSwUGAAAAAAQABAD1AAAAjQMAAAAA&#10;" filled="f" stroked="f">
                  <v:textbox inset="0,0,0,0">
                    <w:txbxContent>
                      <w:p w:rsidR="00EE13F6" w:rsidRDefault="002E5BC4">
                        <w:r>
                          <w:rPr>
                            <w:color w:val="585858"/>
                            <w:sz w:val="9"/>
                          </w:rPr>
                          <w:t>50</w:t>
                        </w:r>
                      </w:p>
                    </w:txbxContent>
                  </v:textbox>
                </v:rect>
                <v:rect id="Rectangle 203843" o:spid="_x0000_s1465" style="position:absolute;left:25636;top:17705;width:42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JKMgA&#10;AADfAAAADwAAAGRycy9kb3ducmV2LnhtbESPQWvCQBSE70L/w/IK3nRTFYmpq0ir6FFjwfb2yL4m&#10;odm3Ibua6K93BaHHYWa+YebLzlTiQo0rLSt4G0YgiDOrS84VfB03gxiE88gaK8uk4EoOlouX3hwT&#10;bVs+0CX1uQgQdgkqKLyvEyldVpBBN7Q1cfB+bWPQB9nkUjfYBrip5CiKptJgyWGhwJo+Csr+0rNR&#10;sI3r1ffO3tq8Wv9sT/vT7PM480r1X7vVOwhPnf8PP9s7rWAUjePJG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IokoyAAAAN8AAAAPAAAAAAAAAAAAAAAAAJgCAABk&#10;cnMvZG93bnJldi54bWxQSwUGAAAAAAQABAD1AAAAjQMAAAAA&#10;" filled="f" stroked="f">
                  <v:textbox inset="0,0,0,0">
                    <w:txbxContent>
                      <w:p w:rsidR="00EE13F6" w:rsidRDefault="002E5BC4">
                        <w:r>
                          <w:rPr>
                            <w:color w:val="585858"/>
                            <w:sz w:val="9"/>
                          </w:rPr>
                          <w:t>2</w:t>
                        </w:r>
                      </w:p>
                    </w:txbxContent>
                  </v:textbox>
                </v:rect>
                <v:rect id="Rectangle 203847" o:spid="_x0000_s1466" style="position:absolute;left:30610;top:17705;width:884;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K8kA&#10;AADfAAAADwAAAGRycy9kb3ducmV2LnhtbESPW2vCQBSE34X+h+UIvunGCzamriJe0EerBdu3Q/Y0&#10;Cc2eDdnVRH99tyD0cZiZb5j5sjWluFHtCssKhoMIBHFqdcGZgo/zrh+DcB5ZY2mZFNzJwXLx0plj&#10;om3D73Q7+UwECLsEFeTeV4mULs3JoBvYijh437Y26IOsM6lrbALclHIURVNpsOCwkGNF65zSn9PV&#10;KNjH1erzYB9NVm6/9pfjZbY5z7xSvW67egPhqfX/4Wf7oBWMonE8eYW/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mPK8kAAADfAAAADwAAAAAAAAAAAAAAAACYAgAA&#10;ZHJzL2Rvd25yZXYueG1sUEsFBgAAAAAEAAQA9QAAAI4DAAAAAA==&#10;" filled="f" stroked="f">
                  <v:textbox inset="0,0,0,0">
                    <w:txbxContent>
                      <w:p w:rsidR="00EE13F6" w:rsidRDefault="002E5BC4">
                        <w:r>
                          <w:rPr>
                            <w:color w:val="585858"/>
                            <w:sz w:val="9"/>
                          </w:rPr>
                          <w:t>33</w:t>
                        </w:r>
                      </w:p>
                    </w:txbxContent>
                  </v:textbox>
                </v:rect>
                <v:rect id="Rectangle 203848" o:spid="_x0000_s1467" style="position:absolute;left:30471;top:17705;width:20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bWcYA&#10;AADfAAAADwAAAGRycy9kb3ducmV2LnhtbERPTWvCQBC9F/wPywi91U21lBhdRdQSjzURbG9DdkxC&#10;s7Mhu03S/vruoeDx8b7X29E0oqfO1ZYVPM8iEMSF1TWXCi7521MMwnlkjY1lUvBDDrabycMaE20H&#10;PlOf+VKEEHYJKqi8bxMpXVGRQTezLXHgbrYz6APsSqk7HEK4aeQ8il6lwZpDQ4Ut7SsqvrJvoyCN&#10;293Hyf4OZXP8TK/v1+UhX3qlHqfjbgXC0+jv4n/3SSuYR4v4JQwOf8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YbWcYAAADfAAAADwAAAAAAAAAAAAAAAACYAgAAZHJz&#10;L2Rvd25yZXYueG1sUEsFBgAAAAAEAAQA9QAAAIsDAAAAAA==&#10;" filled="f" stroked="f">
                  <v:textbox inset="0,0,0,0">
                    <w:txbxContent>
                      <w:p w:rsidR="00EE13F6" w:rsidRDefault="002E5BC4">
                        <w:r>
                          <w:rPr>
                            <w:color w:val="585858"/>
                            <w:sz w:val="9"/>
                          </w:rPr>
                          <w:t>,</w:t>
                        </w:r>
                      </w:p>
                    </w:txbxContent>
                  </v:textbox>
                </v:rect>
                <v:rect id="Rectangle 203846" o:spid="_x0000_s1468" style="position:absolute;left:30123;top:17705;width:42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qsMgA&#10;AADfAAAADwAAAGRycy9kb3ducmV2LnhtbESPT2vCQBTE74LfYXlCb7pRi8TUVUQteqx/wPb2yL4m&#10;wezbkN2a6Kd3hYLHYWZ+w8wWrSnFlWpXWFYwHEQgiFOrC84UnI6f/RiE88gaS8uk4EYOFvNuZ4aJ&#10;tg3v6XrwmQgQdgkqyL2vEildmpNBN7AVcfB+bW3QB1lnUtfYBLgp5SiKJtJgwWEhx4pWOaWXw59R&#10;sI2r5ffO3pus3Pxsz1/n6fo49Uq99drlBwhPrX+F/9s7rWAUjeP3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VSqwyAAAAN8AAAAPAAAAAAAAAAAAAAAAAJgCAABk&#10;cnMvZG93bnJldi54bWxQSwUGAAAAAAQABAD1AAAAjQMAAAAA&#10;" filled="f" stroked="f">
                  <v:textbox inset="0,0,0,0">
                    <w:txbxContent>
                      <w:p w:rsidR="00EE13F6" w:rsidRDefault="002E5BC4">
                        <w:r>
                          <w:rPr>
                            <w:color w:val="585858"/>
                            <w:sz w:val="9"/>
                          </w:rPr>
                          <w:t>3</w:t>
                        </w:r>
                      </w:p>
                    </w:txbxContent>
                  </v:textbox>
                </v:rect>
                <v:rect id="Rectangle 203851" o:spid="_x0000_s1469" style="position:absolute;left:34958;top:17705;width:20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kGcgA&#10;AADfAAAADwAAAGRycy9kb3ducmV2LnhtbESPT2vCQBTE7wW/w/KE3upGS0uM2YjYFj3WP6DeHtln&#10;Esy+DdmtSf30bqHgcZiZ3zDpvDe1uFLrKssKxqMIBHFudcWFgv3u6yUG4TyyxtoyKfglB/Ns8JRi&#10;om3HG7pufSEChF2CCkrvm0RKl5dk0I1sQxy8s20N+iDbQuoWuwA3tZxE0bs0WHFYKLGhZUn5Zftj&#10;FKziZnFc21tX1J+n1eH7MP3YTb1Sz8N+MQPhqfeP8H97rRVMotf4bQx/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ZSQZyAAAAN8AAAAPAAAAAAAAAAAAAAAAAJgCAABk&#10;cnMvZG93bnJldi54bWxQSwUGAAAAAAQABAD1AAAAjQMAAAAA&#10;" filled="f" stroked="f">
                  <v:textbox inset="0,0,0,0">
                    <w:txbxContent>
                      <w:p w:rsidR="00EE13F6" w:rsidRDefault="002E5BC4">
                        <w:r>
                          <w:rPr>
                            <w:color w:val="585858"/>
                            <w:sz w:val="9"/>
                          </w:rPr>
                          <w:t>,</w:t>
                        </w:r>
                      </w:p>
                    </w:txbxContent>
                  </v:textbox>
                </v:rect>
                <v:rect id="Rectangle 203849" o:spid="_x0000_s1470" style="position:absolute;left:34610;top:17705;width:42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wskA&#10;AADfAAAADwAAAGRycy9kb3ducmV2LnhtbESPT2vCQBTE74V+h+UVequbWilJzEakWvTon4L19sg+&#10;k2D2bchuTeyn7woFj8PM/IbJZoNpxIU6V1tW8DqKQBAXVtdcKvjaf77EIJxH1thYJgVXcjDLHx8y&#10;TLXteUuXnS9FgLBLUUHlfZtK6YqKDLqRbYmDd7KdQR9kV0rdYR/gppHjKHqXBmsOCxW29FFRcd79&#10;GAWruJ1/r+1vXzbL4+qwOSSLfeKVen4a5lMQngZ/D/+311rBOHqLJ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8q+wskAAADfAAAADwAAAAAAAAAAAAAAAACYAgAA&#10;ZHJzL2Rvd25yZXYueG1sUEsFBgAAAAAEAAQA9QAAAI4DAAAAAA==&#10;" filled="f" stroked="f">
                  <v:textbox inset="0,0,0,0">
                    <w:txbxContent>
                      <w:p w:rsidR="00EE13F6" w:rsidRDefault="002E5BC4">
                        <w:r>
                          <w:rPr>
                            <w:color w:val="585858"/>
                            <w:sz w:val="9"/>
                          </w:rPr>
                          <w:t>4</w:t>
                        </w:r>
                      </w:p>
                    </w:txbxContent>
                  </v:textbox>
                </v:rect>
                <v:rect id="Rectangle 203850" o:spid="_x0000_s1471" style="position:absolute;left:35097;top:17705;width:884;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BgscA&#10;AADfAAAADwAAAGRycy9kb3ducmV2LnhtbESPzWrCQBSF9wXfYbhCd3VSpSVGRxG1xGVNBNvdJXNN&#10;QjN3QmaapH36zqLg8nD++Nbb0TSip87VlhU8zyIQxIXVNZcKLvnbUwzCeWSNjWVS8EMOtpvJwxoT&#10;bQc+U5/5UoQRdgkqqLxvEyldUZFBN7MtcfButjPog+xKqTscwrhp5DyKXqXBmsNDhS3tKyq+sm+j&#10;II3b3cfJ/g5lc/xMr+/X5SFfeqUep+NuBcLT6O/h//ZJK5hHi/glEASew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pgYLHAAAA3wAAAA8AAAAAAAAAAAAAAAAAmAIAAGRy&#10;cy9kb3ducmV2LnhtbFBLBQYAAAAABAAEAPUAAACMAwAAAAA=&#10;" filled="f" stroked="f">
                  <v:textbox inset="0,0,0,0">
                    <w:txbxContent>
                      <w:p w:rsidR="00EE13F6" w:rsidRDefault="002E5BC4">
                        <w:r>
                          <w:rPr>
                            <w:color w:val="585858"/>
                            <w:sz w:val="9"/>
                          </w:rPr>
                          <w:t>00</w:t>
                        </w:r>
                      </w:p>
                    </w:txbxContent>
                  </v:textbox>
                </v:rect>
                <v:rect id="Rectangle 19519" o:spid="_x0000_s1472" style="position:absolute;left:39514;top:17705;width:42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Wn8QA&#10;AADeAAAADwAAAGRycy9kb3ducmV2LnhtbERPS4vCMBC+C/sfwgjeNFVYsdUosu6iRx8L6m1oxrbY&#10;TEqTtdVfbwRhb/PxPWe2aE0pblS7wrKC4SACQZxaXXCm4Pfw05+AcB5ZY2mZFNzJwWL+0Zlhom3D&#10;O7rtfSZCCLsEFeTeV4mULs3JoBvYijhwF1sb9AHWmdQ1NiHclHIURWNpsODQkGNFXzml1/2fUbCe&#10;VMvTxj6arPw+r4/bY7w6xF6pXrddTkF4av2/+O3e6DA//hz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Vp/EAAAA3gAAAA8AAAAAAAAAAAAAAAAAmAIAAGRycy9k&#10;b3ducmV2LnhtbFBLBQYAAAAABAAEAPUAAACJAwAAAAA=&#10;" filled="f" stroked="f">
                  <v:textbox inset="0,0,0,0">
                    <w:txbxContent>
                      <w:p w:rsidR="00EE13F6" w:rsidRDefault="002E5BC4">
                        <w:r>
                          <w:rPr>
                            <w:color w:val="585858"/>
                            <w:sz w:val="9"/>
                          </w:rPr>
                          <w:t>5</w:t>
                        </w:r>
                      </w:p>
                    </w:txbxContent>
                  </v:textbox>
                </v:rect>
                <v:rect id="Rectangle 203852" o:spid="_x0000_s1473" style="position:absolute;left:43584;top:17705;width:42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6bsgA&#10;AADfAAAADwAAAGRycy9kb3ducmV2LnhtbESPT2vCQBTE70K/w/IK3nTTiBJTV5Gq6NE/BdvbI/ua&#10;hGbfhuxqYj99VxA8DjPzG2a26EwlrtS40rKCt2EEgjizuuRcwedpM0hAOI+ssbJMCm7kYDF/6c0w&#10;1bblA12PPhcBwi5FBYX3dSqlywoy6Ia2Jg7ej20M+iCbXOoG2wA3lYyjaCINlhwWCqzpo6Ds93gx&#10;CrZJvfza2b82r9bf2/P+PF2dpl6p/mu3fAfhqfPP8KO90wriaJSM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7puyAAAAN8AAAAPAAAAAAAAAAAAAAAAAJgCAABk&#10;cnMvZG93bnJldi54bWxQSwUGAAAAAAQABAD1AAAAjQMAAAAA&#10;" filled="f" stroked="f">
                  <v:textbox inset="0,0,0,0">
                    <w:txbxContent>
                      <w:p w:rsidR="00EE13F6" w:rsidRDefault="002E5BC4">
                        <w:r>
                          <w:rPr>
                            <w:color w:val="585858"/>
                            <w:sz w:val="9"/>
                          </w:rPr>
                          <w:t>6</w:t>
                        </w:r>
                      </w:p>
                    </w:txbxContent>
                  </v:textbox>
                </v:rect>
                <v:rect id="Rectangle 203854" o:spid="_x0000_s1474" style="position:absolute;left:43932;top:17705;width:20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HgcgA&#10;AADfAAAADwAAAGRycy9kb3ducmV2LnhtbESPW2vCQBSE34X+h+UIvunGW4mpq4gX9NFqwfbtkD1N&#10;QrNnQ3Y10V/fLQh9HGbmG2a+bE0pblS7wrKC4SACQZxaXXCm4OO868cgnEfWWFomBXdysFy8dOaY&#10;aNvwO91OPhMBwi5BBbn3VSKlS3My6Aa2Ig7et60N+iDrTOoamwA3pRxF0as0WHBYyLGidU7pz+lq&#10;FOzjavV5sI8mK7df+8vxMtucZ16pXrddvYHw1Pr/8LN90ApG0TieTuDvT/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EoeByAAAAN8AAAAPAAAAAAAAAAAAAAAAAJgCAABk&#10;cnMvZG93bnJldi54bWxQSwUGAAAAAAQABAD1AAAAjQMAAAAA&#10;" filled="f" stroked="f">
                  <v:textbox inset="0,0,0,0">
                    <w:txbxContent>
                      <w:p w:rsidR="00EE13F6" w:rsidRDefault="002E5BC4">
                        <w:r>
                          <w:rPr>
                            <w:color w:val="585858"/>
                            <w:sz w:val="9"/>
                          </w:rPr>
                          <w:t>,</w:t>
                        </w:r>
                      </w:p>
                    </w:txbxContent>
                  </v:textbox>
                </v:rect>
                <v:rect id="Rectangle 203853" o:spid="_x0000_s1475" style="position:absolute;left:44071;top:17705;width:88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9cgA&#10;AADfAAAADwAAAGRycy9kb3ducmV2LnhtbESPQWvCQBSE70L/w/IK3nRTRYmpq0ir6FFjwfb2yL4m&#10;odm3Ibua6K93BaHHYWa+YebLzlTiQo0rLSt4G0YgiDOrS84VfB03gxiE88gaK8uk4EoOlouX3hwT&#10;bVs+0CX1uQgQdgkqKLyvEyldVpBBN7Q1cfB+bWPQB9nkUjfYBrip5CiKptJgyWGhwJo+Csr+0rNR&#10;sI3r1ffO3tq8Wv9sT/vT7PM480r1X7vVOwhPnf8PP9s7rWAUjePJG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1yAAAAN8AAAAPAAAAAAAAAAAAAAAAAJgCAABk&#10;cnMvZG93bnJldi54bWxQSwUGAAAAAAQABAD1AAAAjQMAAAAA&#10;" filled="f" stroked="f">
                  <v:textbox inset="0,0,0,0">
                    <w:txbxContent>
                      <w:p w:rsidR="00EE13F6" w:rsidRDefault="002E5BC4">
                        <w:r>
                          <w:rPr>
                            <w:color w:val="585858"/>
                            <w:sz w:val="9"/>
                          </w:rPr>
                          <w:t>67</w:t>
                        </w:r>
                      </w:p>
                    </w:txbxContent>
                  </v:textbox>
                </v:rect>
                <v:shape id="Shape 19521" o:spid="_x0000_s1476" style="position:absolute;left:11855;top:28069;width:1321;height:0;visibility:visible;mso-wrap-style:square;v-text-anchor:top" coordsize="13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YjMMA&#10;AADeAAAADwAAAGRycy9kb3ducmV2LnhtbERPTWvCQBC9C/6HZYTe6iaCpUZXEWnBY7Wl6G3Mjtlg&#10;djZmt0n8965Q8DaP9zmLVW8r0VLjS8cK0nECgjh3uuRCwc/35+s7CB+QNVaOScGNPKyWw8ECM+06&#10;3lG7D4WIIewzVGBCqDMpfW7Ioh+7mjhyZ9dYDBE2hdQNdjHcVnKSJG/SYsmxwWBNG0P5Zf9nFYTO&#10;mlzbbXq7VtP24/j7tTucCqVeRv16DiJQH57if/dWx/mz6SSF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tYjMMAAADeAAAADwAAAAAAAAAAAAAAAACYAgAAZHJzL2Rv&#10;d25yZXYueG1sUEsFBgAAAAAEAAQA9QAAAIgDAAAAAA==&#10;" path="m,l132112,e" filled="f" strokecolor="#5e5e5e" strokeweight=".33428mm">
                  <v:stroke endcap="round"/>
                  <v:path arrowok="t" textboxrect="0,0,132112,0"/>
                </v:shape>
                <v:rect id="Rectangle 19522" o:spid="_x0000_s1477" style="position:absolute;left:13288;top:27738;width:3554;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OU8UA&#10;AADeAAAADwAAAGRycy9kb3ducmV2LnhtbERPTWvCQBC9F/wPywi91Y2BFpNmI6IteqxGsL0N2WkS&#10;zM6G7Nak/fVdQfA2j/c52XI0rbhQ7xrLCuazCARxaXXDlYJj8f60AOE8ssbWMin4JQfLfPKQYart&#10;wHu6HHwlQgi7FBXU3neplK6syaCb2Y44cN+2N+gD7CupexxCuGllHEUv0mDDoaHGjtY1lefDj1Gw&#10;XXSrz539G6r27Wt7+jglmyLxSj1Ox9UrCE+jv4tv7p0O85PnO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w5TxQAAAN4AAAAPAAAAAAAAAAAAAAAAAJgCAABkcnMv&#10;ZG93bnJldi54bWxQSwUGAAAAAAQABAD1AAAAigMAAAAA&#10;" filled="f" stroked="f">
                  <v:textbox inset="0,0,0,0">
                    <w:txbxContent>
                      <w:p w:rsidR="00EE13F6" w:rsidRDefault="002E5BC4">
                        <w:r>
                          <w:rPr>
                            <w:color w:val="585858"/>
                            <w:sz w:val="9"/>
                          </w:rPr>
                          <w:t>spread</w:t>
                        </w:r>
                        <w:r>
                          <w:rPr>
                            <w:color w:val="585858"/>
                            <w:sz w:val="9"/>
                          </w:rPr>
                          <w:tab/>
                          <w:t>1%</w:t>
                        </w:r>
                      </w:p>
                    </w:txbxContent>
                  </v:textbox>
                </v:rect>
                <v:shape id="Shape 19523" o:spid="_x0000_s1478" style="position:absolute;left:16861;top:28069;width:1321;height:0;visibility:visible;mso-wrap-style:square;v-text-anchor:top" coordsize="13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bg8YA&#10;AADeAAAADwAAAGRycy9kb3ducmV2LnhtbERPTWvCQBC9C/0PyxR60021lpq6CbVQ9CCCtgePY3aa&#10;pM3OxuyaxH/vCoK3ebzPmae9qURLjSstK3geRSCIM6tLzhX8fH8N30A4j6yxskwKzuQgTR4Gc4y1&#10;7XhL7c7nIoSwi1FB4X0dS+myggy6ka2JA/drG4M+wCaXusEuhJtKjqPoVRosOTQUWNNnQdn/7mQU&#10;TF4WR2oPp7XFv/3+vOqWtd4slXp67D/eQXjq/V18c690mD+bjidwfSfcI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pbg8YAAADeAAAADwAAAAAAAAAAAAAAAACYAgAAZHJz&#10;L2Rvd25yZXYueG1sUEsFBgAAAAAEAAQA9QAAAIsDAAAAAA==&#10;" path="m,l132112,e" filled="f" strokecolor="#b3b3b3" strokeweight=".33428mm">
                  <v:stroke endcap="round"/>
                  <v:path arrowok="t" textboxrect="0,0,132112,0"/>
                </v:shape>
                <v:rect id="Rectangle 19524" o:spid="_x0000_s1479" style="position:absolute;left:18349;top:27738;width:4387;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zvMUA&#10;AADeAAAADwAAAGRycy9kb3ducmV2LnhtbERPTWvCQBC9C/6HZQredFOxYmJWEVvRY9VC6m3ITpPQ&#10;7GzIribtr+8WBG/zeJ+TrntTixu1rrKs4HkSgSDOra64UPBx3o0XIJxH1lhbJgU/5GC9Gg5STLTt&#10;+Ei3ky9ECGGXoILS+yaR0uUlGXQT2xAH7su2Bn2AbSF1i10IN7WcRtFcGqw4NJTY0Lak/Pt0NQr2&#10;i2bzebC/XVG/XfbZexa/nmOv1Oip3yxBeOr9Q3x3H3SYH79M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jO8xQAAAN4AAAAPAAAAAAAAAAAAAAAAAJgCAABkcnMv&#10;ZG93bnJldi54bWxQSwUGAAAAAAQABAD1AAAAigMAAAAA&#10;" filled="f" stroked="f">
                  <v:textbox inset="0,0,0,0">
                    <w:txbxContent>
                      <w:p w:rsidR="00EE13F6" w:rsidRDefault="002E5BC4">
                        <w:r>
                          <w:rPr>
                            <w:color w:val="585858"/>
                            <w:sz w:val="9"/>
                          </w:rPr>
                          <w:t>spread</w:t>
                        </w:r>
                        <w:r>
                          <w:rPr>
                            <w:color w:val="585858"/>
                            <w:sz w:val="9"/>
                          </w:rPr>
                          <w:tab/>
                        </w:r>
                        <w:r>
                          <w:rPr>
                            <w:color w:val="585858"/>
                            <w:sz w:val="9"/>
                          </w:rPr>
                          <w:tab/>
                          <w:t>1.5%</w:t>
                        </w:r>
                      </w:p>
                    </w:txbxContent>
                  </v:textbox>
                </v:rect>
                <v:shape id="Shape 19525" o:spid="_x0000_s1480" style="position:absolute;left:22563;top:28069;width:1321;height:0;visibility:visible;mso-wrap-style:square;v-text-anchor:top" coordsize="13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4LcQA&#10;AADeAAAADwAAAGRycy9kb3ducmV2LnhtbERPzWrCQBC+F3yHZQQvRTcGUtroKqIoYk8xPsCYHZNg&#10;djZk1xjfvlso9DYf3+8s14NpRE+dqy0rmM8iEMSF1TWXCi75fvoJwnlkjY1lUvAiB+vV6G2JqbZP&#10;zqg/+1KEEHYpKqi8b1MpXVGRQTezLXHgbrYz6APsSqk7fIZw08g4ij6kwZpDQ4UtbSsq7ueHUZDt&#10;j9fLd3mKNv32lO3er4ckz2OlJuNhswDhafD/4j/3UYf5X0mc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l+C3EAAAA3gAAAA8AAAAAAAAAAAAAAAAAmAIAAGRycy9k&#10;b3ducmV2LnhtbFBLBQYAAAAABAAEAPUAAACJAwAAAAA=&#10;" path="m,l132112,e" filled="f" strokecolor="#898989" strokeweight=".33428mm">
                  <v:stroke endcap="round"/>
                  <v:path arrowok="t" textboxrect="0,0,132112,0"/>
                </v:shape>
                <v:rect id="Rectangle 19526" o:spid="_x0000_s1481" style="position:absolute;left:24026;top:27738;width:3555;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UMQA&#10;AADeAAAADwAAAGRycy9kb3ducmV2LnhtbERPS4vCMBC+L+x/CLPgbU1XUGw1iqwuevQF6m1oxrbY&#10;TEqTtdVfbwTB23x8zxlPW1OKK9WusKzgpxuBIE6tLjhTsN/9fQ9BOI+ssbRMCm7kYDr5/Bhjom3D&#10;G7pufSZCCLsEFeTeV4mULs3JoOvaijhwZ1sb9AHWmdQ1NiHclLIXRQNpsODQkGNFvzmll+2/UbAc&#10;VrPjyt6brFyclof1IZ7vYq9U56udjUB4av1b/HKvdJgf93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CFDEAAAA3gAAAA8AAAAAAAAAAAAAAAAAmAIAAGRycy9k&#10;b3ducmV2LnhtbFBLBQYAAAAABAAEAPUAAACJAwAAAAA=&#10;" filled="f" stroked="f">
                  <v:textbox inset="0,0,0,0">
                    <w:txbxContent>
                      <w:p w:rsidR="00EE13F6" w:rsidRDefault="002E5BC4">
                        <w:r>
                          <w:rPr>
                            <w:color w:val="585858"/>
                            <w:sz w:val="9"/>
                          </w:rPr>
                          <w:t>spread</w:t>
                        </w:r>
                        <w:r>
                          <w:rPr>
                            <w:color w:val="585858"/>
                            <w:sz w:val="9"/>
                          </w:rPr>
                          <w:tab/>
                          <w:t>2%</w:t>
                        </w:r>
                      </w:p>
                    </w:txbxContent>
                  </v:textbox>
                </v:rect>
                <v:shape id="Shape 19527" o:spid="_x0000_s1482" style="position:absolute;left:27639;top:28069;width:1321;height:0;visibility:visible;mso-wrap-style:square;v-text-anchor:top" coordsize="13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L7MYA&#10;AADeAAAADwAAAGRycy9kb3ducmV2LnhtbERP22rCQBB9L/gPywh9Mxst1Zq6ikgvikLV9AOG7JhE&#10;s7Mhu9XYr+8KQt/mcK4zmbWmEmdqXGlZQT+KQRBnVpecK/hO33svIJxH1lhZJgVXcjCbdh4mmGh7&#10;4R2d9z4XIYRdggoK7+tESpcVZNBFtiYO3ME2Bn2ATS51g5cQbio5iOOhNFhyaCiwpkVB2Wn/YxRs&#10;5MdKv62/tm4rP4dPp9/0eFinSj122/krCE+t/xff3Usd5o+fByO4vRNu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kL7MYAAADeAAAADwAAAAAAAAAAAAAAAACYAgAAZHJz&#10;L2Rvd25yZXYueG1sUEsFBgAAAAAEAAQA9QAAAIsDAAAAAA==&#10;" path="m,l132112,e" filled="f" strokecolor="#212121" strokeweight=".33428mm">
                  <v:stroke endcap="round"/>
                  <v:path arrowok="t" textboxrect="0,0,132112,0"/>
                </v:shape>
                <v:rect id="Rectangle 19528" o:spid="_x0000_s1483" style="position:absolute;left:29087;top:27738;width:4202;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5uccA&#10;AADeAAAADwAAAGRycy9kb3ducmV2LnhtbESPT2vCQBDF74LfYRmhN90otJjoKtI/6NFqQb0N2TEJ&#10;ZmdDdmvSfnrnUOhthvfmvd8s172r1Z3aUHk2MJ0koIhzbysuDHwdP8ZzUCEiW6w9k4EfCrBeDQdL&#10;zKzv+JPuh1goCeGQoYEyxibTOuQlOQwT3xCLdvWtwyhrW2jbYifhrtazJHnRDiuWhhIbei0pvx2+&#10;nYHtvNmcd/63K+r3y/a0P6VvxzQa8zTqNwtQkfr4b/673lnBT59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ObnHAAAA3gAAAA8AAAAAAAAAAAAAAAAAmAIAAGRy&#10;cy9kb3ducmV2LnhtbFBLBQYAAAAABAAEAPUAAACMAwAAAAA=&#10;" filled="f" stroked="f">
                  <v:textbox inset="0,0,0,0">
                    <w:txbxContent>
                      <w:p w:rsidR="00EE13F6" w:rsidRDefault="002E5BC4">
                        <w:r>
                          <w:rPr>
                            <w:color w:val="585858"/>
                            <w:sz w:val="9"/>
                          </w:rPr>
                          <w:t>spread</w:t>
                        </w:r>
                        <w:r>
                          <w:rPr>
                            <w:color w:val="585858"/>
                            <w:sz w:val="9"/>
                          </w:rPr>
                          <w:tab/>
                          <w:t>2.5%</w:t>
                        </w:r>
                      </w:p>
                    </w:txbxContent>
                  </v:textbox>
                </v:rect>
                <v:shape id="Shape 19529" o:spid="_x0000_s1484" style="position:absolute;left:33132;top:28069;width:1391;height:0;visibility:visible;mso-wrap-style:square;v-text-anchor:top" coordsize="13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Cn8UA&#10;AADeAAAADwAAAGRycy9kb3ducmV2LnhtbERP32vCMBB+F/Y/hBvsRWZqYTI7owxhUHGoc4KvR3Nr&#10;y5pLl2S1/vdGEHy7j+/nzRa9aURHzteWFYxHCQjiwuqaSwWH74/nVxA+IGtsLJOCM3lYzB8GM8y0&#10;PfEXdftQihjCPkMFVQhtJqUvKjLoR7YljtyPdQZDhK6U2uEphptGpkkykQZrjg0VtrSsqPjd/xsF&#10;7jMfumK4+ztOtus6P68sbtAq9fTYv7+BCNSHu/jmznWcP31Jp3B9J94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0KfxQAAAN4AAAAPAAAAAAAAAAAAAAAAAJgCAABkcnMv&#10;ZG93bnJldi54bWxQSwUGAAAAAAQABAD1AAAAigMAAAAA&#10;" path="m,l139066,e" filled="f" strokecolor="#dadada" strokeweight=".33428mm">
                  <v:stroke endcap="round"/>
                  <v:path arrowok="t" textboxrect="0,0,139066,0"/>
                </v:shape>
                <v:rect id="Rectangle 19530" o:spid="_x0000_s1485" style="position:absolute;left:34623;top:27738;width:3555;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jYsgA&#10;AADeAAAADwAAAGRycy9kb3ducmV2LnhtbESPQWvCQBCF74X+h2UKvdVNLRUTXUVqix6tCuptyI5J&#10;MDsbsluT9tc7B6G3GebNe++bzntXqyu1ofJs4HWQgCLOva24MLDffb2MQYWIbLH2TAZ+KcB89vgw&#10;xcz6jr/puo2FEhMOGRooY2wyrUNeksMw8A2x3M6+dRhlbQttW+zE3NV6mCQj7bBiSSixoY+S8sv2&#10;xxlYjZvFce3/uqL+PK0Om0O63KXRmOenfjEBFamP/+L799pK/fT9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KNiyAAAAN4AAAAPAAAAAAAAAAAAAAAAAJgCAABk&#10;cnMvZG93bnJldi54bWxQSwUGAAAAAAQABAD1AAAAjQMAAAAA&#10;" filled="f" stroked="f">
                  <v:textbox inset="0,0,0,0">
                    <w:txbxContent>
                      <w:p w:rsidR="00EE13F6" w:rsidRDefault="002E5BC4">
                        <w:r>
                          <w:rPr>
                            <w:color w:val="585858"/>
                            <w:sz w:val="9"/>
                          </w:rPr>
                          <w:t>spread</w:t>
                        </w:r>
                        <w:r>
                          <w:rPr>
                            <w:color w:val="585858"/>
                            <w:sz w:val="9"/>
                          </w:rPr>
                          <w:tab/>
                          <w:t>3%</w:t>
                        </w:r>
                      </w:p>
                    </w:txbxContent>
                  </v:textbox>
                </v:rect>
                <v:shape id="Shape 19531" o:spid="_x0000_s1486" style="position:absolute;width:48812;height:29062;visibility:visible;mso-wrap-style:square;v-text-anchor:top" coordsize="4881205,290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1kMUA&#10;AADeAAAADwAAAGRycy9kb3ducmV2LnhtbERPS2vCQBC+C/0PyxS81Y1KH0ZXUWlBtJdYUY9DdvIg&#10;2dmQ3Wr8926h4G0+vufMFp2pxYVaV1pWMBxEIIhTq0vOFRx+vl4+QDiPrLG2TApu5GAxf+rNMNb2&#10;ygld9j4XIYRdjAoK75tYSpcWZNANbEMcuMy2Bn2AbS51i9cQbmo5iqI3abDk0FBgQ+uC0mr/axSs&#10;Ezpnx2y3XB2SbfVtuup0fv9Uqv/cLacgPHX+If53b3SYP3kdD+Hv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DWQxQAAAN4AAAAPAAAAAAAAAAAAAAAAAJgCAABkcnMv&#10;ZG93bnJldi54bWxQSwUGAAAAAAQABAD1AAAAigMAAAAA&#10;" path="m,l4881205,r,2906260l,2906260,,xe" filled="f" strokecolor="#d9d9d9" strokeweight=".16714mm">
                  <v:path arrowok="t" textboxrect="0,0,4881205,2906260"/>
                </v:shape>
                <v:rect id="Rectangle 19533" o:spid="_x0000_s1487" style="position:absolute;left:4771;top:547;width:3038;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9FcUA&#10;AADeAAAADwAAAGRycy9kb3ducmV2LnhtbERPS2vCQBC+F/oflhF6qxsrFhOzirQVPfoopN6G7DQJ&#10;zc6G7Gqiv94VCt7m43tOuuhNLc7UusqygtEwAkGcW11xoeD7sHqdgnAeWWNtmRRcyMFi/vyUYqJt&#10;xzs6730hQgi7BBWU3jeJlC4vyaAb2oY4cL+2NegDbAupW+xCuKnlWxS9S4MVh4YSG/ooKf/bn4yC&#10;9bRZ/mzstSvqr+M622bx5yH2Sr0M+uUMhKfeP8T/7o0O8+PJ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j0VxQAAAN4AAAAPAAAAAAAAAAAAAAAAAJgCAABkcnMv&#10;ZG93bnJldi54bWxQSwUGAAAAAAQABAD1AAAAigMAAAAA&#10;" filled="f" stroked="f">
                  <v:textbox inset="0,0,0,0">
                    <w:txbxContent>
                      <w:p w:rsidR="00EE13F6" w:rsidRDefault="002E5BC4">
                        <w:r>
                          <w:rPr>
                            <w:b/>
                            <w:sz w:val="13"/>
                          </w:rPr>
                          <w:t>Short</w:t>
                        </w:r>
                      </w:p>
                    </w:txbxContent>
                  </v:textbox>
                </v:rect>
                <v:rect id="Rectangle 19535" o:spid="_x0000_s1488" style="position:absolute;left:7205;top:547;width:51797;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A+sUA&#10;AADeAAAADwAAAGRycy9kb3ducmV2LnhtbERPTWvCQBC9F/wPywje6kaLJYmuIlrRY6uCehuyYxLM&#10;zobsamJ/fbdQ6G0e73Nmi85U4kGNKy0rGA0jEMSZ1SXnCo6HzWsMwnlkjZVlUvAkB4t572WGqbYt&#10;f9Fj73MRQtilqKDwvk6ldFlBBt3Q1sSBu9rGoA+wyaVusA3hppLjKHqXBksODQXWtCoou+3vRsE2&#10;rpfnnf1u8+rjsj19npL1IfFKDfrdcgrCU+f/xX/unQ7zk8nb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wD6xQAAAN4AAAAPAAAAAAAAAAAAAAAAAJgCAABkcnMv&#10;ZG93bnJldi54bWxQSwUGAAAAAAQABAD1AAAAigMAAAAA&#10;" filled="f" stroked="f">
                  <v:textbox inset="0,0,0,0">
                    <w:txbxContent>
                      <w:p w:rsidR="00EE13F6" w:rsidRDefault="002E5BC4">
                        <w:r>
                          <w:rPr>
                            <w:b/>
                            <w:sz w:val="13"/>
                          </w:rPr>
                          <w:t>term</w:t>
                        </w:r>
                        <w:r>
                          <w:rPr>
                            <w:b/>
                            <w:sz w:val="13"/>
                          </w:rPr>
                          <w:tab/>
                          <w:t>Equity</w:t>
                        </w:r>
                        <w:r>
                          <w:rPr>
                            <w:b/>
                            <w:sz w:val="13"/>
                          </w:rPr>
                          <w:tab/>
                          <w:t>price</w:t>
                        </w:r>
                        <w:r>
                          <w:rPr>
                            <w:b/>
                            <w:sz w:val="13"/>
                          </w:rPr>
                          <w:tab/>
                          <w:t>variation</w:t>
                        </w:r>
                        <w:r>
                          <w:rPr>
                            <w:b/>
                            <w:sz w:val="13"/>
                          </w:rPr>
                          <w:tab/>
                          <w:t>following</w:t>
                        </w:r>
                        <w:r>
                          <w:rPr>
                            <w:b/>
                            <w:sz w:val="13"/>
                          </w:rPr>
                          <w:tab/>
                          <w:t>the</w:t>
                        </w:r>
                        <w:r>
                          <w:rPr>
                            <w:b/>
                            <w:sz w:val="13"/>
                          </w:rPr>
                          <w:tab/>
                          <w:t>Introduction</w:t>
                        </w:r>
                        <w:r>
                          <w:rPr>
                            <w:b/>
                            <w:sz w:val="13"/>
                          </w:rPr>
                          <w:tab/>
                          <w:t>of</w:t>
                        </w:r>
                        <w:r>
                          <w:rPr>
                            <w:b/>
                            <w:sz w:val="13"/>
                          </w:rPr>
                          <w:tab/>
                          <w:t>the</w:t>
                        </w:r>
                        <w:r>
                          <w:rPr>
                            <w:b/>
                            <w:sz w:val="13"/>
                          </w:rPr>
                          <w:tab/>
                          <w:t>FTT</w:t>
                        </w:r>
                        <w:r>
                          <w:rPr>
                            <w:b/>
                            <w:sz w:val="13"/>
                          </w:rPr>
                          <w:tab/>
                          <w:t>for</w:t>
                        </w:r>
                        <w:r>
                          <w:rPr>
                            <w:b/>
                            <w:sz w:val="13"/>
                          </w:rPr>
                          <w:tab/>
                          <w:t>a</w:t>
                        </w:r>
                        <w:r>
                          <w:rPr>
                            <w:b/>
                            <w:sz w:val="13"/>
                          </w:rPr>
                          <w:tab/>
                          <w:t>firm</w:t>
                        </w:r>
                        <w:r>
                          <w:rPr>
                            <w:b/>
                            <w:sz w:val="13"/>
                          </w:rPr>
                          <w:tab/>
                          <w:t>funded</w:t>
                        </w:r>
                        <w:r>
                          <w:rPr>
                            <w:b/>
                            <w:sz w:val="13"/>
                          </w:rPr>
                          <w:tab/>
                          <w:t>through</w:t>
                        </w:r>
                        <w:r>
                          <w:rPr>
                            <w:b/>
                            <w:sz w:val="13"/>
                          </w:rPr>
                          <w:tab/>
                          <w:t>fixed</w:t>
                        </w:r>
                        <w:r>
                          <w:rPr>
                            <w:b/>
                            <w:sz w:val="13"/>
                          </w:rPr>
                          <w:tab/>
                        </w:r>
                      </w:p>
                    </w:txbxContent>
                  </v:textbox>
                </v:rect>
                <v:rect id="Rectangle 19537" o:spid="_x0000_s1489" style="position:absolute;left:5884;top:1570;width:52174;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7FsUA&#10;AADeAAAADwAAAGRycy9kb3ducmV2LnhtbERPTWvCQBC9C/0PyxR6042WWhNdRVqLHlsV1NuQHZNg&#10;djZkVxP99a4g9DaP9zmTWWtKcaHaFZYV9HsRCOLU6oIzBdvNT3cEwnlkjaVlUnAlB7PpS2eCibYN&#10;/9Fl7TMRQtglqCD3vkqkdGlOBl3PVsSBO9raoA+wzqSusQnhppSDKBpKgwWHhhwr+sopPa3PRsFy&#10;VM33K3trsnJxWO5+d/H3JvZKvb228zEIT63/Fz/dKx3mxx/v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TsWxQAAAN4AAAAPAAAAAAAAAAAAAAAAAJgCAABkcnMv&#10;ZG93bnJldi54bWxQSwUGAAAAAAQABAD1AAAAigMAAAAA&#10;" filled="f" stroked="f">
                  <v:textbox inset="0,0,0,0">
                    <w:txbxContent>
                      <w:p w:rsidR="00EE13F6" w:rsidRDefault="002E5BC4">
                        <w:r>
                          <w:rPr>
                            <w:b/>
                            <w:sz w:val="13"/>
                          </w:rPr>
                          <w:t>term</w:t>
                        </w:r>
                        <w:r>
                          <w:rPr>
                            <w:b/>
                            <w:sz w:val="13"/>
                          </w:rPr>
                          <w:tab/>
                          <w:t>debt</w:t>
                        </w:r>
                        <w:r>
                          <w:rPr>
                            <w:b/>
                            <w:sz w:val="13"/>
                          </w:rPr>
                          <w:tab/>
                          <w:t>maturity</w:t>
                        </w:r>
                        <w:r>
                          <w:rPr>
                            <w:b/>
                            <w:sz w:val="13"/>
                          </w:rPr>
                          <w:tab/>
                          <w:t>and</w:t>
                        </w:r>
                        <w:r>
                          <w:rPr>
                            <w:b/>
                            <w:sz w:val="13"/>
                          </w:rPr>
                          <w:tab/>
                          <w:t>equity(T=5</w:t>
                        </w:r>
                        <w:r>
                          <w:rPr>
                            <w:b/>
                            <w:sz w:val="13"/>
                          </w:rPr>
                          <w:tab/>
                          <w:t>years;ROA=5%;r=1%;sigma=20%;Tax</w:t>
                        </w:r>
                        <w:r>
                          <w:rPr>
                            <w:b/>
                            <w:sz w:val="13"/>
                          </w:rPr>
                          <w:tab/>
                          <w:t>rate=35%;FTT</w:t>
                        </w:r>
                        <w:r>
                          <w:rPr>
                            <w:b/>
                            <w:sz w:val="13"/>
                          </w:rPr>
                          <w:tab/>
                          <w:t>roundtrip</w:t>
                        </w:r>
                        <w:r>
                          <w:rPr>
                            <w:b/>
                            <w:sz w:val="13"/>
                          </w:rPr>
                          <w:tab/>
                        </w:r>
                      </w:p>
                    </w:txbxContent>
                  </v:textbox>
                </v:rect>
                <v:rect id="Rectangle 19538" o:spid="_x0000_s1490" style="position:absolute;left:23198;top:2653;width:5861;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vZMgA&#10;AADeAAAADwAAAGRycy9kb3ducmV2LnhtbESPQWvCQBCF74X+h2UKvdVNLRUTXUVqix6tCuptyI5J&#10;MDsbsluT9tc7B6G3Gd6b976ZzntXqyu1ofJs4HWQgCLOva24MLDffb2MQYWIbLH2TAZ+KcB89vgw&#10;xcz6jr/puo2FkhAOGRooY2wyrUNeksMw8A2xaGffOoyytoW2LXYS7mo9TJKRdlixNJTY0EdJ+WX7&#10;4wysxs3iuPZ/XVF/nlaHzSFd7tJozPNTv5iAitTHf/P9em0FP31/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q9kyAAAAN4AAAAPAAAAAAAAAAAAAAAAAJgCAABk&#10;cnMvZG93bnJldi54bWxQSwUGAAAAAAQABAD1AAAAjQMAAAAA&#10;" filled="f" stroked="f">
                  <v:textbox inset="0,0,0,0">
                    <w:txbxContent>
                      <w:p w:rsidR="00EE13F6" w:rsidRDefault="002E5BC4">
                        <w:r>
                          <w:rPr>
                            <w:b/>
                            <w:sz w:val="13"/>
                          </w:rPr>
                          <w:t>rate=0,2%)</w:t>
                        </w:r>
                      </w:p>
                    </w:txbxContent>
                  </v:textbox>
                </v:rect>
                <v:rect id="Rectangle 19539" o:spid="_x0000_s1491" style="position:absolute;left:23543;top:23498;width:642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K/8UA&#10;AADeAAAADwAAAGRycy9kb3ducmV2LnhtbERPS2vCQBC+C/6HZYTedFOLJYlZRWyLHn0U0t6G7JiE&#10;ZmdDdmtif31XKPQ2H99zsvVgGnGlztWWFTzOIhDEhdU1lwrez2/TGITzyBoby6TgRg7Wq/Eow1Tb&#10;no90PflShBB2KSqovG9TKV1RkUE3sy1x4C62M+gD7EqpO+xDuGnkPIqepcGaQ0OFLW0rKr5O30bB&#10;Lm43H3v705fN6+cuP+TJyznxSj1Mhs0ShKfB/4v/3Hsd5ieL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gr/xQAAAN4AAAAPAAAAAAAAAAAAAAAAAJgCAABkcnMv&#10;ZG93bnJldi54bWxQSwUGAAAAAAQABAD1AAAAigMAAAAA&#10;" filled="f" stroked="f">
                  <v:textbox inset="0,0,0,0">
                    <w:txbxContent>
                      <w:p w:rsidR="00EE13F6" w:rsidRDefault="002E5BC4">
                        <w:r>
                          <w:rPr>
                            <w:b/>
                            <w:sz w:val="10"/>
                          </w:rPr>
                          <w:t>Firm's</w:t>
                        </w:r>
                        <w:r>
                          <w:rPr>
                            <w:b/>
                            <w:sz w:val="10"/>
                          </w:rPr>
                          <w:tab/>
                          <w:t>leverage</w:t>
                        </w:r>
                      </w:p>
                    </w:txbxContent>
                  </v:textbox>
                </v:rect>
                <v:rect id="Rectangle 20052" o:spid="_x0000_s1492" style="position:absolute;left:4978;top:31228;width:53503;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k9cUA&#10;AADeAAAADwAAAGRycy9kb3ducmV2LnhtbESPQYvCMBSE78L+h/AWvGm6wopWo4juoke1gnp7NM+2&#10;bPNSmqyt/nojCB6HmfmGmc5bU4or1a6wrOCrH4EgTq0uOFNwSH57IxDOI2ssLZOCGzmYzz46U4y1&#10;bXhH173PRICwi1FB7n0VS+nSnAy6vq2Ig3extUEfZJ1JXWMT4KaUgygaSoMFh4UcK1rmlP7t/42C&#10;9ahanDb23mTlz3l93B7Hq2Tslep+tosJCE+tf4df7Y1WEIjfA3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GT1xQAAAN4AAAAPAAAAAAAAAAAAAAAAAJgCAABkcnMv&#10;ZG93bnJldi54bWxQSwUGAAAAAAQABAD1AAAAigMAAAAA&#10;" filled="f" stroked="f">
                  <v:textbox inset="0,0,0,0">
                    <w:txbxContent>
                      <w:p w:rsidR="00EE13F6" w:rsidRDefault="002E5BC4">
                        <w:r>
                          <w:rPr>
                            <w:b/>
                            <w:color w:val="585858"/>
                            <w:sz w:val="18"/>
                          </w:rPr>
                          <w:t>Short</w:t>
                        </w:r>
                        <w:r>
                          <w:rPr>
                            <w:b/>
                            <w:color w:val="585858"/>
                            <w:sz w:val="18"/>
                          </w:rPr>
                          <w:tab/>
                          <w:t>Term</w:t>
                        </w:r>
                        <w:r>
                          <w:rPr>
                            <w:b/>
                            <w:color w:val="585858"/>
                            <w:sz w:val="18"/>
                          </w:rPr>
                          <w:tab/>
                          <w:t>Impact</w:t>
                        </w:r>
                        <w:r>
                          <w:rPr>
                            <w:b/>
                            <w:color w:val="585858"/>
                            <w:sz w:val="18"/>
                          </w:rPr>
                          <w:tab/>
                          <w:t>of</w:t>
                        </w:r>
                        <w:r>
                          <w:rPr>
                            <w:b/>
                            <w:color w:val="585858"/>
                            <w:sz w:val="18"/>
                          </w:rPr>
                          <w:tab/>
                          <w:t>the</w:t>
                        </w:r>
                        <w:r>
                          <w:rPr>
                            <w:b/>
                            <w:color w:val="585858"/>
                            <w:sz w:val="18"/>
                          </w:rPr>
                          <w:tab/>
                          <w:t>FTT</w:t>
                        </w:r>
                        <w:r>
                          <w:rPr>
                            <w:b/>
                            <w:color w:val="585858"/>
                            <w:sz w:val="18"/>
                          </w:rPr>
                          <w:tab/>
                          <w:t>on</w:t>
                        </w:r>
                        <w:r>
                          <w:rPr>
                            <w:b/>
                            <w:color w:val="585858"/>
                            <w:sz w:val="18"/>
                          </w:rPr>
                          <w:tab/>
                        </w:r>
                        <w:r>
                          <w:rPr>
                            <w:b/>
                            <w:color w:val="585858"/>
                            <w:sz w:val="18"/>
                          </w:rPr>
                          <w:t>Theoretical</w:t>
                        </w:r>
                        <w:r>
                          <w:rPr>
                            <w:b/>
                            <w:color w:val="585858"/>
                            <w:sz w:val="18"/>
                          </w:rPr>
                          <w:tab/>
                          <w:t>Equity</w:t>
                        </w:r>
                        <w:r>
                          <w:rPr>
                            <w:b/>
                            <w:color w:val="585858"/>
                            <w:sz w:val="18"/>
                          </w:rPr>
                          <w:tab/>
                          <w:t>Share</w:t>
                        </w:r>
                        <w:r>
                          <w:rPr>
                            <w:b/>
                            <w:color w:val="585858"/>
                            <w:sz w:val="18"/>
                          </w:rPr>
                          <w:tab/>
                          <w:t>Price</w:t>
                        </w:r>
                        <w:r>
                          <w:rPr>
                            <w:b/>
                            <w:color w:val="585858"/>
                            <w:sz w:val="18"/>
                          </w:rPr>
                          <w:tab/>
                        </w:r>
                        <w:r>
                          <w:rPr>
                            <w:b/>
                            <w:color w:val="585858"/>
                            <w:sz w:val="18"/>
                          </w:rPr>
                          <w:tab/>
                          <w:t>Depending</w:t>
                        </w:r>
                        <w:r>
                          <w:rPr>
                            <w:b/>
                            <w:color w:val="585858"/>
                            <w:sz w:val="18"/>
                          </w:rPr>
                          <w:tab/>
                          <w:t>Upon</w:t>
                        </w:r>
                        <w:r>
                          <w:rPr>
                            <w:b/>
                            <w:color w:val="585858"/>
                            <w:sz w:val="18"/>
                          </w:rPr>
                          <w:tab/>
                          <w:t>Debt</w:t>
                        </w:r>
                        <w:r>
                          <w:rPr>
                            <w:b/>
                            <w:color w:val="585858"/>
                            <w:sz w:val="18"/>
                          </w:rPr>
                          <w:tab/>
                        </w:r>
                      </w:p>
                    </w:txbxContent>
                  </v:textbox>
                </v:rect>
                <w10:anchorlock/>
              </v:group>
            </w:pict>
          </mc:Fallback>
        </mc:AlternateContent>
      </w:r>
    </w:p>
    <w:p w:rsidR="00EE13F6" w:rsidRDefault="002E5BC4">
      <w:pPr>
        <w:spacing w:after="483"/>
        <w:ind w:left="2635"/>
      </w:pPr>
      <w:r>
        <w:rPr>
          <w:b/>
          <w:color w:val="585858"/>
          <w:sz w:val="18"/>
        </w:rPr>
        <w:t>Duration</w:t>
      </w:r>
      <w:r>
        <w:rPr>
          <w:b/>
          <w:color w:val="585858"/>
          <w:sz w:val="18"/>
        </w:rPr>
        <w:tab/>
        <w:t>and</w:t>
      </w:r>
      <w:r>
        <w:rPr>
          <w:b/>
          <w:color w:val="585858"/>
          <w:sz w:val="18"/>
        </w:rPr>
        <w:tab/>
        <w:t>Credit</w:t>
      </w:r>
      <w:r>
        <w:rPr>
          <w:b/>
          <w:color w:val="585858"/>
          <w:sz w:val="18"/>
        </w:rPr>
        <w:tab/>
        <w:t>Spread</w:t>
      </w:r>
      <w:r>
        <w:rPr>
          <w:b/>
          <w:color w:val="585858"/>
          <w:sz w:val="18"/>
        </w:rPr>
        <w:tab/>
        <w:t>(Rho=35%;r=1%;Delta=3%;</w:t>
      </w:r>
      <w:r>
        <w:rPr>
          <w:rFonts w:ascii="Cambria Math" w:eastAsia="Cambria Math" w:hAnsi="Cambria Math" w:cs="Cambria Math"/>
          <w:color w:val="585858"/>
          <w:sz w:val="18"/>
        </w:rPr>
        <w:t>!</w:t>
      </w:r>
      <w:r>
        <w:rPr>
          <w:b/>
          <w:color w:val="585858"/>
          <w:sz w:val="18"/>
        </w:rPr>
        <w:t>=10%)</w:t>
      </w:r>
    </w:p>
    <w:p w:rsidR="00EE13F6" w:rsidRDefault="002E5BC4">
      <w:pPr>
        <w:spacing w:after="0"/>
        <w:ind w:left="1008"/>
      </w:pPr>
      <w:r>
        <w:rPr>
          <w:noProof/>
        </w:rPr>
        <w:drawing>
          <wp:inline distT="0" distB="0" distL="0" distR="0">
            <wp:extent cx="4888993" cy="2560320"/>
            <wp:effectExtent l="0" t="0" r="0" b="0"/>
            <wp:docPr id="222016" name="Picture 222016"/>
            <wp:cNvGraphicFramePr/>
            <a:graphic xmlns:a="http://schemas.openxmlformats.org/drawingml/2006/main">
              <a:graphicData uri="http://schemas.openxmlformats.org/drawingml/2006/picture">
                <pic:pic xmlns:pic="http://schemas.openxmlformats.org/drawingml/2006/picture">
                  <pic:nvPicPr>
                    <pic:cNvPr id="222016" name="Picture 222016"/>
                    <pic:cNvPicPr/>
                  </pic:nvPicPr>
                  <pic:blipFill>
                    <a:blip r:embed="rId233"/>
                    <a:stretch>
                      <a:fillRect/>
                    </a:stretch>
                  </pic:blipFill>
                  <pic:spPr>
                    <a:xfrm>
                      <a:off x="0" y="0"/>
                      <a:ext cx="4888993" cy="2560320"/>
                    </a:xfrm>
                    <a:prstGeom prst="rect">
                      <a:avLst/>
                    </a:prstGeom>
                  </pic:spPr>
                </pic:pic>
              </a:graphicData>
            </a:graphic>
          </wp:inline>
        </w:drawing>
      </w:r>
    </w:p>
    <w:p w:rsidR="00EE13F6" w:rsidRDefault="002E5BC4">
      <w:pPr>
        <w:spacing w:after="135" w:line="264" w:lineRule="auto"/>
        <w:ind w:left="-5" w:right="468" w:hanging="10"/>
        <w:jc w:val="both"/>
      </w:pPr>
      <w:r>
        <w:rPr>
          <w:rFonts w:ascii="Cambria" w:eastAsia="Cambria" w:hAnsi="Cambria" w:cs="Cambria"/>
        </w:rPr>
        <w:t>the increase in asset volatility (risk) will benefit the shareholder’s interest of highly leveraged companies issuing corporate debt paying higher credit spreads to investors (junk-bonds). It applies to an exogenous bankruptcy determination.</w:t>
      </w:r>
    </w:p>
    <w:p w:rsidR="00EE13F6" w:rsidRDefault="002E5BC4">
      <w:pPr>
        <w:spacing w:after="138" w:line="257" w:lineRule="auto"/>
        <w:ind w:left="-5" w:right="468" w:hanging="10"/>
        <w:jc w:val="both"/>
      </w:pPr>
      <w:r>
        <w:rPr>
          <w:rFonts w:ascii="Cambria" w:eastAsia="Cambria" w:hAnsi="Cambria" w:cs="Cambria"/>
          <w:b/>
        </w:rPr>
        <w:t>(i) Sensitivit</w:t>
      </w:r>
      <w:r>
        <w:rPr>
          <w:rFonts w:ascii="Cambria" w:eastAsia="Cambria" w:hAnsi="Cambria" w:cs="Cambria"/>
          <w:b/>
        </w:rPr>
        <w:t>y of Theoretical Equity Price towards Corporate Tax and Risk free rates</w:t>
      </w:r>
    </w:p>
    <w:p w:rsidR="00EE13F6" w:rsidRDefault="002E5BC4">
      <w:pPr>
        <w:spacing w:after="135" w:line="264" w:lineRule="auto"/>
        <w:ind w:left="-5" w:right="468" w:hanging="10"/>
        <w:jc w:val="both"/>
      </w:pPr>
      <w:r>
        <w:rPr>
          <w:rFonts w:ascii="Cambria" w:eastAsia="Cambria" w:hAnsi="Cambria" w:cs="Cambria"/>
        </w:rPr>
        <w:t>Figure 1 , displays the negative impact on the theoretical equity share price for different levels of corporate tax rates and risk free rates. One can see that, countries having a lowe</w:t>
      </w:r>
      <w:r>
        <w:rPr>
          <w:rFonts w:ascii="Cambria" w:eastAsia="Cambria" w:hAnsi="Cambria" w:cs="Cambria"/>
        </w:rPr>
        <w:t>r corporate tax rate, will record a lesser drop in equity share price, than the countries with a higher corporate tax rate. This effect will occur for corporations with a low to average leverage. For highly leveraged corporations, the result will be the op</w:t>
      </w:r>
      <w:r>
        <w:rPr>
          <w:rFonts w:ascii="Cambria" w:eastAsia="Cambria" w:hAnsi="Cambria" w:cs="Cambria"/>
        </w:rPr>
        <w:t>posite. Higher drops will be recorded in countries having a lower corporate tax rate.</w:t>
      </w:r>
    </w:p>
    <w:p w:rsidR="00EE13F6" w:rsidRDefault="002E5BC4">
      <w:pPr>
        <w:spacing w:after="465" w:line="264" w:lineRule="auto"/>
        <w:ind w:left="-5" w:right="468" w:hanging="10"/>
        <w:jc w:val="both"/>
      </w:pPr>
      <w:r>
        <w:rPr>
          <w:rFonts w:ascii="Cambria" w:eastAsia="Cambria" w:hAnsi="Cambria" w:cs="Cambria"/>
        </w:rPr>
        <w:lastRenderedPageBreak/>
        <w:t>For the risk free rate, we find that the magnitude of the negative impact is a direct function of the level of risk free rates. Higher risk free rates level are generally</w:t>
      </w:r>
      <w:r>
        <w:rPr>
          <w:rFonts w:ascii="Cambria" w:eastAsia="Cambria" w:hAnsi="Cambria" w:cs="Cambria"/>
        </w:rPr>
        <w:t xml:space="preserve"> commanding higher equity price drops, everything else being equal.</w:t>
      </w:r>
    </w:p>
    <w:p w:rsidR="00EE13F6" w:rsidRDefault="002E5BC4">
      <w:pPr>
        <w:tabs>
          <w:tab w:val="center" w:pos="2902"/>
        </w:tabs>
        <w:spacing w:after="290" w:line="257" w:lineRule="auto"/>
        <w:ind w:left="-15"/>
      </w:pPr>
      <w:r>
        <w:rPr>
          <w:rFonts w:ascii="Cambria" w:eastAsia="Cambria" w:hAnsi="Cambria" w:cs="Cambria"/>
          <w:b/>
        </w:rPr>
        <w:t>2.2.2</w:t>
      </w:r>
      <w:r>
        <w:rPr>
          <w:rFonts w:ascii="Cambria" w:eastAsia="Cambria" w:hAnsi="Cambria" w:cs="Cambria"/>
          <w:b/>
        </w:rPr>
        <w:tab/>
        <w:t>Short term Impact Negative Envelope.</w:t>
      </w:r>
    </w:p>
    <w:p w:rsidR="00EE13F6" w:rsidRDefault="002E5BC4">
      <w:pPr>
        <w:spacing w:after="135" w:line="264" w:lineRule="auto"/>
        <w:ind w:left="-5" w:right="468" w:hanging="10"/>
        <w:jc w:val="both"/>
      </w:pPr>
      <w:r>
        <w:rPr>
          <w:rFonts w:ascii="Cambria" w:eastAsia="Cambria" w:hAnsi="Cambria" w:cs="Cambria"/>
        </w:rPr>
        <w:t xml:space="preserve">Given leverage, and credit spreads, the return on assets determines the return on equity (ROE). Numerical simulations of equation [21] show that </w:t>
      </w:r>
      <w:r>
        <w:rPr>
          <w:rFonts w:ascii="Cambria" w:eastAsia="Cambria" w:hAnsi="Cambria" w:cs="Cambria"/>
        </w:rPr>
        <w:t xml:space="preserve">the impact of the increase in volatility of equity, on the equity share price, is inversely related to </w:t>
      </w:r>
      <w:r>
        <w:rPr>
          <w:rFonts w:ascii="Cambria" w:eastAsia="Cambria" w:hAnsi="Cambria" w:cs="Cambria"/>
          <w:i/>
        </w:rPr>
        <w:t xml:space="preserve">δ </w:t>
      </w:r>
      <w:r>
        <w:rPr>
          <w:rFonts w:ascii="Cambria" w:eastAsia="Cambria" w:hAnsi="Cambria" w:cs="Cambria"/>
        </w:rPr>
        <w:t>the rate of return on assets and consequently the return on equity (ROE). There is a maximum value for the ROE over which the percentage variation of the equity is going to be positive. Below this threshold, the impact on the equity share price of the vola</w:t>
      </w:r>
      <w:r>
        <w:rPr>
          <w:rFonts w:ascii="Cambria" w:eastAsia="Cambria" w:hAnsi="Cambria" w:cs="Cambria"/>
        </w:rPr>
        <w:t>tility increase due to the FTT is going to be negative. One can remark, by doing numerical simulations that companies with a very high return on equity will experience in fact an increase in the share prices, if they finance through corporate debt with a 1</w:t>
      </w:r>
      <w:r>
        <w:rPr>
          <w:rFonts w:ascii="Cambria" w:eastAsia="Cambria" w:hAnsi="Cambria" w:cs="Cambria"/>
        </w:rPr>
        <w:t>0 year maturity.</w:t>
      </w:r>
    </w:p>
    <w:p w:rsidR="00EE13F6" w:rsidRDefault="002E5BC4">
      <w:pPr>
        <w:spacing w:after="135" w:line="264" w:lineRule="auto"/>
        <w:ind w:left="-5" w:right="468" w:hanging="10"/>
        <w:jc w:val="both"/>
      </w:pPr>
      <w:r>
        <w:rPr>
          <w:rFonts w:ascii="Cambria" w:eastAsia="Cambria" w:hAnsi="Cambria" w:cs="Cambria"/>
        </w:rPr>
        <w:t>Such results are no surprise. All structural models used are considering in fact that the shareholders, in case of default, can walk away of their debt obligation by abandoning the assets to the bond holders. Such possibility is equivalent</w:t>
      </w:r>
      <w:r>
        <w:rPr>
          <w:rFonts w:ascii="Cambria" w:eastAsia="Cambria" w:hAnsi="Cambria" w:cs="Cambria"/>
        </w:rPr>
        <w:t xml:space="preserve"> to be long of a (”knock-in”) Put option on the assets whose strike price is the amount of the outstanding debt. Such Put is ”activated” whenever the asset value falls below the barrier. The combination of owning both the assets and such ”Down and In” Put </w:t>
      </w:r>
      <w:r>
        <w:rPr>
          <w:rFonts w:ascii="Cambria" w:eastAsia="Cambria" w:hAnsi="Cambria" w:cs="Cambria"/>
        </w:rPr>
        <w:t>is equivalent to the ownership of a ”Down and Out” Call.</w:t>
      </w:r>
    </w:p>
    <w:p w:rsidR="00EE13F6" w:rsidRDefault="002E5BC4">
      <w:pPr>
        <w:spacing w:after="126" w:line="270" w:lineRule="auto"/>
        <w:ind w:left="-5" w:right="307" w:hanging="10"/>
      </w:pPr>
      <w:r>
        <w:rPr>
          <w:rFonts w:ascii="Cambria" w:eastAsia="Cambria" w:hAnsi="Cambria" w:cs="Cambria"/>
        </w:rPr>
        <w:t xml:space="preserve">Finally, the equity is equal to the difference between a ”Down and Out” American call option on the assets (whose strike price is the amount of principal debt and the barrier is </w:t>
      </w:r>
      <w:r>
        <w:rPr>
          <w:rFonts w:ascii="Cambria" w:eastAsia="Cambria" w:hAnsi="Cambria" w:cs="Cambria"/>
          <w:i/>
        </w:rPr>
        <w:t>K</w:t>
      </w:r>
      <w:r>
        <w:rPr>
          <w:rFonts w:ascii="Cambria" w:eastAsia="Cambria" w:hAnsi="Cambria" w:cs="Cambria"/>
        </w:rPr>
        <w:t>) and a stream of ca</w:t>
      </w:r>
      <w:r>
        <w:rPr>
          <w:rFonts w:ascii="Cambria" w:eastAsia="Cambria" w:hAnsi="Cambria" w:cs="Cambria"/>
        </w:rPr>
        <w:t>sh-flows paying the risk free rate plus the credit spread on the amount of the principal debt.</w:t>
      </w:r>
    </w:p>
    <w:p w:rsidR="00EE13F6" w:rsidRDefault="002E5BC4">
      <w:pPr>
        <w:spacing w:after="135" w:line="264" w:lineRule="auto"/>
        <w:ind w:left="-5" w:right="468" w:hanging="10"/>
        <w:jc w:val="both"/>
      </w:pPr>
      <w:r>
        <w:rPr>
          <w:rFonts w:ascii="Cambria" w:eastAsia="Cambria" w:hAnsi="Cambria" w:cs="Cambria"/>
        </w:rPr>
        <w:t>The value of a ”Down and Out ” American call option is not a monotonous increasing function of the asset volatility, which explains the fact that the equity valu</w:t>
      </w:r>
      <w:r>
        <w:rPr>
          <w:rFonts w:ascii="Cambria" w:eastAsia="Cambria" w:hAnsi="Cambria" w:cs="Cambria"/>
        </w:rPr>
        <w:t xml:space="preserve">e can decrease when the volatility increases. Furthermore, when the return on dividends increases, the value of the call option tends to become ”stale” whereas the expected value of the cash flows tends to decrease, because of the increased probability of </w:t>
      </w:r>
      <w:r>
        <w:rPr>
          <w:rFonts w:ascii="Cambria" w:eastAsia="Cambria" w:hAnsi="Cambria" w:cs="Cambria"/>
        </w:rPr>
        <w:t>default. This explains, that the equity might increase, when the rate of return on assets is high.</w:t>
      </w:r>
    </w:p>
    <w:p w:rsidR="00EE13F6" w:rsidRDefault="002E5BC4">
      <w:pPr>
        <w:spacing w:after="135" w:line="264" w:lineRule="auto"/>
        <w:ind w:left="-5" w:right="468" w:hanging="10"/>
        <w:jc w:val="both"/>
      </w:pPr>
      <w:r>
        <w:rPr>
          <w:rFonts w:ascii="Cambria" w:eastAsia="Cambria" w:hAnsi="Cambria" w:cs="Cambria"/>
        </w:rPr>
        <w:t>We define the envelope of the FTT impact has the maximum return on equity level for which an increase of 5 percent of the asset volatility due to the impleme</w:t>
      </w:r>
      <w:r>
        <w:rPr>
          <w:rFonts w:ascii="Cambria" w:eastAsia="Cambria" w:hAnsi="Cambria" w:cs="Cambria"/>
        </w:rPr>
        <w:t>ntation of the FTT provides a negative variation of the share equity price. We consider credit spreads ranging between 1 and 4 percent per annum. a base volatility of 20 percent, a risk free rate of 1 percent and a debt maturity of 5 years.</w:t>
      </w:r>
    </w:p>
    <w:p w:rsidR="00EE13F6" w:rsidRDefault="002E5BC4">
      <w:pPr>
        <w:spacing w:after="215" w:line="264" w:lineRule="auto"/>
        <w:ind w:left="-5" w:right="468" w:hanging="10"/>
        <w:jc w:val="both"/>
      </w:pPr>
      <w:r>
        <w:rPr>
          <w:rFonts w:ascii="Cambria" w:eastAsia="Cambria" w:hAnsi="Cambria" w:cs="Cambria"/>
        </w:rPr>
        <w:t>a base volatili</w:t>
      </w:r>
      <w:r>
        <w:rPr>
          <w:rFonts w:ascii="Cambria" w:eastAsia="Cambria" w:hAnsi="Cambria" w:cs="Cambria"/>
        </w:rPr>
        <w:t>ty of 20 percent, a risk free rate of 1 percent and a debt maturity of 5 years.</w:t>
      </w:r>
    </w:p>
    <w:p w:rsidR="00EE13F6" w:rsidRDefault="002E5BC4">
      <w:pPr>
        <w:spacing w:after="207" w:line="257" w:lineRule="auto"/>
        <w:ind w:left="-5" w:right="468" w:hanging="10"/>
        <w:jc w:val="both"/>
      </w:pPr>
      <w:r>
        <w:rPr>
          <w:rFonts w:ascii="Cambria" w:eastAsia="Cambria" w:hAnsi="Cambria" w:cs="Cambria"/>
        </w:rPr>
        <w:t xml:space="preserve">Table 7: </w:t>
      </w:r>
      <w:r>
        <w:rPr>
          <w:rFonts w:ascii="Cambria" w:eastAsia="Cambria" w:hAnsi="Cambria" w:cs="Cambria"/>
          <w:b/>
        </w:rPr>
        <w:t>Envelope of The Negative Equity Value Variation in Percentage for a 5 percent Increase in Asset Volatility due to the FTT (</w:t>
      </w:r>
      <w:r>
        <w:rPr>
          <w:rFonts w:ascii="Cambria" w:eastAsia="Cambria" w:hAnsi="Cambria" w:cs="Cambria"/>
          <w:i/>
        </w:rPr>
        <w:t xml:space="preserve">r </w:t>
      </w:r>
      <w:r>
        <w:rPr>
          <w:rFonts w:ascii="Cambria" w:eastAsia="Cambria" w:hAnsi="Cambria" w:cs="Cambria"/>
        </w:rPr>
        <w:t>= 0</w:t>
      </w:r>
      <w:r>
        <w:rPr>
          <w:rFonts w:ascii="Cambria" w:eastAsia="Cambria" w:hAnsi="Cambria" w:cs="Cambria"/>
          <w:i/>
        </w:rPr>
        <w:t>.</w:t>
      </w:r>
      <w:r>
        <w:rPr>
          <w:rFonts w:ascii="Cambria" w:eastAsia="Cambria" w:hAnsi="Cambria" w:cs="Cambria"/>
        </w:rPr>
        <w:t>01</w:t>
      </w:r>
      <w:r>
        <w:rPr>
          <w:rFonts w:ascii="Cambria" w:eastAsia="Cambria" w:hAnsi="Cambria" w:cs="Cambria"/>
          <w:b/>
        </w:rPr>
        <w:t xml:space="preserve">; </w:t>
      </w: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35</w:t>
      </w:r>
      <w:r>
        <w:rPr>
          <w:rFonts w:ascii="Cambria" w:eastAsia="Cambria" w:hAnsi="Cambria" w:cs="Cambria"/>
          <w:b/>
        </w:rPr>
        <w:t xml:space="preserve">;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50</w:t>
      </w:r>
      <w:r>
        <w:rPr>
          <w:rFonts w:ascii="Cambria" w:eastAsia="Cambria" w:hAnsi="Cambria" w:cs="Cambria"/>
          <w:b/>
        </w:rPr>
        <w:t xml:space="preserve">; </w:t>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 0</w:t>
      </w:r>
      <w:r>
        <w:rPr>
          <w:rFonts w:ascii="Cambria" w:eastAsia="Cambria" w:hAnsi="Cambria" w:cs="Cambria"/>
          <w:i/>
        </w:rPr>
        <w:t>.</w:t>
      </w:r>
      <w:r>
        <w:rPr>
          <w:rFonts w:ascii="Cambria" w:eastAsia="Cambria" w:hAnsi="Cambria" w:cs="Cambria"/>
        </w:rPr>
        <w:t>20</w:t>
      </w:r>
      <w:r>
        <w:rPr>
          <w:rFonts w:ascii="Cambria" w:eastAsia="Cambria" w:hAnsi="Cambria" w:cs="Cambria"/>
          <w:b/>
        </w:rPr>
        <w:t xml:space="preserve">; </w:t>
      </w:r>
      <w:r>
        <w:rPr>
          <w:rFonts w:ascii="Cambria" w:eastAsia="Cambria" w:hAnsi="Cambria" w:cs="Cambria"/>
        </w:rPr>
        <w:t>0</w:t>
      </w:r>
      <w:r>
        <w:rPr>
          <w:rFonts w:ascii="Cambria" w:eastAsia="Cambria" w:hAnsi="Cambria" w:cs="Cambria"/>
          <w:i/>
        </w:rPr>
        <w:t>.</w:t>
      </w:r>
      <w:r>
        <w:rPr>
          <w:rFonts w:ascii="Cambria" w:eastAsia="Cambria" w:hAnsi="Cambria" w:cs="Cambria"/>
        </w:rPr>
        <w:t>0</w:t>
      </w:r>
      <w:r>
        <w:rPr>
          <w:rFonts w:ascii="Cambria" w:eastAsia="Cambria" w:hAnsi="Cambria" w:cs="Cambria"/>
        </w:rPr>
        <w:t xml:space="preserve">1 </w:t>
      </w:r>
      <w:r>
        <w:rPr>
          <w:rFonts w:ascii="Cambria" w:eastAsia="Cambria" w:hAnsi="Cambria" w:cs="Cambria"/>
          <w:i/>
        </w:rPr>
        <w:t>&lt; s</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i/>
        </w:rPr>
        <w:t xml:space="preserve">&lt; </w:t>
      </w:r>
      <w:r>
        <w:rPr>
          <w:rFonts w:ascii="Cambria" w:eastAsia="Cambria" w:hAnsi="Cambria" w:cs="Cambria"/>
        </w:rPr>
        <w:t>0</w:t>
      </w:r>
      <w:r>
        <w:rPr>
          <w:rFonts w:ascii="Cambria" w:eastAsia="Cambria" w:hAnsi="Cambria" w:cs="Cambria"/>
          <w:i/>
        </w:rPr>
        <w:t>.</w:t>
      </w:r>
      <w:r>
        <w:rPr>
          <w:rFonts w:ascii="Cambria" w:eastAsia="Cambria" w:hAnsi="Cambria" w:cs="Cambria"/>
        </w:rPr>
        <w:t>04)</w:t>
      </w:r>
    </w:p>
    <w:tbl>
      <w:tblPr>
        <w:tblStyle w:val="TableGrid"/>
        <w:tblW w:w="6159" w:type="dxa"/>
        <w:tblInd w:w="1564" w:type="dxa"/>
        <w:tblCellMar>
          <w:top w:w="0" w:type="dxa"/>
          <w:left w:w="124" w:type="dxa"/>
          <w:bottom w:w="0" w:type="dxa"/>
          <w:right w:w="123" w:type="dxa"/>
        </w:tblCellMar>
        <w:tblLook w:val="04A0" w:firstRow="1" w:lastRow="0" w:firstColumn="1" w:lastColumn="0" w:noHBand="0" w:noVBand="1"/>
      </w:tblPr>
      <w:tblGrid>
        <w:gridCol w:w="1245"/>
        <w:gridCol w:w="1751"/>
        <w:gridCol w:w="1219"/>
        <w:gridCol w:w="1358"/>
        <w:gridCol w:w="586"/>
      </w:tblGrid>
      <w:tr w:rsidR="00EE13F6">
        <w:trPr>
          <w:trHeight w:val="284"/>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Maturity</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Risk free rate</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Leverage</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Max ROE</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3"/>
            </w:pPr>
            <w:r>
              <w:rPr>
                <w:noProof/>
              </w:rPr>
              <w:drawing>
                <wp:inline distT="0" distB="0" distL="0" distR="0">
                  <wp:extent cx="179832" cy="179832"/>
                  <wp:effectExtent l="0" t="0" r="0" b="0"/>
                  <wp:docPr id="222019" name="Picture 222019"/>
                  <wp:cNvGraphicFramePr/>
                  <a:graphic xmlns:a="http://schemas.openxmlformats.org/drawingml/2006/main">
                    <a:graphicData uri="http://schemas.openxmlformats.org/drawingml/2006/picture">
                      <pic:pic xmlns:pic="http://schemas.openxmlformats.org/drawingml/2006/picture">
                        <pic:nvPicPr>
                          <pic:cNvPr id="222019" name="Picture 222019"/>
                          <pic:cNvPicPr/>
                        </pic:nvPicPr>
                        <pic:blipFill>
                          <a:blip r:embed="rId234"/>
                          <a:stretch>
                            <a:fillRect/>
                          </a:stretch>
                        </pic:blipFill>
                        <pic:spPr>
                          <a:xfrm>
                            <a:off x="0" y="0"/>
                            <a:ext cx="179832" cy="179832"/>
                          </a:xfrm>
                          <a:prstGeom prst="rect">
                            <a:avLst/>
                          </a:prstGeom>
                        </pic:spPr>
                      </pic:pic>
                    </a:graphicData>
                  </a:graphic>
                </wp:inline>
              </w:drawing>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w:t>
            </w:r>
            <w:r>
              <w:rPr>
                <w:rFonts w:ascii="Cambria" w:eastAsia="Cambria" w:hAnsi="Cambria" w:cs="Cambria"/>
                <w:i/>
              </w:rPr>
              <w:t>.</w:t>
            </w:r>
            <w:r>
              <w:rPr>
                <w:rFonts w:ascii="Cambria" w:eastAsia="Cambria" w:hAnsi="Cambria" w:cs="Cambria"/>
              </w:rPr>
              <w:t>25</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0.25</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w:t>
            </w:r>
            <w:r>
              <w:rPr>
                <w:rFonts w:ascii="Cambria" w:eastAsia="Cambria" w:hAnsi="Cambria" w:cs="Cambria"/>
                <w:i/>
              </w:rPr>
              <w:t>.</w:t>
            </w:r>
            <w:r>
              <w:rPr>
                <w:rFonts w:ascii="Cambria" w:eastAsia="Cambria" w:hAnsi="Cambria" w:cs="Cambria"/>
              </w:rPr>
              <w:t>43</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0.25</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w:t>
            </w:r>
            <w:r>
              <w:rPr>
                <w:rFonts w:ascii="Cambria" w:eastAsia="Cambria" w:hAnsi="Cambria" w:cs="Cambria"/>
                <w:i/>
              </w:rPr>
              <w:t>.</w:t>
            </w:r>
            <w:r>
              <w:rPr>
                <w:rFonts w:ascii="Cambria" w:eastAsia="Cambria" w:hAnsi="Cambria" w:cs="Cambria"/>
              </w:rPr>
              <w:t>67</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0.24</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2</w:t>
            </w:r>
            <w:r>
              <w:rPr>
                <w:rFonts w:ascii="Cambria" w:eastAsia="Cambria" w:hAnsi="Cambria" w:cs="Cambria"/>
                <w:i/>
              </w:rPr>
              <w:t>.</w:t>
            </w:r>
            <w:r>
              <w:rPr>
                <w:rFonts w:ascii="Cambria" w:eastAsia="Cambria" w:hAnsi="Cambria" w:cs="Cambria"/>
              </w:rPr>
              <w:t>00</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0.23</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lastRenderedPageBreak/>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2</w:t>
            </w:r>
            <w:r>
              <w:rPr>
                <w:rFonts w:ascii="Cambria" w:eastAsia="Cambria" w:hAnsi="Cambria" w:cs="Cambria"/>
                <w:i/>
              </w:rPr>
              <w:t>.</w:t>
            </w:r>
            <w:r>
              <w:rPr>
                <w:rFonts w:ascii="Cambria" w:eastAsia="Cambria" w:hAnsi="Cambria" w:cs="Cambria"/>
              </w:rPr>
              <w:t>5</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0.22</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3</w:t>
            </w:r>
            <w:r>
              <w:rPr>
                <w:rFonts w:ascii="Cambria" w:eastAsia="Cambria" w:hAnsi="Cambria" w:cs="Cambria"/>
                <w:i/>
              </w:rPr>
              <w:t>.</w:t>
            </w:r>
            <w:r>
              <w:rPr>
                <w:rFonts w:ascii="Cambria" w:eastAsia="Cambria" w:hAnsi="Cambria" w:cs="Cambria"/>
              </w:rPr>
              <w:t>33</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0.21</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4</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0.23</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5</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0.26</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6</w:t>
            </w:r>
            <w:r>
              <w:rPr>
                <w:rFonts w:ascii="Cambria" w:eastAsia="Cambria" w:hAnsi="Cambria" w:cs="Cambria"/>
                <w:i/>
              </w:rPr>
              <w:t>.</w:t>
            </w:r>
            <w:r>
              <w:rPr>
                <w:rFonts w:ascii="Cambria" w:eastAsia="Cambria" w:hAnsi="Cambria" w:cs="Cambria"/>
              </w:rPr>
              <w:t>67</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0.30</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0.32</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bl>
    <w:p w:rsidR="00EE13F6" w:rsidRDefault="002E5BC4">
      <w:pPr>
        <w:spacing w:after="207" w:line="257" w:lineRule="auto"/>
        <w:ind w:left="-5" w:right="468" w:hanging="10"/>
        <w:jc w:val="both"/>
      </w:pPr>
      <w:r>
        <w:rPr>
          <w:rFonts w:ascii="Cambria" w:eastAsia="Cambria" w:hAnsi="Cambria" w:cs="Cambria"/>
        </w:rPr>
        <w:t xml:space="preserve">Table 8: </w:t>
      </w:r>
      <w:r>
        <w:rPr>
          <w:rFonts w:ascii="Cambria" w:eastAsia="Cambria" w:hAnsi="Cambria" w:cs="Cambria"/>
          <w:b/>
        </w:rPr>
        <w:t>Envelope of The Negative Equity Value Variation in Percentage for a 5 percent Increase in Asset Volatility due to the FTT (</w:t>
      </w:r>
      <w:r>
        <w:rPr>
          <w:rFonts w:ascii="Cambria" w:eastAsia="Cambria" w:hAnsi="Cambria" w:cs="Cambria"/>
          <w:i/>
        </w:rPr>
        <w:t xml:space="preserve">r </w:t>
      </w:r>
      <w:r>
        <w:rPr>
          <w:rFonts w:ascii="Cambria" w:eastAsia="Cambria" w:hAnsi="Cambria" w:cs="Cambria"/>
        </w:rPr>
        <w:t>= 0</w:t>
      </w:r>
      <w:r>
        <w:rPr>
          <w:rFonts w:ascii="Cambria" w:eastAsia="Cambria" w:hAnsi="Cambria" w:cs="Cambria"/>
          <w:i/>
        </w:rPr>
        <w:t>.</w:t>
      </w:r>
      <w:r>
        <w:rPr>
          <w:rFonts w:ascii="Cambria" w:eastAsia="Cambria" w:hAnsi="Cambria" w:cs="Cambria"/>
        </w:rPr>
        <w:t>05</w:t>
      </w:r>
      <w:r>
        <w:rPr>
          <w:rFonts w:ascii="Cambria" w:eastAsia="Cambria" w:hAnsi="Cambria" w:cs="Cambria"/>
          <w:b/>
        </w:rPr>
        <w:t xml:space="preserve">; </w:t>
      </w: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35</w:t>
      </w:r>
      <w:r>
        <w:rPr>
          <w:rFonts w:ascii="Cambria" w:eastAsia="Cambria" w:hAnsi="Cambria" w:cs="Cambria"/>
          <w:b/>
        </w:rPr>
        <w:t xml:space="preserve">;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50</w:t>
      </w:r>
      <w:r>
        <w:rPr>
          <w:rFonts w:ascii="Cambria" w:eastAsia="Cambria" w:hAnsi="Cambria" w:cs="Cambria"/>
          <w:b/>
        </w:rPr>
        <w:t xml:space="preserve">; </w:t>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 0</w:t>
      </w:r>
      <w:r>
        <w:rPr>
          <w:rFonts w:ascii="Cambria" w:eastAsia="Cambria" w:hAnsi="Cambria" w:cs="Cambria"/>
          <w:i/>
        </w:rPr>
        <w:t>.</w:t>
      </w:r>
      <w:r>
        <w:rPr>
          <w:rFonts w:ascii="Cambria" w:eastAsia="Cambria" w:hAnsi="Cambria" w:cs="Cambria"/>
        </w:rPr>
        <w:t>20</w:t>
      </w:r>
      <w:r>
        <w:rPr>
          <w:rFonts w:ascii="Cambria" w:eastAsia="Cambria" w:hAnsi="Cambria" w:cs="Cambria"/>
          <w:b/>
        </w:rPr>
        <w:t xml:space="preserve">; </w:t>
      </w:r>
      <w:r>
        <w:rPr>
          <w:rFonts w:ascii="Cambria" w:eastAsia="Cambria" w:hAnsi="Cambria" w:cs="Cambria"/>
        </w:rPr>
        <w:t>0</w:t>
      </w:r>
      <w:r>
        <w:rPr>
          <w:rFonts w:ascii="Cambria" w:eastAsia="Cambria" w:hAnsi="Cambria" w:cs="Cambria"/>
          <w:i/>
        </w:rPr>
        <w:t>.</w:t>
      </w:r>
      <w:r>
        <w:rPr>
          <w:rFonts w:ascii="Cambria" w:eastAsia="Cambria" w:hAnsi="Cambria" w:cs="Cambria"/>
        </w:rPr>
        <w:t xml:space="preserve">01 </w:t>
      </w:r>
      <w:r>
        <w:rPr>
          <w:rFonts w:ascii="Cambria" w:eastAsia="Cambria" w:hAnsi="Cambria" w:cs="Cambria"/>
          <w:i/>
        </w:rPr>
        <w:t>&lt; s</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i/>
        </w:rPr>
        <w:t xml:space="preserve">&lt; </w:t>
      </w:r>
      <w:r>
        <w:rPr>
          <w:rFonts w:ascii="Cambria" w:eastAsia="Cambria" w:hAnsi="Cambria" w:cs="Cambria"/>
        </w:rPr>
        <w:t>0</w:t>
      </w:r>
      <w:r>
        <w:rPr>
          <w:rFonts w:ascii="Cambria" w:eastAsia="Cambria" w:hAnsi="Cambria" w:cs="Cambria"/>
          <w:i/>
        </w:rPr>
        <w:t>.</w:t>
      </w:r>
      <w:r>
        <w:rPr>
          <w:rFonts w:ascii="Cambria" w:eastAsia="Cambria" w:hAnsi="Cambria" w:cs="Cambria"/>
        </w:rPr>
        <w:t>04)</w:t>
      </w:r>
    </w:p>
    <w:tbl>
      <w:tblPr>
        <w:tblStyle w:val="TableGrid"/>
        <w:tblW w:w="6231" w:type="dxa"/>
        <w:tblInd w:w="1528" w:type="dxa"/>
        <w:tblCellMar>
          <w:top w:w="0" w:type="dxa"/>
          <w:left w:w="124" w:type="dxa"/>
          <w:bottom w:w="0" w:type="dxa"/>
          <w:right w:w="123" w:type="dxa"/>
        </w:tblCellMar>
        <w:tblLook w:val="04A0" w:firstRow="1" w:lastRow="0" w:firstColumn="1" w:lastColumn="0" w:noHBand="0" w:noVBand="1"/>
      </w:tblPr>
      <w:tblGrid>
        <w:gridCol w:w="1244"/>
        <w:gridCol w:w="1751"/>
        <w:gridCol w:w="1219"/>
        <w:gridCol w:w="1358"/>
        <w:gridCol w:w="659"/>
      </w:tblGrid>
      <w:tr w:rsidR="00EE13F6">
        <w:trPr>
          <w:trHeight w:val="284"/>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Maturity</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Risk free rate</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Leverage</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Max ROE</w:t>
            </w:r>
          </w:p>
        </w:tc>
        <w:tc>
          <w:tcPr>
            <w:tcW w:w="65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69"/>
            </w:pPr>
            <w:r>
              <w:rPr>
                <w:noProof/>
              </w:rPr>
              <w:drawing>
                <wp:inline distT="0" distB="0" distL="0" distR="0">
                  <wp:extent cx="179832" cy="179832"/>
                  <wp:effectExtent l="0" t="0" r="0" b="0"/>
                  <wp:docPr id="222018" name="Picture 222018"/>
                  <wp:cNvGraphicFramePr/>
                  <a:graphic xmlns:a="http://schemas.openxmlformats.org/drawingml/2006/main">
                    <a:graphicData uri="http://schemas.openxmlformats.org/drawingml/2006/picture">
                      <pic:pic xmlns:pic="http://schemas.openxmlformats.org/drawingml/2006/picture">
                        <pic:nvPicPr>
                          <pic:cNvPr id="222018" name="Picture 222018"/>
                          <pic:cNvPicPr/>
                        </pic:nvPicPr>
                        <pic:blipFill>
                          <a:blip r:embed="rId235"/>
                          <a:stretch>
                            <a:fillRect/>
                          </a:stretch>
                        </pic:blipFill>
                        <pic:spPr>
                          <a:xfrm>
                            <a:off x="0" y="0"/>
                            <a:ext cx="179832" cy="179832"/>
                          </a:xfrm>
                          <a:prstGeom prst="rect">
                            <a:avLst/>
                          </a:prstGeom>
                        </pic:spPr>
                      </pic:pic>
                    </a:graphicData>
                  </a:graphic>
                </wp:inline>
              </w:drawing>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w:t>
            </w:r>
            <w:r>
              <w:rPr>
                <w:rFonts w:ascii="Cambria" w:eastAsia="Cambria" w:hAnsi="Cambria" w:cs="Cambria"/>
                <w:i/>
              </w:rPr>
              <w:t>.</w:t>
            </w:r>
            <w:r>
              <w:rPr>
                <w:rFonts w:ascii="Cambria" w:eastAsia="Cambria" w:hAnsi="Cambria" w:cs="Cambria"/>
              </w:rPr>
              <w:t>25</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0.35</w:t>
            </w:r>
          </w:p>
        </w:tc>
        <w:tc>
          <w:tcPr>
            <w:tcW w:w="65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73"/>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w:t>
            </w:r>
            <w:r>
              <w:rPr>
                <w:rFonts w:ascii="Cambria" w:eastAsia="Cambria" w:hAnsi="Cambria" w:cs="Cambria"/>
                <w:i/>
              </w:rPr>
              <w:t>.</w:t>
            </w:r>
            <w:r>
              <w:rPr>
                <w:rFonts w:ascii="Cambria" w:eastAsia="Cambria" w:hAnsi="Cambria" w:cs="Cambria"/>
              </w:rPr>
              <w:t>43</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0.34</w:t>
            </w:r>
          </w:p>
        </w:tc>
        <w:tc>
          <w:tcPr>
            <w:tcW w:w="65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6"/>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w:t>
            </w:r>
            <w:r>
              <w:rPr>
                <w:rFonts w:ascii="Cambria" w:eastAsia="Cambria" w:hAnsi="Cambria" w:cs="Cambria"/>
                <w:i/>
              </w:rPr>
              <w:t>.</w:t>
            </w:r>
            <w:r>
              <w:rPr>
                <w:rFonts w:ascii="Cambria" w:eastAsia="Cambria" w:hAnsi="Cambria" w:cs="Cambria"/>
              </w:rPr>
              <w:t>67</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0.34</w:t>
            </w:r>
          </w:p>
        </w:tc>
        <w:tc>
          <w:tcPr>
            <w:tcW w:w="65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6"/>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w:t>
            </w:r>
            <w:r>
              <w:rPr>
                <w:rFonts w:ascii="Cambria" w:eastAsia="Cambria" w:hAnsi="Cambria" w:cs="Cambria"/>
                <w:i/>
              </w:rPr>
              <w:t>.</w:t>
            </w:r>
            <w:r>
              <w:rPr>
                <w:rFonts w:ascii="Cambria" w:eastAsia="Cambria" w:hAnsi="Cambria" w:cs="Cambria"/>
              </w:rPr>
              <w:t>00</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0.34</w:t>
            </w:r>
          </w:p>
        </w:tc>
        <w:tc>
          <w:tcPr>
            <w:tcW w:w="65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6"/>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w:t>
            </w:r>
            <w:r>
              <w:rPr>
                <w:rFonts w:ascii="Cambria" w:eastAsia="Cambria" w:hAnsi="Cambria" w:cs="Cambria"/>
                <w:i/>
              </w:rPr>
              <w:t>.</w:t>
            </w:r>
            <w:r>
              <w:rPr>
                <w:rFonts w:ascii="Cambria" w:eastAsia="Cambria" w:hAnsi="Cambria" w:cs="Cambria"/>
              </w:rPr>
              <w:t>5</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0.33</w:t>
            </w:r>
          </w:p>
        </w:tc>
        <w:tc>
          <w:tcPr>
            <w:tcW w:w="65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6"/>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w:t>
            </w:r>
            <w:r>
              <w:rPr>
                <w:rFonts w:ascii="Cambria" w:eastAsia="Cambria" w:hAnsi="Cambria" w:cs="Cambria"/>
                <w:i/>
              </w:rPr>
              <w:t>.</w:t>
            </w:r>
            <w:r>
              <w:rPr>
                <w:rFonts w:ascii="Cambria" w:eastAsia="Cambria" w:hAnsi="Cambria" w:cs="Cambria"/>
              </w:rPr>
              <w:t>33</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0.32</w:t>
            </w:r>
          </w:p>
        </w:tc>
        <w:tc>
          <w:tcPr>
            <w:tcW w:w="65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6"/>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0.31</w:t>
            </w:r>
          </w:p>
        </w:tc>
        <w:tc>
          <w:tcPr>
            <w:tcW w:w="65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6"/>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0.34</w:t>
            </w:r>
          </w:p>
        </w:tc>
        <w:tc>
          <w:tcPr>
            <w:tcW w:w="65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6"/>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6</w:t>
            </w:r>
            <w:r>
              <w:rPr>
                <w:rFonts w:ascii="Cambria" w:eastAsia="Cambria" w:hAnsi="Cambria" w:cs="Cambria"/>
                <w:i/>
              </w:rPr>
              <w:t>.</w:t>
            </w:r>
            <w:r>
              <w:rPr>
                <w:rFonts w:ascii="Cambria" w:eastAsia="Cambria" w:hAnsi="Cambria" w:cs="Cambria"/>
              </w:rPr>
              <w:t>67</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0.35</w:t>
            </w:r>
          </w:p>
        </w:tc>
        <w:tc>
          <w:tcPr>
            <w:tcW w:w="65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6"/>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0.38</w:t>
            </w:r>
          </w:p>
        </w:tc>
        <w:tc>
          <w:tcPr>
            <w:tcW w:w="65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6"/>
            </w:pPr>
            <w:r>
              <w:rPr>
                <w:rFonts w:ascii="Cambria" w:eastAsia="Cambria" w:hAnsi="Cambria" w:cs="Cambria"/>
                <w:i/>
              </w:rPr>
              <w:t xml:space="preserve">&lt; </w:t>
            </w:r>
            <w:r>
              <w:rPr>
                <w:rFonts w:ascii="Cambria" w:eastAsia="Cambria" w:hAnsi="Cambria" w:cs="Cambria"/>
              </w:rPr>
              <w:t>0</w:t>
            </w:r>
          </w:p>
        </w:tc>
      </w:tr>
    </w:tbl>
    <w:p w:rsidR="00EE13F6" w:rsidRDefault="002E5BC4">
      <w:pPr>
        <w:spacing w:after="135" w:line="264" w:lineRule="auto"/>
        <w:ind w:left="-5" w:right="468" w:hanging="10"/>
        <w:jc w:val="both"/>
      </w:pPr>
      <w:r>
        <w:rPr>
          <w:rFonts w:ascii="Cambria" w:eastAsia="Cambria" w:hAnsi="Cambria" w:cs="Cambria"/>
        </w:rPr>
        <w:t xml:space="preserve">One can see in Table 7 that, for usual values of the ROE, the impact is going to be mainly negative for a 5 year maturity. The impact is going to be higher for a higher risk free rate. Table 8 evidences that if the risk free rate is 5 percent then the ROE </w:t>
      </w:r>
      <w:r>
        <w:rPr>
          <w:rFonts w:ascii="Cambria" w:eastAsia="Cambria" w:hAnsi="Cambria" w:cs="Cambria"/>
        </w:rPr>
        <w:t>to get a negative variation of the equity following a 5 percent increase in the asset volatility is higher. Table 9 and10 show the same results in the case of a 10 years maturity. One can see that for such maturities the impact is negative for return on eq</w:t>
      </w:r>
      <w:r>
        <w:rPr>
          <w:rFonts w:ascii="Cambria" w:eastAsia="Cambria" w:hAnsi="Cambria" w:cs="Cambria"/>
        </w:rPr>
        <w:t>uities values which are significantly lower.</w:t>
      </w:r>
    </w:p>
    <w:p w:rsidR="00EE13F6" w:rsidRDefault="002E5BC4">
      <w:pPr>
        <w:spacing w:after="198" w:line="264" w:lineRule="auto"/>
        <w:ind w:left="-5" w:right="468" w:hanging="10"/>
        <w:jc w:val="both"/>
      </w:pPr>
      <w:r>
        <w:rPr>
          <w:rFonts w:ascii="Cambria" w:eastAsia="Cambria" w:hAnsi="Cambria" w:cs="Cambria"/>
        </w:rPr>
        <w:t xml:space="preserve">Table 9 evidences that for a fixed maturity of 5 years, a risk free rate of 1 percent per year, a corporate tax rate of 35 percent, and per leverage, the maximum ROE for which a 5 percent Table 9: </w:t>
      </w:r>
      <w:r>
        <w:rPr>
          <w:rFonts w:ascii="Cambria" w:eastAsia="Cambria" w:hAnsi="Cambria" w:cs="Cambria"/>
          <w:b/>
        </w:rPr>
        <w:t>Envelope of The Negative Equity Value Variation in Percentage for a 5 percent Increase in Asset Volatility due to the FTT (</w:t>
      </w:r>
      <w:r>
        <w:rPr>
          <w:rFonts w:ascii="Cambria" w:eastAsia="Cambria" w:hAnsi="Cambria" w:cs="Cambria"/>
          <w:i/>
        </w:rPr>
        <w:t xml:space="preserve">r </w:t>
      </w:r>
      <w:r>
        <w:rPr>
          <w:rFonts w:ascii="Cambria" w:eastAsia="Cambria" w:hAnsi="Cambria" w:cs="Cambria"/>
        </w:rPr>
        <w:t>= 0</w:t>
      </w:r>
      <w:r>
        <w:rPr>
          <w:rFonts w:ascii="Cambria" w:eastAsia="Cambria" w:hAnsi="Cambria" w:cs="Cambria"/>
          <w:i/>
        </w:rPr>
        <w:t>.</w:t>
      </w:r>
      <w:r>
        <w:rPr>
          <w:rFonts w:ascii="Cambria" w:eastAsia="Cambria" w:hAnsi="Cambria" w:cs="Cambria"/>
        </w:rPr>
        <w:t>01</w:t>
      </w:r>
      <w:r>
        <w:rPr>
          <w:rFonts w:ascii="Cambria" w:eastAsia="Cambria" w:hAnsi="Cambria" w:cs="Cambria"/>
          <w:b/>
        </w:rPr>
        <w:t xml:space="preserve">; </w:t>
      </w: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35</w:t>
      </w:r>
      <w:r>
        <w:rPr>
          <w:rFonts w:ascii="Cambria" w:eastAsia="Cambria" w:hAnsi="Cambria" w:cs="Cambria"/>
          <w:b/>
        </w:rPr>
        <w:t xml:space="preserve">;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50</w:t>
      </w:r>
      <w:r>
        <w:rPr>
          <w:rFonts w:ascii="Cambria" w:eastAsia="Cambria" w:hAnsi="Cambria" w:cs="Cambria"/>
          <w:b/>
        </w:rPr>
        <w:t xml:space="preserve">; </w:t>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 0</w:t>
      </w:r>
      <w:r>
        <w:rPr>
          <w:rFonts w:ascii="Cambria" w:eastAsia="Cambria" w:hAnsi="Cambria" w:cs="Cambria"/>
          <w:i/>
        </w:rPr>
        <w:t>.</w:t>
      </w:r>
      <w:r>
        <w:rPr>
          <w:rFonts w:ascii="Cambria" w:eastAsia="Cambria" w:hAnsi="Cambria" w:cs="Cambria"/>
        </w:rPr>
        <w:t>20</w:t>
      </w:r>
      <w:r>
        <w:rPr>
          <w:rFonts w:ascii="Cambria" w:eastAsia="Cambria" w:hAnsi="Cambria" w:cs="Cambria"/>
          <w:b/>
        </w:rPr>
        <w:t xml:space="preserve">; </w:t>
      </w:r>
      <w:r>
        <w:rPr>
          <w:rFonts w:ascii="Cambria" w:eastAsia="Cambria" w:hAnsi="Cambria" w:cs="Cambria"/>
        </w:rPr>
        <w:t>0</w:t>
      </w:r>
      <w:r>
        <w:rPr>
          <w:rFonts w:ascii="Cambria" w:eastAsia="Cambria" w:hAnsi="Cambria" w:cs="Cambria"/>
          <w:i/>
        </w:rPr>
        <w:t>.</w:t>
      </w:r>
      <w:r>
        <w:rPr>
          <w:rFonts w:ascii="Cambria" w:eastAsia="Cambria" w:hAnsi="Cambria" w:cs="Cambria"/>
        </w:rPr>
        <w:t xml:space="preserve">01 </w:t>
      </w:r>
      <w:r>
        <w:rPr>
          <w:rFonts w:ascii="Cambria" w:eastAsia="Cambria" w:hAnsi="Cambria" w:cs="Cambria"/>
          <w:i/>
        </w:rPr>
        <w:t>&lt; s</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i/>
        </w:rPr>
        <w:t xml:space="preserve">&lt; </w:t>
      </w:r>
      <w:r>
        <w:rPr>
          <w:rFonts w:ascii="Cambria" w:eastAsia="Cambria" w:hAnsi="Cambria" w:cs="Cambria"/>
        </w:rPr>
        <w:t>0</w:t>
      </w:r>
      <w:r>
        <w:rPr>
          <w:rFonts w:ascii="Cambria" w:eastAsia="Cambria" w:hAnsi="Cambria" w:cs="Cambria"/>
          <w:i/>
        </w:rPr>
        <w:t>.</w:t>
      </w:r>
      <w:r>
        <w:rPr>
          <w:rFonts w:ascii="Cambria" w:eastAsia="Cambria" w:hAnsi="Cambria" w:cs="Cambria"/>
        </w:rPr>
        <w:t>04)</w:t>
      </w:r>
    </w:p>
    <w:tbl>
      <w:tblPr>
        <w:tblStyle w:val="TableGrid"/>
        <w:tblW w:w="6159" w:type="dxa"/>
        <w:tblInd w:w="1564" w:type="dxa"/>
        <w:tblCellMar>
          <w:top w:w="0" w:type="dxa"/>
          <w:left w:w="124" w:type="dxa"/>
          <w:bottom w:w="0" w:type="dxa"/>
          <w:right w:w="123" w:type="dxa"/>
        </w:tblCellMar>
        <w:tblLook w:val="04A0" w:firstRow="1" w:lastRow="0" w:firstColumn="1" w:lastColumn="0" w:noHBand="0" w:noVBand="1"/>
      </w:tblPr>
      <w:tblGrid>
        <w:gridCol w:w="1245"/>
        <w:gridCol w:w="1751"/>
        <w:gridCol w:w="1219"/>
        <w:gridCol w:w="1358"/>
        <w:gridCol w:w="586"/>
      </w:tblGrid>
      <w:tr w:rsidR="00EE13F6">
        <w:trPr>
          <w:trHeight w:val="280"/>
        </w:trPr>
        <w:tc>
          <w:tcPr>
            <w:tcW w:w="1244" w:type="dxa"/>
            <w:tcBorders>
              <w:top w:val="single" w:sz="3" w:space="0" w:color="000000"/>
              <w:left w:val="single" w:sz="3" w:space="0" w:color="000000"/>
              <w:bottom w:val="nil"/>
              <w:right w:val="single" w:sz="3" w:space="0" w:color="000000"/>
            </w:tcBorders>
          </w:tcPr>
          <w:p w:rsidR="00EE13F6" w:rsidRDefault="002E5BC4">
            <w:pPr>
              <w:spacing w:after="0"/>
            </w:pPr>
            <w:r>
              <w:rPr>
                <w:rFonts w:ascii="Cambria" w:eastAsia="Cambria" w:hAnsi="Cambria" w:cs="Cambria"/>
                <w:b/>
              </w:rPr>
              <w:t>Maturity</w:t>
            </w:r>
          </w:p>
        </w:tc>
        <w:tc>
          <w:tcPr>
            <w:tcW w:w="1751" w:type="dxa"/>
            <w:tcBorders>
              <w:top w:val="single" w:sz="3" w:space="0" w:color="000000"/>
              <w:left w:val="single" w:sz="3" w:space="0" w:color="000000"/>
              <w:bottom w:val="nil"/>
              <w:right w:val="single" w:sz="3" w:space="0" w:color="000000"/>
            </w:tcBorders>
          </w:tcPr>
          <w:p w:rsidR="00EE13F6" w:rsidRDefault="002E5BC4">
            <w:pPr>
              <w:spacing w:after="0"/>
            </w:pPr>
            <w:r>
              <w:rPr>
                <w:rFonts w:ascii="Cambria" w:eastAsia="Cambria" w:hAnsi="Cambria" w:cs="Cambria"/>
                <w:b/>
              </w:rPr>
              <w:t>Risk free rate</w:t>
            </w:r>
          </w:p>
        </w:tc>
        <w:tc>
          <w:tcPr>
            <w:tcW w:w="1219" w:type="dxa"/>
            <w:tcBorders>
              <w:top w:val="single" w:sz="3" w:space="0" w:color="000000"/>
              <w:left w:val="single" w:sz="3" w:space="0" w:color="000000"/>
              <w:bottom w:val="nil"/>
              <w:right w:val="single" w:sz="3" w:space="0" w:color="000000"/>
            </w:tcBorders>
          </w:tcPr>
          <w:p w:rsidR="00EE13F6" w:rsidRDefault="002E5BC4">
            <w:pPr>
              <w:spacing w:after="0"/>
            </w:pPr>
            <w:r>
              <w:rPr>
                <w:rFonts w:ascii="Cambria" w:eastAsia="Cambria" w:hAnsi="Cambria" w:cs="Cambria"/>
                <w:b/>
              </w:rPr>
              <w:t>Leverage</w:t>
            </w:r>
          </w:p>
        </w:tc>
        <w:tc>
          <w:tcPr>
            <w:tcW w:w="1358" w:type="dxa"/>
            <w:tcBorders>
              <w:top w:val="single" w:sz="3" w:space="0" w:color="000000"/>
              <w:left w:val="single" w:sz="3" w:space="0" w:color="000000"/>
              <w:bottom w:val="nil"/>
              <w:right w:val="single" w:sz="3" w:space="0" w:color="000000"/>
            </w:tcBorders>
          </w:tcPr>
          <w:p w:rsidR="00EE13F6" w:rsidRDefault="002E5BC4">
            <w:pPr>
              <w:spacing w:after="0"/>
              <w:jc w:val="both"/>
            </w:pPr>
            <w:r>
              <w:rPr>
                <w:rFonts w:ascii="Cambria" w:eastAsia="Cambria" w:hAnsi="Cambria" w:cs="Cambria"/>
                <w:b/>
              </w:rPr>
              <w:t>Max ROE</w:t>
            </w:r>
          </w:p>
        </w:tc>
        <w:tc>
          <w:tcPr>
            <w:tcW w:w="586" w:type="dxa"/>
            <w:tcBorders>
              <w:top w:val="single" w:sz="3" w:space="0" w:color="000000"/>
              <w:left w:val="single" w:sz="3" w:space="0" w:color="000000"/>
              <w:bottom w:val="nil"/>
              <w:right w:val="single" w:sz="3" w:space="0" w:color="000000"/>
            </w:tcBorders>
          </w:tcPr>
          <w:p w:rsidR="00EE13F6" w:rsidRDefault="002E5BC4">
            <w:pPr>
              <w:spacing w:after="0"/>
              <w:ind w:left="33"/>
            </w:pPr>
            <w:r>
              <w:rPr>
                <w:noProof/>
              </w:rPr>
              <w:drawing>
                <wp:inline distT="0" distB="0" distL="0" distR="0">
                  <wp:extent cx="179832" cy="179832"/>
                  <wp:effectExtent l="0" t="0" r="0" b="0"/>
                  <wp:docPr id="222021" name="Picture 222021"/>
                  <wp:cNvGraphicFramePr/>
                  <a:graphic xmlns:a="http://schemas.openxmlformats.org/drawingml/2006/main">
                    <a:graphicData uri="http://schemas.openxmlformats.org/drawingml/2006/picture">
                      <pic:pic xmlns:pic="http://schemas.openxmlformats.org/drawingml/2006/picture">
                        <pic:nvPicPr>
                          <pic:cNvPr id="222021" name="Picture 222021"/>
                          <pic:cNvPicPr/>
                        </pic:nvPicPr>
                        <pic:blipFill>
                          <a:blip r:embed="rId235"/>
                          <a:stretch>
                            <a:fillRect/>
                          </a:stretch>
                        </pic:blipFill>
                        <pic:spPr>
                          <a:xfrm>
                            <a:off x="0" y="0"/>
                            <a:ext cx="179832" cy="179832"/>
                          </a:xfrm>
                          <a:prstGeom prst="rect">
                            <a:avLst/>
                          </a:prstGeom>
                        </pic:spPr>
                      </pic:pic>
                    </a:graphicData>
                  </a:graphic>
                </wp:inline>
              </w:drawing>
            </w:r>
          </w:p>
        </w:tc>
      </w:tr>
      <w:tr w:rsidR="00EE13F6">
        <w:trPr>
          <w:trHeight w:val="275"/>
        </w:trPr>
        <w:tc>
          <w:tcPr>
            <w:tcW w:w="1244" w:type="dxa"/>
            <w:tcBorders>
              <w:top w:val="nil"/>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nil"/>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nil"/>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w:t>
            </w:r>
            <w:r>
              <w:rPr>
                <w:rFonts w:ascii="Cambria" w:eastAsia="Cambria" w:hAnsi="Cambria" w:cs="Cambria"/>
                <w:i/>
              </w:rPr>
              <w:t>.</w:t>
            </w:r>
            <w:r>
              <w:rPr>
                <w:rFonts w:ascii="Cambria" w:eastAsia="Cambria" w:hAnsi="Cambria" w:cs="Cambria"/>
              </w:rPr>
              <w:t>25</w:t>
            </w:r>
          </w:p>
        </w:tc>
        <w:tc>
          <w:tcPr>
            <w:tcW w:w="1358" w:type="dxa"/>
            <w:tcBorders>
              <w:top w:val="nil"/>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0.17</w:t>
            </w:r>
          </w:p>
        </w:tc>
        <w:tc>
          <w:tcPr>
            <w:tcW w:w="586" w:type="dxa"/>
            <w:tcBorders>
              <w:top w:val="nil"/>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w:t>
            </w:r>
            <w:r>
              <w:rPr>
                <w:rFonts w:ascii="Cambria" w:eastAsia="Cambria" w:hAnsi="Cambria" w:cs="Cambria"/>
                <w:i/>
              </w:rPr>
              <w:t>.</w:t>
            </w:r>
            <w:r>
              <w:rPr>
                <w:rFonts w:ascii="Cambria" w:eastAsia="Cambria" w:hAnsi="Cambria" w:cs="Cambria"/>
              </w:rPr>
              <w:t>43</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0.127</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w:t>
            </w:r>
            <w:r>
              <w:rPr>
                <w:rFonts w:ascii="Cambria" w:eastAsia="Cambria" w:hAnsi="Cambria" w:cs="Cambria"/>
                <w:i/>
              </w:rPr>
              <w:t>.</w:t>
            </w:r>
            <w:r>
              <w:rPr>
                <w:rFonts w:ascii="Cambria" w:eastAsia="Cambria" w:hAnsi="Cambria" w:cs="Cambria"/>
              </w:rPr>
              <w:t>67</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0.11</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2</w:t>
            </w:r>
            <w:r>
              <w:rPr>
                <w:rFonts w:ascii="Cambria" w:eastAsia="Cambria" w:hAnsi="Cambria" w:cs="Cambria"/>
                <w:i/>
              </w:rPr>
              <w:t>.</w:t>
            </w:r>
            <w:r>
              <w:rPr>
                <w:rFonts w:ascii="Cambria" w:eastAsia="Cambria" w:hAnsi="Cambria" w:cs="Cambria"/>
              </w:rPr>
              <w:t>00</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0.09</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2</w:t>
            </w:r>
            <w:r>
              <w:rPr>
                <w:rFonts w:ascii="Cambria" w:eastAsia="Cambria" w:hAnsi="Cambria" w:cs="Cambria"/>
                <w:i/>
              </w:rPr>
              <w:t>.</w:t>
            </w:r>
            <w:r>
              <w:rPr>
                <w:rFonts w:ascii="Cambria" w:eastAsia="Cambria" w:hAnsi="Cambria" w:cs="Cambria"/>
              </w:rPr>
              <w:t>5</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0.08</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3</w:t>
            </w:r>
            <w:r>
              <w:rPr>
                <w:rFonts w:ascii="Cambria" w:eastAsia="Cambria" w:hAnsi="Cambria" w:cs="Cambria"/>
                <w:i/>
              </w:rPr>
              <w:t>.</w:t>
            </w:r>
            <w:r>
              <w:rPr>
                <w:rFonts w:ascii="Cambria" w:eastAsia="Cambria" w:hAnsi="Cambria" w:cs="Cambria"/>
              </w:rPr>
              <w:t>33</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0.065</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4</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0.058</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5</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0.042</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6</w:t>
            </w:r>
            <w:r>
              <w:rPr>
                <w:rFonts w:ascii="Cambria" w:eastAsia="Cambria" w:hAnsi="Cambria" w:cs="Cambria"/>
                <w:i/>
              </w:rPr>
              <w:t>.</w:t>
            </w:r>
            <w:r>
              <w:rPr>
                <w:rFonts w:ascii="Cambria" w:eastAsia="Cambria" w:hAnsi="Cambria" w:cs="Cambria"/>
              </w:rPr>
              <w:t>67</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0.030</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NA</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&gt; </w:t>
            </w:r>
            <w:r>
              <w:rPr>
                <w:rFonts w:ascii="Cambria" w:eastAsia="Cambria" w:hAnsi="Cambria" w:cs="Cambria"/>
              </w:rPr>
              <w:t>0</w:t>
            </w:r>
          </w:p>
        </w:tc>
      </w:tr>
    </w:tbl>
    <w:p w:rsidR="00EE13F6" w:rsidRDefault="002E5BC4">
      <w:pPr>
        <w:spacing w:after="207" w:line="257" w:lineRule="auto"/>
        <w:ind w:left="-5" w:right="468" w:hanging="10"/>
        <w:jc w:val="both"/>
      </w:pPr>
      <w:r>
        <w:rPr>
          <w:rFonts w:ascii="Cambria" w:eastAsia="Cambria" w:hAnsi="Cambria" w:cs="Cambria"/>
        </w:rPr>
        <w:t xml:space="preserve">Table 10: </w:t>
      </w:r>
      <w:r>
        <w:rPr>
          <w:rFonts w:ascii="Cambria" w:eastAsia="Cambria" w:hAnsi="Cambria" w:cs="Cambria"/>
          <w:b/>
        </w:rPr>
        <w:t>Envelope of The Negative Equity Value Variation in Percentage for a 5 percent Increase in Asset Volatility due to the FTT (</w:t>
      </w:r>
      <w:r>
        <w:rPr>
          <w:rFonts w:ascii="Cambria" w:eastAsia="Cambria" w:hAnsi="Cambria" w:cs="Cambria"/>
          <w:i/>
        </w:rPr>
        <w:t xml:space="preserve">r </w:t>
      </w:r>
      <w:r>
        <w:rPr>
          <w:rFonts w:ascii="Cambria" w:eastAsia="Cambria" w:hAnsi="Cambria" w:cs="Cambria"/>
        </w:rPr>
        <w:t>= 0</w:t>
      </w:r>
      <w:r>
        <w:rPr>
          <w:rFonts w:ascii="Cambria" w:eastAsia="Cambria" w:hAnsi="Cambria" w:cs="Cambria"/>
          <w:i/>
        </w:rPr>
        <w:t>.</w:t>
      </w:r>
      <w:r>
        <w:rPr>
          <w:rFonts w:ascii="Cambria" w:eastAsia="Cambria" w:hAnsi="Cambria" w:cs="Cambria"/>
        </w:rPr>
        <w:t>05</w:t>
      </w:r>
      <w:r>
        <w:rPr>
          <w:rFonts w:ascii="Cambria" w:eastAsia="Cambria" w:hAnsi="Cambria" w:cs="Cambria"/>
          <w:b/>
        </w:rPr>
        <w:t xml:space="preserve">; </w:t>
      </w: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35</w:t>
      </w:r>
      <w:r>
        <w:rPr>
          <w:rFonts w:ascii="Cambria" w:eastAsia="Cambria" w:hAnsi="Cambria" w:cs="Cambria"/>
          <w:b/>
        </w:rPr>
        <w:t xml:space="preserve">;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50</w:t>
      </w:r>
      <w:r>
        <w:rPr>
          <w:rFonts w:ascii="Cambria" w:eastAsia="Cambria" w:hAnsi="Cambria" w:cs="Cambria"/>
          <w:b/>
        </w:rPr>
        <w:t xml:space="preserve">; </w:t>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 0</w:t>
      </w:r>
      <w:r>
        <w:rPr>
          <w:rFonts w:ascii="Cambria" w:eastAsia="Cambria" w:hAnsi="Cambria" w:cs="Cambria"/>
          <w:i/>
        </w:rPr>
        <w:t>.</w:t>
      </w:r>
      <w:r>
        <w:rPr>
          <w:rFonts w:ascii="Cambria" w:eastAsia="Cambria" w:hAnsi="Cambria" w:cs="Cambria"/>
        </w:rPr>
        <w:t>20</w:t>
      </w:r>
      <w:r>
        <w:rPr>
          <w:rFonts w:ascii="Cambria" w:eastAsia="Cambria" w:hAnsi="Cambria" w:cs="Cambria"/>
          <w:b/>
        </w:rPr>
        <w:t xml:space="preserve">; </w:t>
      </w:r>
      <w:r>
        <w:rPr>
          <w:rFonts w:ascii="Cambria" w:eastAsia="Cambria" w:hAnsi="Cambria" w:cs="Cambria"/>
        </w:rPr>
        <w:t>0</w:t>
      </w:r>
      <w:r>
        <w:rPr>
          <w:rFonts w:ascii="Cambria" w:eastAsia="Cambria" w:hAnsi="Cambria" w:cs="Cambria"/>
          <w:i/>
        </w:rPr>
        <w:t>.</w:t>
      </w:r>
      <w:r>
        <w:rPr>
          <w:rFonts w:ascii="Cambria" w:eastAsia="Cambria" w:hAnsi="Cambria" w:cs="Cambria"/>
        </w:rPr>
        <w:t xml:space="preserve">01 </w:t>
      </w:r>
      <w:r>
        <w:rPr>
          <w:rFonts w:ascii="Cambria" w:eastAsia="Cambria" w:hAnsi="Cambria" w:cs="Cambria"/>
          <w:i/>
        </w:rPr>
        <w:t>&lt; s</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i/>
        </w:rPr>
        <w:t xml:space="preserve">&lt; </w:t>
      </w:r>
      <w:r>
        <w:rPr>
          <w:rFonts w:ascii="Cambria" w:eastAsia="Cambria" w:hAnsi="Cambria" w:cs="Cambria"/>
        </w:rPr>
        <w:t>0</w:t>
      </w:r>
      <w:r>
        <w:rPr>
          <w:rFonts w:ascii="Cambria" w:eastAsia="Cambria" w:hAnsi="Cambria" w:cs="Cambria"/>
          <w:i/>
        </w:rPr>
        <w:t>.</w:t>
      </w:r>
      <w:r>
        <w:rPr>
          <w:rFonts w:ascii="Cambria" w:eastAsia="Cambria" w:hAnsi="Cambria" w:cs="Cambria"/>
        </w:rPr>
        <w:t>04)</w:t>
      </w:r>
    </w:p>
    <w:tbl>
      <w:tblPr>
        <w:tblStyle w:val="TableGrid"/>
        <w:tblW w:w="6159" w:type="dxa"/>
        <w:tblInd w:w="1564" w:type="dxa"/>
        <w:tblCellMar>
          <w:top w:w="0" w:type="dxa"/>
          <w:left w:w="124" w:type="dxa"/>
          <w:bottom w:w="0" w:type="dxa"/>
          <w:right w:w="123" w:type="dxa"/>
        </w:tblCellMar>
        <w:tblLook w:val="04A0" w:firstRow="1" w:lastRow="0" w:firstColumn="1" w:lastColumn="0" w:noHBand="0" w:noVBand="1"/>
      </w:tblPr>
      <w:tblGrid>
        <w:gridCol w:w="1245"/>
        <w:gridCol w:w="1751"/>
        <w:gridCol w:w="1219"/>
        <w:gridCol w:w="1358"/>
        <w:gridCol w:w="586"/>
      </w:tblGrid>
      <w:tr w:rsidR="00EE13F6">
        <w:trPr>
          <w:trHeight w:val="284"/>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Maturity</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Risk free rate</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Leverage</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Max ROE</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3"/>
            </w:pPr>
            <w:r>
              <w:rPr>
                <w:noProof/>
              </w:rPr>
              <w:drawing>
                <wp:inline distT="0" distB="0" distL="0" distR="0">
                  <wp:extent cx="179832" cy="179832"/>
                  <wp:effectExtent l="0" t="0" r="0" b="0"/>
                  <wp:docPr id="222020" name="Picture 222020"/>
                  <wp:cNvGraphicFramePr/>
                  <a:graphic xmlns:a="http://schemas.openxmlformats.org/drawingml/2006/main">
                    <a:graphicData uri="http://schemas.openxmlformats.org/drawingml/2006/picture">
                      <pic:pic xmlns:pic="http://schemas.openxmlformats.org/drawingml/2006/picture">
                        <pic:nvPicPr>
                          <pic:cNvPr id="222020" name="Picture 222020"/>
                          <pic:cNvPicPr/>
                        </pic:nvPicPr>
                        <pic:blipFill>
                          <a:blip r:embed="rId235"/>
                          <a:stretch>
                            <a:fillRect/>
                          </a:stretch>
                        </pic:blipFill>
                        <pic:spPr>
                          <a:xfrm>
                            <a:off x="0" y="0"/>
                            <a:ext cx="179832" cy="179832"/>
                          </a:xfrm>
                          <a:prstGeom prst="rect">
                            <a:avLst/>
                          </a:prstGeom>
                        </pic:spPr>
                      </pic:pic>
                    </a:graphicData>
                  </a:graphic>
                </wp:inline>
              </w:drawing>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lastRenderedPageBreak/>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w:t>
            </w:r>
            <w:r>
              <w:rPr>
                <w:rFonts w:ascii="Cambria" w:eastAsia="Cambria" w:hAnsi="Cambria" w:cs="Cambria"/>
                <w:i/>
              </w:rPr>
              <w:t>.</w:t>
            </w:r>
            <w:r>
              <w:rPr>
                <w:rFonts w:ascii="Cambria" w:eastAsia="Cambria" w:hAnsi="Cambria" w:cs="Cambria"/>
              </w:rPr>
              <w:t>25</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0.252</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w:t>
            </w:r>
            <w:r>
              <w:rPr>
                <w:rFonts w:ascii="Cambria" w:eastAsia="Cambria" w:hAnsi="Cambria" w:cs="Cambria"/>
                <w:i/>
              </w:rPr>
              <w:t>.</w:t>
            </w:r>
            <w:r>
              <w:rPr>
                <w:rFonts w:ascii="Cambria" w:eastAsia="Cambria" w:hAnsi="Cambria" w:cs="Cambria"/>
              </w:rPr>
              <w:t>43</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0.227</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w:t>
            </w:r>
            <w:r>
              <w:rPr>
                <w:rFonts w:ascii="Cambria" w:eastAsia="Cambria" w:hAnsi="Cambria" w:cs="Cambria"/>
                <w:i/>
              </w:rPr>
              <w:t>.</w:t>
            </w:r>
            <w:r>
              <w:rPr>
                <w:rFonts w:ascii="Cambria" w:eastAsia="Cambria" w:hAnsi="Cambria" w:cs="Cambria"/>
              </w:rPr>
              <w:t>67</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0.193</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2</w:t>
            </w:r>
            <w:r>
              <w:rPr>
                <w:rFonts w:ascii="Cambria" w:eastAsia="Cambria" w:hAnsi="Cambria" w:cs="Cambria"/>
                <w:i/>
              </w:rPr>
              <w:t>.</w:t>
            </w:r>
            <w:r>
              <w:rPr>
                <w:rFonts w:ascii="Cambria" w:eastAsia="Cambria" w:hAnsi="Cambria" w:cs="Cambria"/>
              </w:rPr>
              <w:t>00</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0.184</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2</w:t>
            </w:r>
            <w:r>
              <w:rPr>
                <w:rFonts w:ascii="Cambria" w:eastAsia="Cambria" w:hAnsi="Cambria" w:cs="Cambria"/>
                <w:i/>
              </w:rPr>
              <w:t>.</w:t>
            </w:r>
            <w:r>
              <w:rPr>
                <w:rFonts w:ascii="Cambria" w:eastAsia="Cambria" w:hAnsi="Cambria" w:cs="Cambria"/>
              </w:rPr>
              <w:t>5</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0.173</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3</w:t>
            </w:r>
            <w:r>
              <w:rPr>
                <w:rFonts w:ascii="Cambria" w:eastAsia="Cambria" w:hAnsi="Cambria" w:cs="Cambria"/>
                <w:i/>
              </w:rPr>
              <w:t>.</w:t>
            </w:r>
            <w:r>
              <w:rPr>
                <w:rFonts w:ascii="Cambria" w:eastAsia="Cambria" w:hAnsi="Cambria" w:cs="Cambria"/>
              </w:rPr>
              <w:t>33</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0.150</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4</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0.147</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5</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0.139</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6</w:t>
            </w:r>
            <w:r>
              <w:rPr>
                <w:rFonts w:ascii="Cambria" w:eastAsia="Cambria" w:hAnsi="Cambria" w:cs="Cambria"/>
                <w:i/>
              </w:rPr>
              <w:t>.</w:t>
            </w:r>
            <w:r>
              <w:rPr>
                <w:rFonts w:ascii="Cambria" w:eastAsia="Cambria" w:hAnsi="Cambria" w:cs="Cambria"/>
              </w:rPr>
              <w:t>67</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0.113</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w:t>
            </w:r>
            <w:r>
              <w:rPr>
                <w:rFonts w:ascii="Cambria" w:eastAsia="Cambria" w:hAnsi="Cambria" w:cs="Cambria"/>
                <w:i/>
              </w:rPr>
              <w:t>.</w:t>
            </w:r>
            <w:r>
              <w:rPr>
                <w:rFonts w:ascii="Cambria" w:eastAsia="Cambria" w:hAnsi="Cambria" w:cs="Cambria"/>
              </w:rPr>
              <w:t>05</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10</w:t>
            </w:r>
          </w:p>
        </w:tc>
        <w:tc>
          <w:tcPr>
            <w:tcW w:w="1358"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1"/>
              <w:jc w:val="center"/>
            </w:pPr>
            <w:r>
              <w:rPr>
                <w:rFonts w:ascii="Cambria" w:eastAsia="Cambria" w:hAnsi="Cambria" w:cs="Cambria"/>
              </w:rPr>
              <w:t>0.043</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bl>
    <w:p w:rsidR="00EE13F6" w:rsidRDefault="002E5BC4">
      <w:pPr>
        <w:spacing w:after="207" w:line="257" w:lineRule="auto"/>
        <w:ind w:left="-5" w:right="468" w:hanging="10"/>
        <w:jc w:val="both"/>
      </w:pPr>
      <w:r>
        <w:rPr>
          <w:rFonts w:ascii="Cambria" w:eastAsia="Cambria" w:hAnsi="Cambria" w:cs="Cambria"/>
        </w:rPr>
        <w:t xml:space="preserve">Table 11: </w:t>
      </w:r>
      <w:r>
        <w:rPr>
          <w:rFonts w:ascii="Cambria" w:eastAsia="Cambria" w:hAnsi="Cambria" w:cs="Cambria"/>
          <w:b/>
        </w:rPr>
        <w:t>Envelope of The Negative Equity Value Variation in Percentage for an Increase in Implied Share Price Volatility due to the FTT (</w:t>
      </w:r>
      <w:r>
        <w:rPr>
          <w:rFonts w:ascii="Cambria" w:eastAsia="Cambria" w:hAnsi="Cambria" w:cs="Cambria"/>
          <w:i/>
        </w:rPr>
        <w:t xml:space="preserve">r </w:t>
      </w:r>
      <w:r>
        <w:rPr>
          <w:rFonts w:ascii="Cambria" w:eastAsia="Cambria" w:hAnsi="Cambria" w:cs="Cambria"/>
        </w:rPr>
        <w:t>= 0</w:t>
      </w:r>
      <w:r>
        <w:rPr>
          <w:rFonts w:ascii="Cambria" w:eastAsia="Cambria" w:hAnsi="Cambria" w:cs="Cambria"/>
          <w:i/>
        </w:rPr>
        <w:t>.</w:t>
      </w:r>
      <w:r>
        <w:rPr>
          <w:rFonts w:ascii="Cambria" w:eastAsia="Cambria" w:hAnsi="Cambria" w:cs="Cambria"/>
        </w:rPr>
        <w:t>01</w:t>
      </w:r>
      <w:r>
        <w:rPr>
          <w:rFonts w:ascii="Cambria" w:eastAsia="Cambria" w:hAnsi="Cambria" w:cs="Cambria"/>
          <w:b/>
        </w:rPr>
        <w:t xml:space="preserve">; </w:t>
      </w: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35</w:t>
      </w:r>
      <w:r>
        <w:rPr>
          <w:rFonts w:ascii="Cambria" w:eastAsia="Cambria" w:hAnsi="Cambria" w:cs="Cambria"/>
          <w:b/>
        </w:rPr>
        <w:t xml:space="preserve">;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50</w:t>
      </w:r>
      <w:r>
        <w:rPr>
          <w:rFonts w:ascii="Cambria" w:eastAsia="Cambria" w:hAnsi="Cambria" w:cs="Cambria"/>
          <w:b/>
        </w:rPr>
        <w:t xml:space="preserve">; </w:t>
      </w:r>
      <w:r>
        <w:rPr>
          <w:rFonts w:ascii="Cambria" w:eastAsia="Cambria" w:hAnsi="Cambria" w:cs="Cambria"/>
          <w:i/>
        </w:rPr>
        <w:t>σ</w:t>
      </w:r>
      <w:r>
        <w:rPr>
          <w:rFonts w:ascii="Cambria" w:eastAsia="Cambria" w:hAnsi="Cambria" w:cs="Cambria"/>
          <w:i/>
          <w:vertAlign w:val="subscript"/>
        </w:rPr>
        <w:t xml:space="preserve">S </w:t>
      </w:r>
      <w:r>
        <w:rPr>
          <w:rFonts w:ascii="Cambria" w:eastAsia="Cambria" w:hAnsi="Cambria" w:cs="Cambria"/>
        </w:rPr>
        <w:t>= 0</w:t>
      </w:r>
      <w:r>
        <w:rPr>
          <w:rFonts w:ascii="Cambria" w:eastAsia="Cambria" w:hAnsi="Cambria" w:cs="Cambria"/>
          <w:i/>
        </w:rPr>
        <w:t>.</w:t>
      </w:r>
      <w:r>
        <w:rPr>
          <w:rFonts w:ascii="Cambria" w:eastAsia="Cambria" w:hAnsi="Cambria" w:cs="Cambria"/>
        </w:rPr>
        <w:t>30</w:t>
      </w:r>
      <w:r>
        <w:rPr>
          <w:rFonts w:ascii="Cambria" w:eastAsia="Cambria" w:hAnsi="Cambria" w:cs="Cambria"/>
          <w:b/>
        </w:rPr>
        <w:t xml:space="preserve">; </w:t>
      </w:r>
      <w:r>
        <w:rPr>
          <w:rFonts w:ascii="Cambria" w:eastAsia="Cambria" w:hAnsi="Cambria" w:cs="Cambria"/>
        </w:rPr>
        <w:t>0</w:t>
      </w:r>
      <w:r>
        <w:rPr>
          <w:rFonts w:ascii="Cambria" w:eastAsia="Cambria" w:hAnsi="Cambria" w:cs="Cambria"/>
          <w:i/>
        </w:rPr>
        <w:t>.</w:t>
      </w:r>
      <w:r>
        <w:rPr>
          <w:rFonts w:ascii="Cambria" w:eastAsia="Cambria" w:hAnsi="Cambria" w:cs="Cambria"/>
        </w:rPr>
        <w:t xml:space="preserve">01 </w:t>
      </w:r>
      <w:r>
        <w:rPr>
          <w:rFonts w:ascii="Cambria" w:eastAsia="Cambria" w:hAnsi="Cambria" w:cs="Cambria"/>
          <w:i/>
        </w:rPr>
        <w:t>&lt; s</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i/>
        </w:rPr>
        <w:t xml:space="preserve">&lt; </w:t>
      </w:r>
      <w:r>
        <w:rPr>
          <w:rFonts w:ascii="Cambria" w:eastAsia="Cambria" w:hAnsi="Cambria" w:cs="Cambria"/>
        </w:rPr>
        <w:t>0</w:t>
      </w:r>
      <w:r>
        <w:rPr>
          <w:rFonts w:ascii="Cambria" w:eastAsia="Cambria" w:hAnsi="Cambria" w:cs="Cambria"/>
          <w:i/>
        </w:rPr>
        <w:t>.</w:t>
      </w:r>
      <w:r>
        <w:rPr>
          <w:rFonts w:ascii="Cambria" w:eastAsia="Cambria" w:hAnsi="Cambria" w:cs="Cambria"/>
        </w:rPr>
        <w:t>04)</w:t>
      </w:r>
    </w:p>
    <w:tbl>
      <w:tblPr>
        <w:tblStyle w:val="TableGrid"/>
        <w:tblW w:w="6116" w:type="dxa"/>
        <w:tblInd w:w="1586" w:type="dxa"/>
        <w:tblCellMar>
          <w:top w:w="0" w:type="dxa"/>
          <w:left w:w="124" w:type="dxa"/>
          <w:bottom w:w="0" w:type="dxa"/>
          <w:right w:w="123" w:type="dxa"/>
        </w:tblCellMar>
        <w:tblLook w:val="04A0" w:firstRow="1" w:lastRow="0" w:firstColumn="1" w:lastColumn="0" w:noHBand="0" w:noVBand="1"/>
      </w:tblPr>
      <w:tblGrid>
        <w:gridCol w:w="1245"/>
        <w:gridCol w:w="1751"/>
        <w:gridCol w:w="1219"/>
        <w:gridCol w:w="1315"/>
        <w:gridCol w:w="586"/>
      </w:tblGrid>
      <w:tr w:rsidR="00EE13F6">
        <w:trPr>
          <w:trHeight w:val="284"/>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Maturity</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Risk free rate</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Leverage</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Max ROa</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33"/>
            </w:pPr>
            <w:r>
              <w:rPr>
                <w:noProof/>
              </w:rPr>
              <w:drawing>
                <wp:inline distT="0" distB="0" distL="0" distR="0">
                  <wp:extent cx="179832" cy="179832"/>
                  <wp:effectExtent l="0" t="0" r="0" b="0"/>
                  <wp:docPr id="222022" name="Picture 222022"/>
                  <wp:cNvGraphicFramePr/>
                  <a:graphic xmlns:a="http://schemas.openxmlformats.org/drawingml/2006/main">
                    <a:graphicData uri="http://schemas.openxmlformats.org/drawingml/2006/picture">
                      <pic:pic xmlns:pic="http://schemas.openxmlformats.org/drawingml/2006/picture">
                        <pic:nvPicPr>
                          <pic:cNvPr id="222022" name="Picture 222022"/>
                          <pic:cNvPicPr/>
                        </pic:nvPicPr>
                        <pic:blipFill>
                          <a:blip r:embed="rId236"/>
                          <a:stretch>
                            <a:fillRect/>
                          </a:stretch>
                        </pic:blipFill>
                        <pic:spPr>
                          <a:xfrm>
                            <a:off x="0" y="0"/>
                            <a:ext cx="179832" cy="179832"/>
                          </a:xfrm>
                          <a:prstGeom prst="rect">
                            <a:avLst/>
                          </a:prstGeom>
                        </pic:spPr>
                      </pic:pic>
                    </a:graphicData>
                  </a:graphic>
                </wp:inline>
              </w:drawing>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w:t>
            </w:r>
            <w:r>
              <w:rPr>
                <w:rFonts w:ascii="Cambria" w:eastAsia="Cambria" w:hAnsi="Cambria" w:cs="Cambria"/>
                <w:i/>
              </w:rPr>
              <w:t>.</w:t>
            </w:r>
            <w:r>
              <w:rPr>
                <w:rFonts w:ascii="Cambria" w:eastAsia="Cambria" w:hAnsi="Cambria" w:cs="Cambria"/>
              </w:rPr>
              <w:t>25</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0.201</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w:t>
            </w:r>
            <w:r>
              <w:rPr>
                <w:rFonts w:ascii="Cambria" w:eastAsia="Cambria" w:hAnsi="Cambria" w:cs="Cambria"/>
                <w:i/>
              </w:rPr>
              <w:t>.</w:t>
            </w:r>
            <w:r>
              <w:rPr>
                <w:rFonts w:ascii="Cambria" w:eastAsia="Cambria" w:hAnsi="Cambria" w:cs="Cambria"/>
              </w:rPr>
              <w:t>43</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0.172</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w:t>
            </w:r>
            <w:r>
              <w:rPr>
                <w:rFonts w:ascii="Cambria" w:eastAsia="Cambria" w:hAnsi="Cambria" w:cs="Cambria"/>
                <w:i/>
              </w:rPr>
              <w:t>.</w:t>
            </w:r>
            <w:r>
              <w:rPr>
                <w:rFonts w:ascii="Cambria" w:eastAsia="Cambria" w:hAnsi="Cambria" w:cs="Cambria"/>
              </w:rPr>
              <w:t>67</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0.13</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w:t>
            </w:r>
            <w:r>
              <w:rPr>
                <w:rFonts w:ascii="Cambria" w:eastAsia="Cambria" w:hAnsi="Cambria" w:cs="Cambria"/>
                <w:i/>
              </w:rPr>
              <w:t>.</w:t>
            </w:r>
            <w:r>
              <w:rPr>
                <w:rFonts w:ascii="Cambria" w:eastAsia="Cambria" w:hAnsi="Cambria" w:cs="Cambria"/>
              </w:rPr>
              <w:t>00</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0.12</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w:t>
            </w:r>
            <w:r>
              <w:rPr>
                <w:rFonts w:ascii="Cambria" w:eastAsia="Cambria" w:hAnsi="Cambria" w:cs="Cambria"/>
                <w:i/>
              </w:rPr>
              <w:t>.</w:t>
            </w:r>
            <w:r>
              <w:rPr>
                <w:rFonts w:ascii="Cambria" w:eastAsia="Cambria" w:hAnsi="Cambria" w:cs="Cambria"/>
              </w:rPr>
              <w:t>5</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0.115</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w:t>
            </w:r>
            <w:r>
              <w:rPr>
                <w:rFonts w:ascii="Cambria" w:eastAsia="Cambria" w:hAnsi="Cambria" w:cs="Cambria"/>
                <w:i/>
              </w:rPr>
              <w:t>.</w:t>
            </w:r>
            <w:r>
              <w:rPr>
                <w:rFonts w:ascii="Cambria" w:eastAsia="Cambria" w:hAnsi="Cambria" w:cs="Cambria"/>
              </w:rPr>
              <w:t>33</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0.11</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0.115</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0.118</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6</w:t>
            </w:r>
            <w:r>
              <w:rPr>
                <w:rFonts w:ascii="Cambria" w:eastAsia="Cambria" w:hAnsi="Cambria" w:cs="Cambria"/>
                <w:i/>
              </w:rPr>
              <w:t>.</w:t>
            </w:r>
            <w:r>
              <w:rPr>
                <w:rFonts w:ascii="Cambria" w:eastAsia="Cambria" w:hAnsi="Cambria" w:cs="Cambria"/>
              </w:rPr>
              <w:t>67</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0.086</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w:t>
            </w:r>
          </w:p>
        </w:tc>
        <w:tc>
          <w:tcPr>
            <w:tcW w:w="175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01</w:t>
            </w:r>
          </w:p>
        </w:tc>
        <w:tc>
          <w:tcPr>
            <w:tcW w:w="1219"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w:t>
            </w:r>
          </w:p>
        </w:tc>
        <w:tc>
          <w:tcPr>
            <w:tcW w:w="131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0.05</w:t>
            </w:r>
          </w:p>
        </w:tc>
        <w:tc>
          <w:tcPr>
            <w:tcW w:w="58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i/>
              </w:rPr>
              <w:t xml:space="preserve">&lt; </w:t>
            </w:r>
            <w:r>
              <w:rPr>
                <w:rFonts w:ascii="Cambria" w:eastAsia="Cambria" w:hAnsi="Cambria" w:cs="Cambria"/>
              </w:rPr>
              <w:t>0</w:t>
            </w:r>
          </w:p>
        </w:tc>
      </w:tr>
    </w:tbl>
    <w:p w:rsidR="00EE13F6" w:rsidRDefault="002E5BC4">
      <w:pPr>
        <w:spacing w:after="135" w:line="264" w:lineRule="auto"/>
        <w:ind w:left="-5" w:right="468" w:hanging="10"/>
        <w:jc w:val="both"/>
      </w:pPr>
      <w:r>
        <w:rPr>
          <w:rFonts w:ascii="Cambria" w:eastAsia="Cambria" w:hAnsi="Cambria" w:cs="Cambria"/>
        </w:rPr>
        <w:t>increase in the asset volatility leads to a negative variation of the corporate firm equity value, for credit spreads ranking from 1 percent to 4 percent per annum.</w:t>
      </w:r>
    </w:p>
    <w:p w:rsidR="00EE13F6" w:rsidRDefault="002E5BC4">
      <w:pPr>
        <w:spacing w:after="135" w:line="264" w:lineRule="auto"/>
        <w:ind w:left="-5" w:right="468" w:hanging="10"/>
        <w:jc w:val="both"/>
      </w:pPr>
      <w:r>
        <w:rPr>
          <w:rFonts w:ascii="Cambria" w:eastAsia="Cambria" w:hAnsi="Cambria" w:cs="Cambria"/>
        </w:rPr>
        <w:t>One can see that, for usual values of the ROE, the impact is going to be mainly negative fo</w:t>
      </w:r>
      <w:r>
        <w:rPr>
          <w:rFonts w:ascii="Cambria" w:eastAsia="Cambria" w:hAnsi="Cambria" w:cs="Cambria"/>
        </w:rPr>
        <w:t>r a 5 year maturity. The impact is going to be higher for a higher risk free rate. Table 8 evidences that if the risk free rate is 5 percent then the ROE to get a negative variation of the equity following a 5 percent increase in the asset volatility is hi</w:t>
      </w:r>
      <w:r>
        <w:rPr>
          <w:rFonts w:ascii="Cambria" w:eastAsia="Cambria" w:hAnsi="Cambria" w:cs="Cambria"/>
        </w:rPr>
        <w:t>gher.</w:t>
      </w:r>
    </w:p>
    <w:p w:rsidR="00EE13F6" w:rsidRDefault="002E5BC4">
      <w:pPr>
        <w:spacing w:after="135" w:line="264" w:lineRule="auto"/>
        <w:ind w:left="-5" w:right="468" w:hanging="10"/>
        <w:jc w:val="both"/>
      </w:pPr>
      <w:r>
        <w:rPr>
          <w:rFonts w:ascii="Cambria" w:eastAsia="Cambria" w:hAnsi="Cambria" w:cs="Cambria"/>
        </w:rPr>
        <w:t>Remark: Furthermore, for highly leveraged companies, the impact for a 10 year maturity debt will always be positive. This is in line, with previous results from Leland or Leland and Toft, though based on endogenous bankruptcy determination, which fin</w:t>
      </w:r>
      <w:r>
        <w:rPr>
          <w:rFonts w:ascii="Cambria" w:eastAsia="Cambria" w:hAnsi="Cambria" w:cs="Cambria"/>
        </w:rPr>
        <w:t>d that corporate companies issuing junkbonds are favoured by an increase in the risks on the assets. This is the classical agency effect, where because of the option nature of equity shareholders might increase their risk in order to increase the equity va</w:t>
      </w:r>
      <w:r>
        <w:rPr>
          <w:rFonts w:ascii="Cambria" w:eastAsia="Cambria" w:hAnsi="Cambria" w:cs="Cambria"/>
        </w:rPr>
        <w:t>lue.</w:t>
      </w:r>
    </w:p>
    <w:p w:rsidR="00EE13F6" w:rsidRDefault="002E5BC4">
      <w:pPr>
        <w:spacing w:after="465" w:line="264" w:lineRule="auto"/>
        <w:ind w:left="-5" w:right="468" w:hanging="10"/>
        <w:jc w:val="both"/>
      </w:pPr>
      <w:r>
        <w:rPr>
          <w:rFonts w:ascii="Cambria" w:eastAsia="Cambria" w:hAnsi="Cambria" w:cs="Cambria"/>
        </w:rPr>
        <w:t>Finally, Table 11 displays the envelope of return on assets leading to a decrease of the equity share value for a predetermined level of equity volatility of 30 percent. The asset volatility is then derived through the approximation of a fixed capital stru</w:t>
      </w:r>
      <w:r>
        <w:rPr>
          <w:rFonts w:ascii="Cambria" w:eastAsia="Cambria" w:hAnsi="Cambria" w:cs="Cambria"/>
        </w:rPr>
        <w:t>cture.</w:t>
      </w:r>
    </w:p>
    <w:p w:rsidR="00EE13F6" w:rsidRDefault="002E5BC4">
      <w:pPr>
        <w:tabs>
          <w:tab w:val="center" w:pos="3488"/>
        </w:tabs>
        <w:spacing w:after="290" w:line="257" w:lineRule="auto"/>
        <w:ind w:left="-15"/>
      </w:pPr>
      <w:r>
        <w:rPr>
          <w:rFonts w:ascii="Cambria" w:eastAsia="Cambria" w:hAnsi="Cambria" w:cs="Cambria"/>
          <w:b/>
        </w:rPr>
        <w:t>2.2.3</w:t>
      </w:r>
      <w:r>
        <w:rPr>
          <w:rFonts w:ascii="Cambria" w:eastAsia="Cambria" w:hAnsi="Cambria" w:cs="Cambria"/>
          <w:b/>
        </w:rPr>
        <w:tab/>
        <w:t>Long Term Impact in a Fixed Capital Structure</w:t>
      </w:r>
    </w:p>
    <w:p w:rsidR="00EE13F6" w:rsidRDefault="002E5BC4">
      <w:pPr>
        <w:spacing w:after="135" w:line="264" w:lineRule="auto"/>
        <w:ind w:left="-5" w:right="468" w:hanging="10"/>
        <w:jc w:val="both"/>
      </w:pPr>
      <w:r>
        <w:rPr>
          <w:rFonts w:ascii="Cambria" w:eastAsia="Cambria" w:hAnsi="Cambria" w:cs="Cambria"/>
        </w:rPr>
        <w:t xml:space="preserve">We consider now, corporate firms adjusting the level of their debt value by adjusting their credit spread, in order to raise the same amount of capital on the primary bond market. Because, in our </w:t>
      </w:r>
      <w:r>
        <w:rPr>
          <w:rFonts w:ascii="Cambria" w:eastAsia="Cambria" w:hAnsi="Cambria" w:cs="Cambria"/>
        </w:rPr>
        <w:lastRenderedPageBreak/>
        <w:t>m</w:t>
      </w:r>
      <w:r>
        <w:rPr>
          <w:rFonts w:ascii="Cambria" w:eastAsia="Cambria" w:hAnsi="Cambria" w:cs="Cambria"/>
        </w:rPr>
        <w:t>odel we consider a steady state corresponding to a continuous rate of issue for a fixed term debt maturity, we can conclude that this corresponds to a long term adjustment of this steady state, which is completed after the corporate debt has been completel</w:t>
      </w:r>
      <w:r>
        <w:rPr>
          <w:rFonts w:ascii="Cambria" w:eastAsia="Cambria" w:hAnsi="Cambria" w:cs="Cambria"/>
        </w:rPr>
        <w:t>y renewed. Consequently, this happens after a number of years corresponding to the average tenor of the corporate debt.</w:t>
      </w:r>
    </w:p>
    <w:p w:rsidR="00EE13F6" w:rsidRDefault="002E5BC4">
      <w:pPr>
        <w:spacing w:after="135" w:line="264" w:lineRule="auto"/>
        <w:ind w:left="-5" w:right="468" w:hanging="10"/>
        <w:jc w:val="both"/>
      </w:pPr>
      <w:r>
        <w:rPr>
          <w:rFonts w:ascii="Cambria" w:eastAsia="Cambria" w:hAnsi="Cambria" w:cs="Cambria"/>
        </w:rPr>
        <w:t>Figure 4 evidences the instantaneous (long term) reaction of the expected theoretical share price under the risk neutral measure associa</w:t>
      </w:r>
      <w:r>
        <w:rPr>
          <w:rFonts w:ascii="Cambria" w:eastAsia="Cambria" w:hAnsi="Cambria" w:cs="Cambria"/>
        </w:rPr>
        <w:t>ted to the asset value stochastic diffusion process. As for the short-term impact review (see above), we consider two different assumptions on the yearly rate of return on assets, respectively 3 and 5 percent. Results are computed for two respective differ</w:t>
      </w:r>
      <w:r>
        <w:rPr>
          <w:rFonts w:ascii="Cambria" w:eastAsia="Cambria" w:hAnsi="Cambria" w:cs="Cambria"/>
        </w:rPr>
        <w:t>ent level of asset volatility (10 and 20 percent) as well as two different maturities (5 and 10 years). The FTT roundtrip rate is assumed to be at 0.2 percent. Option market-makers on the 5 year option are following a 2 percent based ∆</w:t>
      </w:r>
      <w:r>
        <w:rPr>
          <w:rFonts w:ascii="Cambria" w:eastAsia="Cambria" w:hAnsi="Cambria" w:cs="Cambria"/>
          <w:i/>
        </w:rPr>
        <w:t xml:space="preserve">s </w:t>
      </w:r>
      <w:r>
        <w:rPr>
          <w:rFonts w:ascii="Cambria" w:eastAsia="Cambria" w:hAnsi="Cambria" w:cs="Cambria"/>
        </w:rPr>
        <w:t>rule.</w:t>
      </w:r>
    </w:p>
    <w:p w:rsidR="00EE13F6" w:rsidRDefault="002E5BC4">
      <w:pPr>
        <w:spacing w:after="135" w:line="264" w:lineRule="auto"/>
        <w:ind w:left="-5" w:right="468" w:hanging="10"/>
        <w:jc w:val="both"/>
      </w:pPr>
      <w:r>
        <w:rPr>
          <w:rFonts w:ascii="Cambria" w:eastAsia="Cambria" w:hAnsi="Cambria" w:cs="Cambria"/>
        </w:rPr>
        <w:t>One can see that, as for the short term impact, the level of asset volatility commands directly the magnitude and the sign of the long term impact on the theoretical price of corporate equity. For an asset volatility of 20 percent(pretty high), and a yearl</w:t>
      </w:r>
      <w:r>
        <w:rPr>
          <w:rFonts w:ascii="Cambria" w:eastAsia="Cambria" w:hAnsi="Cambria" w:cs="Cambria"/>
        </w:rPr>
        <w:t>y return on assets of 5 percent, one can see that the equity share price can be up, for highly leveraged corporations with substantial credit spread. We encounter, again, the ”agency effect” described previously. The adjustment of credit spreads for highly</w:t>
      </w:r>
      <w:r>
        <w:rPr>
          <w:rFonts w:ascii="Cambria" w:eastAsia="Cambria" w:hAnsi="Cambria" w:cs="Cambria"/>
        </w:rPr>
        <w:t xml:space="preserve"> leveraged corporations issuing high spread bonds (junk-bonds) will lead to an increase in the theoretical value of the corporate equity.</w:t>
      </w:r>
    </w:p>
    <w:p w:rsidR="00EE13F6" w:rsidRDefault="002E5BC4">
      <w:pPr>
        <w:spacing w:after="135" w:line="264" w:lineRule="auto"/>
        <w:ind w:left="-5" w:right="468" w:hanging="10"/>
        <w:jc w:val="both"/>
      </w:pPr>
      <w:r>
        <w:rPr>
          <w:rFonts w:ascii="Cambria" w:eastAsia="Cambria" w:hAnsi="Cambria" w:cs="Cambria"/>
        </w:rPr>
        <w:t>The magnitude of the negative impact on theoretical corporate equity price is an increasing function of both corporate</w:t>
      </w:r>
      <w:r>
        <w:rPr>
          <w:rFonts w:ascii="Cambria" w:eastAsia="Cambria" w:hAnsi="Cambria" w:cs="Cambria"/>
        </w:rPr>
        <w:t xml:space="preserve"> leverage and spreads. This negative dependancy is valid for respective debt maturities of 5, 10 and 15 years. The negative impact is more significant for short term maturities and it tends generally to zero when the debt maturity increases.</w:t>
      </w:r>
    </w:p>
    <w:p w:rsidR="00EE13F6" w:rsidRDefault="002E5BC4">
      <w:pPr>
        <w:spacing w:after="475" w:line="264" w:lineRule="auto"/>
        <w:ind w:left="-5" w:right="468" w:hanging="10"/>
        <w:jc w:val="both"/>
      </w:pPr>
      <w:r>
        <w:rPr>
          <w:rFonts w:ascii="Cambria" w:eastAsia="Cambria" w:hAnsi="Cambria" w:cs="Cambria"/>
        </w:rPr>
        <w:t>The negative i</w:t>
      </w:r>
      <w:r>
        <w:rPr>
          <w:rFonts w:ascii="Cambria" w:eastAsia="Cambria" w:hAnsi="Cambria" w:cs="Cambria"/>
        </w:rPr>
        <w:t>mpact on the theoretical equity price decreases with the corporate debt maturity.</w:t>
      </w:r>
    </w:p>
    <w:p w:rsidR="00EE13F6" w:rsidRDefault="002E5BC4">
      <w:pPr>
        <w:pStyle w:val="Heading2"/>
        <w:spacing w:after="288" w:line="251" w:lineRule="auto"/>
        <w:ind w:left="608" w:right="468" w:hanging="623"/>
        <w:jc w:val="both"/>
      </w:pPr>
      <w:r>
        <w:t>2.3 Consequences of the FTT Introduction on the Theoretical Equity Price for an Optimal Capital Structure and Fixed Intermediate Debt</w:t>
      </w:r>
    </w:p>
    <w:p w:rsidR="00EE13F6" w:rsidRDefault="002E5BC4">
      <w:pPr>
        <w:spacing w:after="279" w:line="257" w:lineRule="auto"/>
        <w:ind w:left="752" w:right="468" w:hanging="767"/>
        <w:jc w:val="both"/>
      </w:pPr>
      <w:r>
        <w:rPr>
          <w:rFonts w:ascii="Cambria" w:eastAsia="Cambria" w:hAnsi="Cambria" w:cs="Cambria"/>
          <w:b/>
        </w:rPr>
        <w:t>2.3.1</w:t>
      </w:r>
      <w:r>
        <w:rPr>
          <w:rFonts w:ascii="Cambria" w:eastAsia="Cambria" w:hAnsi="Cambria" w:cs="Cambria"/>
          <w:b/>
        </w:rPr>
        <w:tab/>
        <w:t>Consequences of the FTT Introducti</w:t>
      </w:r>
      <w:r>
        <w:rPr>
          <w:rFonts w:ascii="Cambria" w:eastAsia="Cambria" w:hAnsi="Cambria" w:cs="Cambria"/>
          <w:b/>
        </w:rPr>
        <w:t>on on the Corporation Optimal Capital Structure</w:t>
      </w:r>
    </w:p>
    <w:p w:rsidR="00EE13F6" w:rsidRDefault="002E5BC4">
      <w:pPr>
        <w:spacing w:after="135" w:line="264" w:lineRule="auto"/>
        <w:ind w:left="-5" w:right="468" w:hanging="10"/>
        <w:jc w:val="both"/>
      </w:pPr>
      <w:r>
        <w:rPr>
          <w:rFonts w:ascii="Cambria" w:eastAsia="Cambria" w:hAnsi="Cambria" w:cs="Cambria"/>
        </w:rPr>
        <w:t>We consider now the case of a corporation which choses to have an optimal capital structure in the case of an exogenous determination of bankruptcy.</w:t>
      </w:r>
    </w:p>
    <w:p w:rsidR="00EE13F6" w:rsidRDefault="002E5BC4">
      <w:pPr>
        <w:spacing w:after="135" w:line="264" w:lineRule="auto"/>
        <w:ind w:left="-5" w:right="468" w:hanging="10"/>
        <w:jc w:val="both"/>
      </w:pPr>
      <w:r>
        <w:rPr>
          <w:rFonts w:ascii="Cambria" w:eastAsia="Cambria" w:hAnsi="Cambria" w:cs="Cambria"/>
        </w:rPr>
        <w:t>We will focus on fixed term debt, considering the case of a</w:t>
      </w:r>
      <w:r>
        <w:rPr>
          <w:rFonts w:ascii="Cambria" w:eastAsia="Cambria" w:hAnsi="Cambria" w:cs="Cambria"/>
        </w:rPr>
        <w:t xml:space="preserve"> corporation issuing fixed term debt for a given maturity. We can then figure what is going to be the reaction of the corporation to a change in asset volatility. We have the following proposition.</w:t>
      </w:r>
    </w:p>
    <w:p w:rsidR="00EE13F6" w:rsidRDefault="002E5BC4">
      <w:pPr>
        <w:spacing w:after="138" w:line="257" w:lineRule="auto"/>
        <w:ind w:left="-5" w:right="468" w:hanging="10"/>
        <w:jc w:val="both"/>
      </w:pPr>
      <w:r>
        <w:rPr>
          <w:rFonts w:ascii="Cambria" w:eastAsia="Cambria" w:hAnsi="Cambria" w:cs="Cambria"/>
          <w:b/>
        </w:rPr>
        <w:t>Proposition (3)</w:t>
      </w:r>
    </w:p>
    <w:p w:rsidR="00EE13F6" w:rsidRDefault="002E5BC4" w:rsidP="002E5BC4">
      <w:pPr>
        <w:numPr>
          <w:ilvl w:val="0"/>
          <w:numId w:val="44"/>
        </w:numPr>
        <w:spacing w:after="135" w:line="264" w:lineRule="auto"/>
        <w:ind w:right="468" w:hanging="10"/>
        <w:jc w:val="both"/>
      </w:pPr>
      <w:r>
        <w:rPr>
          <w:rFonts w:ascii="Cambria" w:eastAsia="Cambria" w:hAnsi="Cambria" w:cs="Cambria"/>
        </w:rPr>
        <w:t>Assuming that a given corporation determines its optimal capital structure by maximizing thecorporate value.</w:t>
      </w:r>
    </w:p>
    <w:p w:rsidR="00EE13F6" w:rsidRDefault="002E5BC4" w:rsidP="002E5BC4">
      <w:pPr>
        <w:numPr>
          <w:ilvl w:val="0"/>
          <w:numId w:val="44"/>
        </w:numPr>
        <w:spacing w:after="135" w:line="264" w:lineRule="auto"/>
        <w:ind w:right="468" w:hanging="10"/>
        <w:jc w:val="both"/>
      </w:pPr>
      <w:r>
        <w:rPr>
          <w:rFonts w:ascii="Cambria" w:eastAsia="Cambria" w:hAnsi="Cambria" w:cs="Cambria"/>
        </w:rPr>
        <w:t>Assuming that for a given corporation the variation of asset volatility parameters leads to anegative short term variation of the equity price.</w:t>
      </w:r>
    </w:p>
    <w:p w:rsidR="00EE13F6" w:rsidRDefault="002E5BC4">
      <w:pPr>
        <w:spacing w:after="135" w:line="264" w:lineRule="auto"/>
        <w:ind w:left="-5" w:right="468" w:hanging="10"/>
        <w:jc w:val="both"/>
      </w:pPr>
      <w:r>
        <w:rPr>
          <w:rFonts w:ascii="Cambria" w:eastAsia="Cambria" w:hAnsi="Cambria" w:cs="Cambria"/>
        </w:rPr>
        <w:t>(i)</w:t>
      </w:r>
      <w:r>
        <w:rPr>
          <w:rFonts w:ascii="Cambria" w:eastAsia="Cambria" w:hAnsi="Cambria" w:cs="Cambria"/>
        </w:rPr>
        <w:t xml:space="preserve"> Assuming that the corporate default is triggered by an exogenous condition, based on a fraction of the outstanding principal amount.</w:t>
      </w:r>
    </w:p>
    <w:p w:rsidR="00EE13F6" w:rsidRDefault="002E5BC4">
      <w:pPr>
        <w:spacing w:after="135" w:line="264" w:lineRule="auto"/>
        <w:ind w:left="-5" w:right="468" w:hanging="10"/>
        <w:jc w:val="both"/>
      </w:pPr>
      <w:r>
        <w:rPr>
          <w:rFonts w:ascii="Cambria" w:eastAsia="Cambria" w:hAnsi="Cambria" w:cs="Cambria"/>
        </w:rPr>
        <w:lastRenderedPageBreak/>
        <w:t>Then</w:t>
      </w:r>
    </w:p>
    <w:p w:rsidR="00EE13F6" w:rsidRDefault="002E5BC4" w:rsidP="002E5BC4">
      <w:pPr>
        <w:numPr>
          <w:ilvl w:val="0"/>
          <w:numId w:val="45"/>
        </w:numPr>
        <w:spacing w:after="135" w:line="264" w:lineRule="auto"/>
        <w:ind w:right="468" w:hanging="10"/>
        <w:jc w:val="both"/>
      </w:pPr>
      <w:r>
        <w:rPr>
          <w:rFonts w:ascii="Cambria" w:eastAsia="Cambria" w:hAnsi="Cambria" w:cs="Cambria"/>
        </w:rPr>
        <w:t>Corporations will adjust to their new optimal capital structure, by reimbursing corporate debt,and funding this opera</w:t>
      </w:r>
      <w:r>
        <w:rPr>
          <w:rFonts w:ascii="Cambria" w:eastAsia="Cambria" w:hAnsi="Cambria" w:cs="Cambria"/>
        </w:rPr>
        <w:t>tion by issuing new equities.</w:t>
      </w:r>
    </w:p>
    <w:p w:rsidR="00EE13F6" w:rsidRDefault="002E5BC4" w:rsidP="002E5BC4">
      <w:pPr>
        <w:numPr>
          <w:ilvl w:val="0"/>
          <w:numId w:val="45"/>
        </w:numPr>
        <w:spacing w:after="135" w:line="264" w:lineRule="auto"/>
        <w:ind w:right="468" w:hanging="10"/>
        <w:jc w:val="both"/>
      </w:pPr>
      <w:r>
        <w:rPr>
          <w:rFonts w:ascii="Cambria" w:eastAsia="Cambria" w:hAnsi="Cambria" w:cs="Cambria"/>
        </w:rPr>
        <w:t>The equity price will record a drop due to the dilution effect generated by this adjustment ofthe optimal capital structure.</w:t>
      </w:r>
    </w:p>
    <w:p w:rsidR="00EE13F6" w:rsidRDefault="002E5BC4">
      <w:pPr>
        <w:spacing w:after="434" w:line="264" w:lineRule="auto"/>
        <w:ind w:left="1314" w:right="468" w:hanging="10"/>
        <w:jc w:val="both"/>
      </w:pPr>
      <w:r>
        <w:rPr>
          <w:rFonts w:ascii="Cambria" w:eastAsia="Cambria" w:hAnsi="Cambria" w:cs="Cambria"/>
        </w:rPr>
        <w:t>Figure 4: LongTerm Reaction of the Expected Theoretical Share Price</w:t>
      </w:r>
    </w:p>
    <w:p w:rsidR="00EE13F6" w:rsidRDefault="002E5BC4">
      <w:pPr>
        <w:spacing w:after="0"/>
        <w:ind w:left="911"/>
      </w:pPr>
      <w:r>
        <w:rPr>
          <w:noProof/>
        </w:rPr>
        <mc:AlternateContent>
          <mc:Choice Requires="wpg">
            <w:drawing>
              <wp:inline distT="0" distB="0" distL="0" distR="0">
                <wp:extent cx="4950321" cy="6454141"/>
                <wp:effectExtent l="0" t="0" r="0" b="0"/>
                <wp:docPr id="205321" name="Group 205321"/>
                <wp:cNvGraphicFramePr/>
                <a:graphic xmlns:a="http://schemas.openxmlformats.org/drawingml/2006/main">
                  <a:graphicData uri="http://schemas.microsoft.com/office/word/2010/wordprocessingGroup">
                    <wpg:wgp>
                      <wpg:cNvGrpSpPr/>
                      <wpg:grpSpPr>
                        <a:xfrm>
                          <a:off x="0" y="0"/>
                          <a:ext cx="4950321" cy="6454141"/>
                          <a:chOff x="0" y="0"/>
                          <a:chExt cx="4950321" cy="6454141"/>
                        </a:xfrm>
                      </wpg:grpSpPr>
                      <wps:wsp>
                        <wps:cNvPr id="21367" name="Shape 21367"/>
                        <wps:cNvSpPr/>
                        <wps:spPr>
                          <a:xfrm>
                            <a:off x="370579" y="3052475"/>
                            <a:ext cx="4579742" cy="0"/>
                          </a:xfrm>
                          <a:custGeom>
                            <a:avLst/>
                            <a:gdLst/>
                            <a:ahLst/>
                            <a:cxnLst/>
                            <a:rect l="0" t="0" r="0" b="0"/>
                            <a:pathLst>
                              <a:path w="4579742">
                                <a:moveTo>
                                  <a:pt x="4579742" y="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68" name="Shape 21368"/>
                        <wps:cNvSpPr/>
                        <wps:spPr>
                          <a:xfrm>
                            <a:off x="370579" y="2681541"/>
                            <a:ext cx="4579742" cy="0"/>
                          </a:xfrm>
                          <a:custGeom>
                            <a:avLst/>
                            <a:gdLst/>
                            <a:ahLst/>
                            <a:cxnLst/>
                            <a:rect l="0" t="0" r="0" b="0"/>
                            <a:pathLst>
                              <a:path w="4579742">
                                <a:moveTo>
                                  <a:pt x="4579742" y="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69" name="Shape 21369"/>
                        <wps:cNvSpPr/>
                        <wps:spPr>
                          <a:xfrm>
                            <a:off x="370579" y="2310608"/>
                            <a:ext cx="4579742" cy="0"/>
                          </a:xfrm>
                          <a:custGeom>
                            <a:avLst/>
                            <a:gdLst/>
                            <a:ahLst/>
                            <a:cxnLst/>
                            <a:rect l="0" t="0" r="0" b="0"/>
                            <a:pathLst>
                              <a:path w="4579742">
                                <a:moveTo>
                                  <a:pt x="4579742" y="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70" name="Shape 21370"/>
                        <wps:cNvSpPr/>
                        <wps:spPr>
                          <a:xfrm>
                            <a:off x="370579" y="1568740"/>
                            <a:ext cx="4579742" cy="0"/>
                          </a:xfrm>
                          <a:custGeom>
                            <a:avLst/>
                            <a:gdLst/>
                            <a:ahLst/>
                            <a:cxnLst/>
                            <a:rect l="0" t="0" r="0" b="0"/>
                            <a:pathLst>
                              <a:path w="4579742">
                                <a:moveTo>
                                  <a:pt x="4579742" y="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71" name="Shape 21371"/>
                        <wps:cNvSpPr/>
                        <wps:spPr>
                          <a:xfrm>
                            <a:off x="370579" y="1197806"/>
                            <a:ext cx="4579742" cy="0"/>
                          </a:xfrm>
                          <a:custGeom>
                            <a:avLst/>
                            <a:gdLst/>
                            <a:ahLst/>
                            <a:cxnLst/>
                            <a:rect l="0" t="0" r="0" b="0"/>
                            <a:pathLst>
                              <a:path w="4579742">
                                <a:moveTo>
                                  <a:pt x="4579742" y="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72" name="Shape 21372"/>
                        <wps:cNvSpPr/>
                        <wps:spPr>
                          <a:xfrm>
                            <a:off x="370579" y="826872"/>
                            <a:ext cx="4579742" cy="0"/>
                          </a:xfrm>
                          <a:custGeom>
                            <a:avLst/>
                            <a:gdLst/>
                            <a:ahLst/>
                            <a:cxnLst/>
                            <a:rect l="0" t="0" r="0" b="0"/>
                            <a:pathLst>
                              <a:path w="4579742">
                                <a:moveTo>
                                  <a:pt x="4579742" y="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73" name="Shape 21373"/>
                        <wps:cNvSpPr/>
                        <wps:spPr>
                          <a:xfrm>
                            <a:off x="370579" y="455939"/>
                            <a:ext cx="4579742" cy="0"/>
                          </a:xfrm>
                          <a:custGeom>
                            <a:avLst/>
                            <a:gdLst/>
                            <a:ahLst/>
                            <a:cxnLst/>
                            <a:rect l="0" t="0" r="0" b="0"/>
                            <a:pathLst>
                              <a:path w="4579742">
                                <a:moveTo>
                                  <a:pt x="4579742" y="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74" name="Shape 21374"/>
                        <wps:cNvSpPr/>
                        <wps:spPr>
                          <a:xfrm>
                            <a:off x="370579" y="85005"/>
                            <a:ext cx="4579742" cy="0"/>
                          </a:xfrm>
                          <a:custGeom>
                            <a:avLst/>
                            <a:gdLst/>
                            <a:ahLst/>
                            <a:cxnLst/>
                            <a:rect l="0" t="0" r="0" b="0"/>
                            <a:pathLst>
                              <a:path w="4579742">
                                <a:moveTo>
                                  <a:pt x="4579742" y="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75" name="Shape 21375"/>
                        <wps:cNvSpPr/>
                        <wps:spPr>
                          <a:xfrm>
                            <a:off x="4571631" y="85005"/>
                            <a:ext cx="0" cy="2967470"/>
                          </a:xfrm>
                          <a:custGeom>
                            <a:avLst/>
                            <a:gdLst/>
                            <a:ahLst/>
                            <a:cxnLst/>
                            <a:rect l="0" t="0" r="0" b="0"/>
                            <a:pathLst>
                              <a:path h="2967470">
                                <a:moveTo>
                                  <a:pt x="0" y="296747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76" name="Shape 21376"/>
                        <wps:cNvSpPr/>
                        <wps:spPr>
                          <a:xfrm>
                            <a:off x="4047463" y="85005"/>
                            <a:ext cx="0" cy="2967470"/>
                          </a:xfrm>
                          <a:custGeom>
                            <a:avLst/>
                            <a:gdLst/>
                            <a:ahLst/>
                            <a:cxnLst/>
                            <a:rect l="0" t="0" r="0" b="0"/>
                            <a:pathLst>
                              <a:path h="2967470">
                                <a:moveTo>
                                  <a:pt x="0" y="296747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77" name="Shape 21377"/>
                        <wps:cNvSpPr/>
                        <wps:spPr>
                          <a:xfrm>
                            <a:off x="3523295" y="85005"/>
                            <a:ext cx="0" cy="2967470"/>
                          </a:xfrm>
                          <a:custGeom>
                            <a:avLst/>
                            <a:gdLst/>
                            <a:ahLst/>
                            <a:cxnLst/>
                            <a:rect l="0" t="0" r="0" b="0"/>
                            <a:pathLst>
                              <a:path h="2967470">
                                <a:moveTo>
                                  <a:pt x="0" y="296747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78" name="Shape 21378"/>
                        <wps:cNvSpPr/>
                        <wps:spPr>
                          <a:xfrm>
                            <a:off x="2999127" y="85005"/>
                            <a:ext cx="0" cy="2967470"/>
                          </a:xfrm>
                          <a:custGeom>
                            <a:avLst/>
                            <a:gdLst/>
                            <a:ahLst/>
                            <a:cxnLst/>
                            <a:rect l="0" t="0" r="0" b="0"/>
                            <a:pathLst>
                              <a:path h="2967470">
                                <a:moveTo>
                                  <a:pt x="0" y="296747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79" name="Shape 21379"/>
                        <wps:cNvSpPr/>
                        <wps:spPr>
                          <a:xfrm>
                            <a:off x="2474960" y="85005"/>
                            <a:ext cx="0" cy="2967470"/>
                          </a:xfrm>
                          <a:custGeom>
                            <a:avLst/>
                            <a:gdLst/>
                            <a:ahLst/>
                            <a:cxnLst/>
                            <a:rect l="0" t="0" r="0" b="0"/>
                            <a:pathLst>
                              <a:path h="2967470">
                                <a:moveTo>
                                  <a:pt x="0" y="296747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80" name="Shape 21380"/>
                        <wps:cNvSpPr/>
                        <wps:spPr>
                          <a:xfrm>
                            <a:off x="1943083" y="85005"/>
                            <a:ext cx="0" cy="2967470"/>
                          </a:xfrm>
                          <a:custGeom>
                            <a:avLst/>
                            <a:gdLst/>
                            <a:ahLst/>
                            <a:cxnLst/>
                            <a:rect l="0" t="0" r="0" b="0"/>
                            <a:pathLst>
                              <a:path h="2967470">
                                <a:moveTo>
                                  <a:pt x="0" y="296747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81" name="Shape 21381"/>
                        <wps:cNvSpPr/>
                        <wps:spPr>
                          <a:xfrm>
                            <a:off x="1418915" y="85005"/>
                            <a:ext cx="0" cy="2967470"/>
                          </a:xfrm>
                          <a:custGeom>
                            <a:avLst/>
                            <a:gdLst/>
                            <a:ahLst/>
                            <a:cxnLst/>
                            <a:rect l="0" t="0" r="0" b="0"/>
                            <a:pathLst>
                              <a:path h="2967470">
                                <a:moveTo>
                                  <a:pt x="0" y="296747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82" name="Shape 21382"/>
                        <wps:cNvSpPr/>
                        <wps:spPr>
                          <a:xfrm>
                            <a:off x="894747" y="85005"/>
                            <a:ext cx="0" cy="2967470"/>
                          </a:xfrm>
                          <a:custGeom>
                            <a:avLst/>
                            <a:gdLst/>
                            <a:ahLst/>
                            <a:cxnLst/>
                            <a:rect l="0" t="0" r="0" b="0"/>
                            <a:pathLst>
                              <a:path h="2967470">
                                <a:moveTo>
                                  <a:pt x="0" y="2967470"/>
                                </a:moveTo>
                                <a:lnTo>
                                  <a:pt x="0"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383" name="Shape 21383"/>
                        <wps:cNvSpPr/>
                        <wps:spPr>
                          <a:xfrm>
                            <a:off x="370579" y="85005"/>
                            <a:ext cx="1" cy="2967470"/>
                          </a:xfrm>
                          <a:custGeom>
                            <a:avLst/>
                            <a:gdLst/>
                            <a:ahLst/>
                            <a:cxnLst/>
                            <a:rect l="0" t="0" r="0" b="0"/>
                            <a:pathLst>
                              <a:path w="1" h="2967470">
                                <a:moveTo>
                                  <a:pt x="0" y="2967470"/>
                                </a:moveTo>
                                <a:lnTo>
                                  <a:pt x="1" y="0"/>
                                </a:lnTo>
                              </a:path>
                            </a:pathLst>
                          </a:custGeom>
                          <a:ln w="7708" cap="flat">
                            <a:round/>
                          </a:ln>
                        </wps:spPr>
                        <wps:style>
                          <a:lnRef idx="1">
                            <a:srgbClr val="BFBFBF"/>
                          </a:lnRef>
                          <a:fillRef idx="0">
                            <a:srgbClr val="000000">
                              <a:alpha val="0"/>
                            </a:srgbClr>
                          </a:fillRef>
                          <a:effectRef idx="0">
                            <a:scrgbClr r="0" g="0" b="0"/>
                          </a:effectRef>
                          <a:fontRef idx="none"/>
                        </wps:style>
                        <wps:bodyPr/>
                      </wps:wsp>
                      <wps:wsp>
                        <wps:cNvPr id="21384" name="Shape 21384"/>
                        <wps:cNvSpPr/>
                        <wps:spPr>
                          <a:xfrm>
                            <a:off x="370579" y="1939675"/>
                            <a:ext cx="4579742" cy="1"/>
                          </a:xfrm>
                          <a:custGeom>
                            <a:avLst/>
                            <a:gdLst/>
                            <a:ahLst/>
                            <a:cxnLst/>
                            <a:rect l="0" t="0" r="0" b="0"/>
                            <a:pathLst>
                              <a:path w="4579742" h="1">
                                <a:moveTo>
                                  <a:pt x="4579742" y="1"/>
                                </a:moveTo>
                                <a:lnTo>
                                  <a:pt x="0" y="0"/>
                                </a:lnTo>
                              </a:path>
                            </a:pathLst>
                          </a:custGeom>
                          <a:ln w="7708" cap="flat">
                            <a:round/>
                          </a:ln>
                        </wps:spPr>
                        <wps:style>
                          <a:lnRef idx="1">
                            <a:srgbClr val="BFBFBF"/>
                          </a:lnRef>
                          <a:fillRef idx="0">
                            <a:srgbClr val="000000">
                              <a:alpha val="0"/>
                            </a:srgbClr>
                          </a:fillRef>
                          <a:effectRef idx="0">
                            <a:scrgbClr r="0" g="0" b="0"/>
                          </a:effectRef>
                          <a:fontRef idx="none"/>
                        </wps:style>
                        <wps:bodyPr/>
                      </wps:wsp>
                      <wps:wsp>
                        <wps:cNvPr id="21386" name="Shape 21386"/>
                        <wps:cNvSpPr/>
                        <wps:spPr>
                          <a:xfrm>
                            <a:off x="628809" y="962109"/>
                            <a:ext cx="4208760" cy="1213262"/>
                          </a:xfrm>
                          <a:custGeom>
                            <a:avLst/>
                            <a:gdLst/>
                            <a:ahLst/>
                            <a:cxnLst/>
                            <a:rect l="0" t="0" r="0" b="0"/>
                            <a:pathLst>
                              <a:path w="4208760" h="1213262">
                                <a:moveTo>
                                  <a:pt x="0" y="1066435"/>
                                </a:moveTo>
                                <a:lnTo>
                                  <a:pt x="531876" y="1112801"/>
                                </a:lnTo>
                                <a:lnTo>
                                  <a:pt x="1056044" y="1166896"/>
                                </a:lnTo>
                                <a:lnTo>
                                  <a:pt x="1580212" y="1205535"/>
                                </a:lnTo>
                                <a:lnTo>
                                  <a:pt x="2104380" y="1213262"/>
                                </a:lnTo>
                                <a:lnTo>
                                  <a:pt x="2628548" y="1135985"/>
                                </a:lnTo>
                                <a:lnTo>
                                  <a:pt x="3160424" y="1012340"/>
                                </a:lnTo>
                                <a:lnTo>
                                  <a:pt x="3684592" y="749595"/>
                                </a:lnTo>
                                <a:lnTo>
                                  <a:pt x="4208760" y="0"/>
                                </a:lnTo>
                              </a:path>
                            </a:pathLst>
                          </a:custGeom>
                          <a:ln w="15417" cap="rnd">
                            <a:round/>
                          </a:ln>
                        </wps:spPr>
                        <wps:style>
                          <a:lnRef idx="1">
                            <a:srgbClr val="5E5E5E"/>
                          </a:lnRef>
                          <a:fillRef idx="0">
                            <a:srgbClr val="000000">
                              <a:alpha val="0"/>
                            </a:srgbClr>
                          </a:fillRef>
                          <a:effectRef idx="0">
                            <a:scrgbClr r="0" g="0" b="0"/>
                          </a:effectRef>
                          <a:fontRef idx="none"/>
                        </wps:style>
                        <wps:bodyPr/>
                      </wps:wsp>
                      <wps:wsp>
                        <wps:cNvPr id="21388" name="Shape 21388"/>
                        <wps:cNvSpPr/>
                        <wps:spPr>
                          <a:xfrm>
                            <a:off x="628809" y="1441232"/>
                            <a:ext cx="4208760" cy="788234"/>
                          </a:xfrm>
                          <a:custGeom>
                            <a:avLst/>
                            <a:gdLst/>
                            <a:ahLst/>
                            <a:cxnLst/>
                            <a:rect l="0" t="0" r="0" b="0"/>
                            <a:pathLst>
                              <a:path w="4208760" h="788234">
                                <a:moveTo>
                                  <a:pt x="0" y="602767"/>
                                </a:moveTo>
                                <a:lnTo>
                                  <a:pt x="531876" y="656862"/>
                                </a:lnTo>
                                <a:lnTo>
                                  <a:pt x="1056044" y="718684"/>
                                </a:lnTo>
                                <a:lnTo>
                                  <a:pt x="1580212" y="765051"/>
                                </a:lnTo>
                                <a:lnTo>
                                  <a:pt x="2104380" y="788234"/>
                                </a:lnTo>
                                <a:lnTo>
                                  <a:pt x="2628548" y="741868"/>
                                </a:lnTo>
                                <a:lnTo>
                                  <a:pt x="3160424" y="656862"/>
                                </a:lnTo>
                                <a:lnTo>
                                  <a:pt x="3684592" y="479123"/>
                                </a:lnTo>
                                <a:lnTo>
                                  <a:pt x="4208760" y="0"/>
                                </a:lnTo>
                              </a:path>
                            </a:pathLst>
                          </a:custGeom>
                          <a:ln w="15417" cap="rnd">
                            <a:round/>
                          </a:ln>
                        </wps:spPr>
                        <wps:style>
                          <a:lnRef idx="1">
                            <a:srgbClr val="B3B3B3"/>
                          </a:lnRef>
                          <a:fillRef idx="0">
                            <a:srgbClr val="000000">
                              <a:alpha val="0"/>
                            </a:srgbClr>
                          </a:fillRef>
                          <a:effectRef idx="0">
                            <a:scrgbClr r="0" g="0" b="0"/>
                          </a:effectRef>
                          <a:fontRef idx="none"/>
                        </wps:style>
                        <wps:bodyPr/>
                      </wps:wsp>
                      <wps:wsp>
                        <wps:cNvPr id="21390" name="Shape 21390"/>
                        <wps:cNvSpPr/>
                        <wps:spPr>
                          <a:xfrm>
                            <a:off x="628809" y="506170"/>
                            <a:ext cx="4208760" cy="1777391"/>
                          </a:xfrm>
                          <a:custGeom>
                            <a:avLst/>
                            <a:gdLst/>
                            <a:ahLst/>
                            <a:cxnLst/>
                            <a:rect l="0" t="0" r="0" b="0"/>
                            <a:pathLst>
                              <a:path w="4208760" h="1777391">
                                <a:moveTo>
                                  <a:pt x="0" y="1437369"/>
                                </a:moveTo>
                                <a:lnTo>
                                  <a:pt x="531876" y="1615108"/>
                                </a:lnTo>
                                <a:lnTo>
                                  <a:pt x="1056044" y="1676930"/>
                                </a:lnTo>
                                <a:lnTo>
                                  <a:pt x="1580212" y="1738752"/>
                                </a:lnTo>
                                <a:lnTo>
                                  <a:pt x="2104380" y="1777391"/>
                                </a:lnTo>
                                <a:lnTo>
                                  <a:pt x="2628548" y="1761936"/>
                                </a:lnTo>
                                <a:lnTo>
                                  <a:pt x="3160424" y="1707841"/>
                                </a:lnTo>
                                <a:lnTo>
                                  <a:pt x="3684592" y="1576469"/>
                                </a:lnTo>
                                <a:lnTo>
                                  <a:pt x="4208760" y="0"/>
                                </a:lnTo>
                              </a:path>
                            </a:pathLst>
                          </a:custGeom>
                          <a:ln w="15417" cap="rnd">
                            <a:round/>
                          </a:ln>
                        </wps:spPr>
                        <wps:style>
                          <a:lnRef idx="1">
                            <a:srgbClr val="898989"/>
                          </a:lnRef>
                          <a:fillRef idx="0">
                            <a:srgbClr val="000000">
                              <a:alpha val="0"/>
                            </a:srgbClr>
                          </a:fillRef>
                          <a:effectRef idx="0">
                            <a:scrgbClr r="0" g="0" b="0"/>
                          </a:effectRef>
                          <a:fontRef idx="none"/>
                        </wps:style>
                        <wps:bodyPr/>
                      </wps:wsp>
                      <wps:wsp>
                        <wps:cNvPr id="21392" name="Shape 21392"/>
                        <wps:cNvSpPr/>
                        <wps:spPr>
                          <a:xfrm>
                            <a:off x="628809" y="660725"/>
                            <a:ext cx="4208760" cy="2171508"/>
                          </a:xfrm>
                          <a:custGeom>
                            <a:avLst/>
                            <a:gdLst/>
                            <a:ahLst/>
                            <a:cxnLst/>
                            <a:rect l="0" t="0" r="0" b="0"/>
                            <a:pathLst>
                              <a:path w="4208760" h="2171508">
                                <a:moveTo>
                                  <a:pt x="0" y="1414185"/>
                                </a:moveTo>
                                <a:lnTo>
                                  <a:pt x="531876" y="1483735"/>
                                </a:lnTo>
                                <a:lnTo>
                                  <a:pt x="1056044" y="1553285"/>
                                </a:lnTo>
                                <a:lnTo>
                                  <a:pt x="1580212" y="1622835"/>
                                </a:lnTo>
                                <a:lnTo>
                                  <a:pt x="2104380" y="1676930"/>
                                </a:lnTo>
                                <a:lnTo>
                                  <a:pt x="2628548" y="1676930"/>
                                </a:lnTo>
                                <a:lnTo>
                                  <a:pt x="3160424" y="1646019"/>
                                </a:lnTo>
                                <a:lnTo>
                                  <a:pt x="3684592" y="2171508"/>
                                </a:lnTo>
                                <a:lnTo>
                                  <a:pt x="4208760" y="0"/>
                                </a:lnTo>
                              </a:path>
                            </a:pathLst>
                          </a:custGeom>
                          <a:ln w="15417" cap="rnd">
                            <a:round/>
                          </a:ln>
                        </wps:spPr>
                        <wps:style>
                          <a:lnRef idx="1">
                            <a:srgbClr val="212121"/>
                          </a:lnRef>
                          <a:fillRef idx="0">
                            <a:srgbClr val="000000">
                              <a:alpha val="0"/>
                            </a:srgbClr>
                          </a:fillRef>
                          <a:effectRef idx="0">
                            <a:scrgbClr r="0" g="0" b="0"/>
                          </a:effectRef>
                          <a:fontRef idx="none"/>
                        </wps:style>
                        <wps:bodyPr/>
                      </wps:wsp>
                      <wps:wsp>
                        <wps:cNvPr id="21394" name="Shape 21394"/>
                        <wps:cNvSpPr/>
                        <wps:spPr>
                          <a:xfrm>
                            <a:off x="628809" y="784370"/>
                            <a:ext cx="4208760" cy="2117414"/>
                          </a:xfrm>
                          <a:custGeom>
                            <a:avLst/>
                            <a:gdLst/>
                            <a:ahLst/>
                            <a:cxnLst/>
                            <a:rect l="0" t="0" r="0" b="0"/>
                            <a:pathLst>
                              <a:path w="4208760" h="2117414">
                                <a:moveTo>
                                  <a:pt x="0" y="1159168"/>
                                </a:moveTo>
                                <a:lnTo>
                                  <a:pt x="531876" y="1375546"/>
                                </a:lnTo>
                                <a:lnTo>
                                  <a:pt x="1056044" y="1452824"/>
                                </a:lnTo>
                                <a:lnTo>
                                  <a:pt x="1580212" y="1530102"/>
                                </a:lnTo>
                                <a:lnTo>
                                  <a:pt x="2104380" y="1591924"/>
                                </a:lnTo>
                                <a:lnTo>
                                  <a:pt x="2628548" y="1615107"/>
                                </a:lnTo>
                                <a:lnTo>
                                  <a:pt x="3160424" y="1599652"/>
                                </a:lnTo>
                                <a:lnTo>
                                  <a:pt x="3684592" y="2117414"/>
                                </a:lnTo>
                                <a:lnTo>
                                  <a:pt x="4208760" y="0"/>
                                </a:lnTo>
                              </a:path>
                            </a:pathLst>
                          </a:custGeom>
                          <a:ln w="15417" cap="rnd">
                            <a:round/>
                          </a:ln>
                        </wps:spPr>
                        <wps:style>
                          <a:lnRef idx="1">
                            <a:srgbClr val="DADADA"/>
                          </a:lnRef>
                          <a:fillRef idx="0">
                            <a:srgbClr val="000000">
                              <a:alpha val="0"/>
                            </a:srgbClr>
                          </a:fillRef>
                          <a:effectRef idx="0">
                            <a:scrgbClr r="0" g="0" b="0"/>
                          </a:effectRef>
                          <a:fontRef idx="none"/>
                        </wps:style>
                        <wps:bodyPr/>
                      </wps:wsp>
                      <wps:wsp>
                        <wps:cNvPr id="21396" name="Rectangle 21396"/>
                        <wps:cNvSpPr/>
                        <wps:spPr>
                          <a:xfrm>
                            <a:off x="114453" y="3010235"/>
                            <a:ext cx="30726" cy="102438"/>
                          </a:xfrm>
                          <a:prstGeom prst="rect">
                            <a:avLst/>
                          </a:prstGeom>
                          <a:ln>
                            <a:noFill/>
                          </a:ln>
                        </wps:spPr>
                        <wps:txbx>
                          <w:txbxContent>
                            <w:p w:rsidR="00EE13F6" w:rsidRDefault="002E5BC4">
                              <w:r>
                                <w:rPr>
                                  <w:rFonts w:ascii="Times New Roman" w:eastAsia="Times New Roman" w:hAnsi="Times New Roman" w:cs="Times New Roman"/>
                                  <w:color w:val="585858"/>
                                  <w:sz w:val="11"/>
                                </w:rPr>
                                <w:t>-</w:t>
                              </w:r>
                            </w:p>
                          </w:txbxContent>
                        </wps:txbx>
                        <wps:bodyPr horzOverflow="overflow" vert="horz" lIns="0" tIns="0" rIns="0" bIns="0" rtlCol="0">
                          <a:noAutofit/>
                        </wps:bodyPr>
                      </wps:wsp>
                      <wps:wsp>
                        <wps:cNvPr id="21397" name="Rectangle 21397"/>
                        <wps:cNvSpPr/>
                        <wps:spPr>
                          <a:xfrm>
                            <a:off x="137578" y="3010235"/>
                            <a:ext cx="46135" cy="102438"/>
                          </a:xfrm>
                          <a:prstGeom prst="rect">
                            <a:avLst/>
                          </a:prstGeom>
                          <a:ln>
                            <a:noFill/>
                          </a:ln>
                        </wps:spPr>
                        <wps:txbx>
                          <w:txbxContent>
                            <w:p w:rsidR="00EE13F6" w:rsidRDefault="002E5BC4">
                              <w:r>
                                <w:rPr>
                                  <w:rFonts w:ascii="Times New Roman" w:eastAsia="Times New Roman" w:hAnsi="Times New Roman" w:cs="Times New Roman"/>
                                  <w:color w:val="585858"/>
                                  <w:sz w:val="11"/>
                                </w:rPr>
                                <w:t>1</w:t>
                              </w:r>
                            </w:p>
                          </w:txbxContent>
                        </wps:txbx>
                        <wps:bodyPr horzOverflow="overflow" vert="horz" lIns="0" tIns="0" rIns="0" bIns="0" rtlCol="0">
                          <a:noAutofit/>
                        </wps:bodyPr>
                      </wps:wsp>
                      <wps:wsp>
                        <wps:cNvPr id="21398" name="Rectangle 21398"/>
                        <wps:cNvSpPr/>
                        <wps:spPr>
                          <a:xfrm>
                            <a:off x="176120" y="3010235"/>
                            <a:ext cx="46135" cy="102438"/>
                          </a:xfrm>
                          <a:prstGeom prst="rect">
                            <a:avLst/>
                          </a:prstGeom>
                          <a:ln>
                            <a:noFill/>
                          </a:ln>
                        </wps:spPr>
                        <wps:txbx>
                          <w:txbxContent>
                            <w:p w:rsidR="00EE13F6" w:rsidRDefault="002E5BC4">
                              <w:r>
                                <w:rPr>
                                  <w:rFonts w:ascii="Times New Roman" w:eastAsia="Times New Roman" w:hAnsi="Times New Roman" w:cs="Times New Roman"/>
                                  <w:color w:val="585858"/>
                                  <w:sz w:val="11"/>
                                </w:rPr>
                                <w:t>5</w:t>
                              </w:r>
                            </w:p>
                          </w:txbxContent>
                        </wps:txbx>
                        <wps:bodyPr horzOverflow="overflow" vert="horz" lIns="0" tIns="0" rIns="0" bIns="0" rtlCol="0">
                          <a:noAutofit/>
                        </wps:bodyPr>
                      </wps:wsp>
                      <wps:wsp>
                        <wps:cNvPr id="21399" name="Rectangle 21399"/>
                        <wps:cNvSpPr/>
                        <wps:spPr>
                          <a:xfrm>
                            <a:off x="214662" y="3010235"/>
                            <a:ext cx="23067" cy="102438"/>
                          </a:xfrm>
                          <a:prstGeom prst="rect">
                            <a:avLst/>
                          </a:prstGeom>
                          <a:ln>
                            <a:noFill/>
                          </a:ln>
                        </wps:spPr>
                        <wps:txbx>
                          <w:txbxContent>
                            <w:p w:rsidR="00EE13F6" w:rsidRDefault="002E5BC4">
                              <w:r>
                                <w:rPr>
                                  <w:rFonts w:ascii="Times New Roman" w:eastAsia="Times New Roman" w:hAnsi="Times New Roman" w:cs="Times New Roman"/>
                                  <w:color w:val="585858"/>
                                  <w:sz w:val="11"/>
                                </w:rPr>
                                <w:t>,</w:t>
                              </w:r>
                            </w:p>
                          </w:txbxContent>
                        </wps:txbx>
                        <wps:bodyPr horzOverflow="overflow" vert="horz" lIns="0" tIns="0" rIns="0" bIns="0" rtlCol="0">
                          <a:noAutofit/>
                        </wps:bodyPr>
                      </wps:wsp>
                      <wps:wsp>
                        <wps:cNvPr id="21400" name="Rectangle 21400"/>
                        <wps:cNvSpPr/>
                        <wps:spPr>
                          <a:xfrm>
                            <a:off x="230078" y="3010235"/>
                            <a:ext cx="46135" cy="102438"/>
                          </a:xfrm>
                          <a:prstGeom prst="rect">
                            <a:avLst/>
                          </a:prstGeom>
                          <a:ln>
                            <a:noFill/>
                          </a:ln>
                        </wps:spPr>
                        <wps:txbx>
                          <w:txbxContent>
                            <w:p w:rsidR="00EE13F6" w:rsidRDefault="002E5BC4">
                              <w:r>
                                <w:rPr>
                                  <w:rFonts w:ascii="Times New Roman" w:eastAsia="Times New Roman" w:hAnsi="Times New Roman" w:cs="Times New Roman"/>
                                  <w:color w:val="585858"/>
                                  <w:sz w:val="11"/>
                                </w:rPr>
                                <w:t>0</w:t>
                              </w:r>
                            </w:p>
                          </w:txbxContent>
                        </wps:txbx>
                        <wps:bodyPr horzOverflow="overflow" vert="horz" lIns="0" tIns="0" rIns="0" bIns="0" rtlCol="0">
                          <a:noAutofit/>
                        </wps:bodyPr>
                      </wps:wsp>
                      <wps:wsp>
                        <wps:cNvPr id="21401" name="Rectangle 21401"/>
                        <wps:cNvSpPr/>
                        <wps:spPr>
                          <a:xfrm>
                            <a:off x="268620" y="3010235"/>
                            <a:ext cx="46135" cy="102438"/>
                          </a:xfrm>
                          <a:prstGeom prst="rect">
                            <a:avLst/>
                          </a:prstGeom>
                          <a:ln>
                            <a:noFill/>
                          </a:ln>
                        </wps:spPr>
                        <wps:txbx>
                          <w:txbxContent>
                            <w:p w:rsidR="00EE13F6" w:rsidRDefault="002E5BC4">
                              <w:r>
                                <w:rPr>
                                  <w:rFonts w:ascii="Times New Roman" w:eastAsia="Times New Roman" w:hAnsi="Times New Roman" w:cs="Times New Roman"/>
                                  <w:color w:val="585858"/>
                                  <w:sz w:val="11"/>
                                </w:rPr>
                                <w:t>0</w:t>
                              </w:r>
                            </w:p>
                          </w:txbxContent>
                        </wps:txbx>
                        <wps:bodyPr horzOverflow="overflow" vert="horz" lIns="0" tIns="0" rIns="0" bIns="0" rtlCol="0">
                          <a:noAutofit/>
                        </wps:bodyPr>
                      </wps:wsp>
                      <wps:wsp>
                        <wps:cNvPr id="21402" name="Rectangle 21402"/>
                        <wps:cNvSpPr/>
                        <wps:spPr>
                          <a:xfrm>
                            <a:off x="114453" y="2640178"/>
                            <a:ext cx="28234"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925" name="Rectangle 204925"/>
                        <wps:cNvSpPr/>
                        <wps:spPr>
                          <a:xfrm>
                            <a:off x="230110" y="2640178"/>
                            <a:ext cx="98045" cy="112917"/>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204924" name="Rectangle 204924"/>
                        <wps:cNvSpPr/>
                        <wps:spPr>
                          <a:xfrm>
                            <a:off x="137578" y="2640178"/>
                            <a:ext cx="98045" cy="112917"/>
                          </a:xfrm>
                          <a:prstGeom prst="rect">
                            <a:avLst/>
                          </a:prstGeom>
                          <a:ln>
                            <a:noFill/>
                          </a:ln>
                        </wps:spPr>
                        <wps:txbx>
                          <w:txbxContent>
                            <w:p w:rsidR="00EE13F6" w:rsidRDefault="002E5BC4">
                              <w:r>
                                <w:rPr>
                                  <w:color w:val="585858"/>
                                  <w:sz w:val="11"/>
                                </w:rPr>
                                <w:t>10</w:t>
                              </w:r>
                            </w:p>
                          </w:txbxContent>
                        </wps:txbx>
                        <wps:bodyPr horzOverflow="overflow" vert="horz" lIns="0" tIns="0" rIns="0" bIns="0" rtlCol="0">
                          <a:noAutofit/>
                        </wps:bodyPr>
                      </wps:wsp>
                      <wps:wsp>
                        <wps:cNvPr id="204926" name="Rectangle 204926"/>
                        <wps:cNvSpPr/>
                        <wps:spPr>
                          <a:xfrm>
                            <a:off x="214668" y="2640178"/>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1404" name="Rectangle 21404"/>
                        <wps:cNvSpPr/>
                        <wps:spPr>
                          <a:xfrm>
                            <a:off x="154922" y="2268102"/>
                            <a:ext cx="30726" cy="102438"/>
                          </a:xfrm>
                          <a:prstGeom prst="rect">
                            <a:avLst/>
                          </a:prstGeom>
                          <a:ln>
                            <a:noFill/>
                          </a:ln>
                        </wps:spPr>
                        <wps:txbx>
                          <w:txbxContent>
                            <w:p w:rsidR="00EE13F6" w:rsidRDefault="002E5BC4">
                              <w:r>
                                <w:rPr>
                                  <w:rFonts w:ascii="Times New Roman" w:eastAsia="Times New Roman" w:hAnsi="Times New Roman" w:cs="Times New Roman"/>
                                  <w:color w:val="585858"/>
                                  <w:sz w:val="11"/>
                                </w:rPr>
                                <w:t>-</w:t>
                              </w:r>
                            </w:p>
                          </w:txbxContent>
                        </wps:txbx>
                        <wps:bodyPr horzOverflow="overflow" vert="horz" lIns="0" tIns="0" rIns="0" bIns="0" rtlCol="0">
                          <a:noAutofit/>
                        </wps:bodyPr>
                      </wps:wsp>
                      <wps:wsp>
                        <wps:cNvPr id="21405" name="Rectangle 21405"/>
                        <wps:cNvSpPr/>
                        <wps:spPr>
                          <a:xfrm>
                            <a:off x="178047" y="2268102"/>
                            <a:ext cx="46135" cy="102438"/>
                          </a:xfrm>
                          <a:prstGeom prst="rect">
                            <a:avLst/>
                          </a:prstGeom>
                          <a:ln>
                            <a:noFill/>
                          </a:ln>
                        </wps:spPr>
                        <wps:txbx>
                          <w:txbxContent>
                            <w:p w:rsidR="00EE13F6" w:rsidRDefault="002E5BC4">
                              <w:r>
                                <w:rPr>
                                  <w:rFonts w:ascii="Times New Roman" w:eastAsia="Times New Roman" w:hAnsi="Times New Roman" w:cs="Times New Roman"/>
                                  <w:color w:val="585858"/>
                                  <w:sz w:val="11"/>
                                </w:rPr>
                                <w:t>5</w:t>
                              </w:r>
                            </w:p>
                          </w:txbxContent>
                        </wps:txbx>
                        <wps:bodyPr horzOverflow="overflow" vert="horz" lIns="0" tIns="0" rIns="0" bIns="0" rtlCol="0">
                          <a:noAutofit/>
                        </wps:bodyPr>
                      </wps:wsp>
                      <wps:wsp>
                        <wps:cNvPr id="21406" name="Rectangle 21406"/>
                        <wps:cNvSpPr/>
                        <wps:spPr>
                          <a:xfrm>
                            <a:off x="216589" y="2268102"/>
                            <a:ext cx="23067" cy="102438"/>
                          </a:xfrm>
                          <a:prstGeom prst="rect">
                            <a:avLst/>
                          </a:prstGeom>
                          <a:ln>
                            <a:noFill/>
                          </a:ln>
                        </wps:spPr>
                        <wps:txbx>
                          <w:txbxContent>
                            <w:p w:rsidR="00EE13F6" w:rsidRDefault="002E5BC4">
                              <w:r>
                                <w:rPr>
                                  <w:rFonts w:ascii="Times New Roman" w:eastAsia="Times New Roman" w:hAnsi="Times New Roman" w:cs="Times New Roman"/>
                                  <w:color w:val="585858"/>
                                  <w:sz w:val="11"/>
                                </w:rPr>
                                <w:t>,</w:t>
                              </w:r>
                            </w:p>
                          </w:txbxContent>
                        </wps:txbx>
                        <wps:bodyPr horzOverflow="overflow" vert="horz" lIns="0" tIns="0" rIns="0" bIns="0" rtlCol="0">
                          <a:noAutofit/>
                        </wps:bodyPr>
                      </wps:wsp>
                      <wps:wsp>
                        <wps:cNvPr id="21407" name="Rectangle 21407"/>
                        <wps:cNvSpPr/>
                        <wps:spPr>
                          <a:xfrm>
                            <a:off x="232005" y="2268102"/>
                            <a:ext cx="46135" cy="102438"/>
                          </a:xfrm>
                          <a:prstGeom prst="rect">
                            <a:avLst/>
                          </a:prstGeom>
                          <a:ln>
                            <a:noFill/>
                          </a:ln>
                        </wps:spPr>
                        <wps:txbx>
                          <w:txbxContent>
                            <w:p w:rsidR="00EE13F6" w:rsidRDefault="002E5BC4">
                              <w:r>
                                <w:rPr>
                                  <w:rFonts w:ascii="Times New Roman" w:eastAsia="Times New Roman" w:hAnsi="Times New Roman" w:cs="Times New Roman"/>
                                  <w:color w:val="585858"/>
                                  <w:sz w:val="11"/>
                                </w:rPr>
                                <w:t>0</w:t>
                              </w:r>
                            </w:p>
                          </w:txbxContent>
                        </wps:txbx>
                        <wps:bodyPr horzOverflow="overflow" vert="horz" lIns="0" tIns="0" rIns="0" bIns="0" rtlCol="0">
                          <a:noAutofit/>
                        </wps:bodyPr>
                      </wps:wsp>
                      <wps:wsp>
                        <wps:cNvPr id="21408" name="Rectangle 21408"/>
                        <wps:cNvSpPr/>
                        <wps:spPr>
                          <a:xfrm>
                            <a:off x="270547" y="2268102"/>
                            <a:ext cx="46135" cy="102438"/>
                          </a:xfrm>
                          <a:prstGeom prst="rect">
                            <a:avLst/>
                          </a:prstGeom>
                          <a:ln>
                            <a:noFill/>
                          </a:ln>
                        </wps:spPr>
                        <wps:txbx>
                          <w:txbxContent>
                            <w:p w:rsidR="00EE13F6" w:rsidRDefault="002E5BC4">
                              <w:r>
                                <w:rPr>
                                  <w:rFonts w:ascii="Times New Roman" w:eastAsia="Times New Roman" w:hAnsi="Times New Roman" w:cs="Times New Roman"/>
                                  <w:color w:val="585858"/>
                                  <w:sz w:val="11"/>
                                </w:rPr>
                                <w:t>0</w:t>
                              </w:r>
                            </w:p>
                          </w:txbxContent>
                        </wps:txbx>
                        <wps:bodyPr horzOverflow="overflow" vert="horz" lIns="0" tIns="0" rIns="0" bIns="0" rtlCol="0">
                          <a:noAutofit/>
                        </wps:bodyPr>
                      </wps:wsp>
                      <wps:wsp>
                        <wps:cNvPr id="204895" name="Rectangle 204895"/>
                        <wps:cNvSpPr/>
                        <wps:spPr>
                          <a:xfrm>
                            <a:off x="173499" y="1898045"/>
                            <a:ext cx="46780" cy="112917"/>
                          </a:xfrm>
                          <a:prstGeom prst="rect">
                            <a:avLst/>
                          </a:prstGeom>
                          <a:ln>
                            <a:noFill/>
                          </a:ln>
                        </wps:spPr>
                        <wps:txbx>
                          <w:txbxContent>
                            <w:p w:rsidR="00EE13F6" w:rsidRDefault="002E5BC4">
                              <w:r>
                                <w:rPr>
                                  <w:color w:val="585858"/>
                                  <w:sz w:val="11"/>
                                </w:rPr>
                                <w:t>0</w:t>
                              </w:r>
                            </w:p>
                          </w:txbxContent>
                        </wps:txbx>
                        <wps:bodyPr horzOverflow="overflow" vert="horz" lIns="0" tIns="0" rIns="0" bIns="0" rtlCol="0">
                          <a:noAutofit/>
                        </wps:bodyPr>
                      </wps:wsp>
                      <wps:wsp>
                        <wps:cNvPr id="204897" name="Rectangle 204897"/>
                        <wps:cNvSpPr/>
                        <wps:spPr>
                          <a:xfrm>
                            <a:off x="212044" y="1898045"/>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896" name="Rectangle 204896"/>
                        <wps:cNvSpPr/>
                        <wps:spPr>
                          <a:xfrm>
                            <a:off x="227487" y="1898045"/>
                            <a:ext cx="98045" cy="112917"/>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204894" name="Rectangle 204894"/>
                        <wps:cNvSpPr/>
                        <wps:spPr>
                          <a:xfrm>
                            <a:off x="212044" y="1526979"/>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892" name="Rectangle 204892"/>
                        <wps:cNvSpPr/>
                        <wps:spPr>
                          <a:xfrm>
                            <a:off x="173499" y="1526979"/>
                            <a:ext cx="46780" cy="112917"/>
                          </a:xfrm>
                          <a:prstGeom prst="rect">
                            <a:avLst/>
                          </a:prstGeom>
                          <a:ln>
                            <a:noFill/>
                          </a:ln>
                        </wps:spPr>
                        <wps:txbx>
                          <w:txbxContent>
                            <w:p w:rsidR="00EE13F6" w:rsidRDefault="002E5BC4">
                              <w:r>
                                <w:rPr>
                                  <w:color w:val="585858"/>
                                  <w:sz w:val="11"/>
                                </w:rPr>
                                <w:t>5</w:t>
                              </w:r>
                            </w:p>
                          </w:txbxContent>
                        </wps:txbx>
                        <wps:bodyPr horzOverflow="overflow" vert="horz" lIns="0" tIns="0" rIns="0" bIns="0" rtlCol="0">
                          <a:noAutofit/>
                        </wps:bodyPr>
                      </wps:wsp>
                      <wps:wsp>
                        <wps:cNvPr id="204893" name="Rectangle 204893"/>
                        <wps:cNvSpPr/>
                        <wps:spPr>
                          <a:xfrm>
                            <a:off x="227487" y="1526979"/>
                            <a:ext cx="98045" cy="112917"/>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204890" name="Rectangle 204890"/>
                        <wps:cNvSpPr/>
                        <wps:spPr>
                          <a:xfrm>
                            <a:off x="233040" y="1155913"/>
                            <a:ext cx="98045" cy="112917"/>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204891" name="Rectangle 204891"/>
                        <wps:cNvSpPr/>
                        <wps:spPr>
                          <a:xfrm>
                            <a:off x="217597" y="1155913"/>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889" name="Rectangle 204889"/>
                        <wps:cNvSpPr/>
                        <wps:spPr>
                          <a:xfrm>
                            <a:off x="140507" y="1155913"/>
                            <a:ext cx="98045" cy="112917"/>
                          </a:xfrm>
                          <a:prstGeom prst="rect">
                            <a:avLst/>
                          </a:prstGeom>
                          <a:ln>
                            <a:noFill/>
                          </a:ln>
                        </wps:spPr>
                        <wps:txbx>
                          <w:txbxContent>
                            <w:p w:rsidR="00EE13F6" w:rsidRDefault="002E5BC4">
                              <w:r>
                                <w:rPr>
                                  <w:color w:val="585858"/>
                                  <w:sz w:val="11"/>
                                </w:rPr>
                                <w:t>10</w:t>
                              </w:r>
                            </w:p>
                          </w:txbxContent>
                        </wps:txbx>
                        <wps:bodyPr horzOverflow="overflow" vert="horz" lIns="0" tIns="0" rIns="0" bIns="0" rtlCol="0">
                          <a:noAutofit/>
                        </wps:bodyPr>
                      </wps:wsp>
                      <wps:wsp>
                        <wps:cNvPr id="204887" name="Rectangle 204887"/>
                        <wps:cNvSpPr/>
                        <wps:spPr>
                          <a:xfrm>
                            <a:off x="233040" y="784847"/>
                            <a:ext cx="98045" cy="112917"/>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204888" name="Rectangle 204888"/>
                        <wps:cNvSpPr/>
                        <wps:spPr>
                          <a:xfrm>
                            <a:off x="217597" y="784847"/>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886" name="Rectangle 204886"/>
                        <wps:cNvSpPr/>
                        <wps:spPr>
                          <a:xfrm>
                            <a:off x="140507" y="784847"/>
                            <a:ext cx="98045" cy="112917"/>
                          </a:xfrm>
                          <a:prstGeom prst="rect">
                            <a:avLst/>
                          </a:prstGeom>
                          <a:ln>
                            <a:noFill/>
                          </a:ln>
                        </wps:spPr>
                        <wps:txbx>
                          <w:txbxContent>
                            <w:p w:rsidR="00EE13F6" w:rsidRDefault="002E5BC4">
                              <w:r>
                                <w:rPr>
                                  <w:color w:val="585858"/>
                                  <w:sz w:val="11"/>
                                </w:rPr>
                                <w:t>15</w:t>
                              </w:r>
                            </w:p>
                          </w:txbxContent>
                        </wps:txbx>
                        <wps:bodyPr horzOverflow="overflow" vert="horz" lIns="0" tIns="0" rIns="0" bIns="0" rtlCol="0">
                          <a:noAutofit/>
                        </wps:bodyPr>
                      </wps:wsp>
                      <wps:wsp>
                        <wps:cNvPr id="204885" name="Rectangle 204885"/>
                        <wps:cNvSpPr/>
                        <wps:spPr>
                          <a:xfrm>
                            <a:off x="217597" y="413781"/>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883" name="Rectangle 204883"/>
                        <wps:cNvSpPr/>
                        <wps:spPr>
                          <a:xfrm>
                            <a:off x="140507" y="413781"/>
                            <a:ext cx="98045" cy="112917"/>
                          </a:xfrm>
                          <a:prstGeom prst="rect">
                            <a:avLst/>
                          </a:prstGeom>
                          <a:ln>
                            <a:noFill/>
                          </a:ln>
                        </wps:spPr>
                        <wps:txbx>
                          <w:txbxContent>
                            <w:p w:rsidR="00EE13F6" w:rsidRDefault="002E5BC4">
                              <w:r>
                                <w:rPr>
                                  <w:color w:val="585858"/>
                                  <w:sz w:val="11"/>
                                </w:rPr>
                                <w:t>20</w:t>
                              </w:r>
                            </w:p>
                          </w:txbxContent>
                        </wps:txbx>
                        <wps:bodyPr horzOverflow="overflow" vert="horz" lIns="0" tIns="0" rIns="0" bIns="0" rtlCol="0">
                          <a:noAutofit/>
                        </wps:bodyPr>
                      </wps:wsp>
                      <wps:wsp>
                        <wps:cNvPr id="204884" name="Rectangle 204884"/>
                        <wps:cNvSpPr/>
                        <wps:spPr>
                          <a:xfrm>
                            <a:off x="233040" y="413781"/>
                            <a:ext cx="98045" cy="112917"/>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204878" name="Rectangle 204878"/>
                        <wps:cNvSpPr/>
                        <wps:spPr>
                          <a:xfrm>
                            <a:off x="140507" y="42715"/>
                            <a:ext cx="98045" cy="112917"/>
                          </a:xfrm>
                          <a:prstGeom prst="rect">
                            <a:avLst/>
                          </a:prstGeom>
                          <a:ln>
                            <a:noFill/>
                          </a:ln>
                        </wps:spPr>
                        <wps:txbx>
                          <w:txbxContent>
                            <w:p w:rsidR="00EE13F6" w:rsidRDefault="002E5BC4">
                              <w:r>
                                <w:rPr>
                                  <w:color w:val="585858"/>
                                  <w:sz w:val="11"/>
                                </w:rPr>
                                <w:t>25</w:t>
                              </w:r>
                            </w:p>
                          </w:txbxContent>
                        </wps:txbx>
                        <wps:bodyPr horzOverflow="overflow" vert="horz" lIns="0" tIns="0" rIns="0" bIns="0" rtlCol="0">
                          <a:noAutofit/>
                        </wps:bodyPr>
                      </wps:wsp>
                      <wps:wsp>
                        <wps:cNvPr id="204881" name="Rectangle 204881"/>
                        <wps:cNvSpPr/>
                        <wps:spPr>
                          <a:xfrm>
                            <a:off x="217597" y="42715"/>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879" name="Rectangle 204879"/>
                        <wps:cNvSpPr/>
                        <wps:spPr>
                          <a:xfrm>
                            <a:off x="233040" y="42715"/>
                            <a:ext cx="98045" cy="112917"/>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204899" name="Rectangle 204899"/>
                        <wps:cNvSpPr/>
                        <wps:spPr>
                          <a:xfrm>
                            <a:off x="615289" y="1984642"/>
                            <a:ext cx="98045" cy="112917"/>
                          </a:xfrm>
                          <a:prstGeom prst="rect">
                            <a:avLst/>
                          </a:prstGeom>
                          <a:ln>
                            <a:noFill/>
                          </a:ln>
                        </wps:spPr>
                        <wps:txbx>
                          <w:txbxContent>
                            <w:p w:rsidR="00EE13F6" w:rsidRDefault="002E5BC4">
                              <w:r>
                                <w:rPr>
                                  <w:color w:val="585858"/>
                                  <w:sz w:val="11"/>
                                </w:rPr>
                                <w:t>25</w:t>
                              </w:r>
                            </w:p>
                          </w:txbxContent>
                        </wps:txbx>
                        <wps:bodyPr horzOverflow="overflow" vert="horz" lIns="0" tIns="0" rIns="0" bIns="0" rtlCol="0">
                          <a:noAutofit/>
                        </wps:bodyPr>
                      </wps:wsp>
                      <wps:wsp>
                        <wps:cNvPr id="204900" name="Rectangle 204900"/>
                        <wps:cNvSpPr/>
                        <wps:spPr>
                          <a:xfrm>
                            <a:off x="599845" y="1984642"/>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898" name="Rectangle 204898"/>
                        <wps:cNvSpPr/>
                        <wps:spPr>
                          <a:xfrm>
                            <a:off x="561301" y="1984642"/>
                            <a:ext cx="46780" cy="112917"/>
                          </a:xfrm>
                          <a:prstGeom prst="rect">
                            <a:avLst/>
                          </a:prstGeom>
                          <a:ln>
                            <a:noFill/>
                          </a:ln>
                        </wps:spPr>
                        <wps:txbx>
                          <w:txbxContent>
                            <w:p w:rsidR="00EE13F6" w:rsidRDefault="002E5BC4">
                              <w:r>
                                <w:rPr>
                                  <w:color w:val="585858"/>
                                  <w:sz w:val="11"/>
                                </w:rPr>
                                <w:t>1</w:t>
                              </w:r>
                            </w:p>
                          </w:txbxContent>
                        </wps:txbx>
                        <wps:bodyPr horzOverflow="overflow" vert="horz" lIns="0" tIns="0" rIns="0" bIns="0" rtlCol="0">
                          <a:noAutofit/>
                        </wps:bodyPr>
                      </wps:wsp>
                      <wps:wsp>
                        <wps:cNvPr id="204902" name="Rectangle 204902"/>
                        <wps:cNvSpPr/>
                        <wps:spPr>
                          <a:xfrm>
                            <a:off x="1140962" y="1984642"/>
                            <a:ext cx="98045" cy="112917"/>
                          </a:xfrm>
                          <a:prstGeom prst="rect">
                            <a:avLst/>
                          </a:prstGeom>
                          <a:ln>
                            <a:noFill/>
                          </a:ln>
                        </wps:spPr>
                        <wps:txbx>
                          <w:txbxContent>
                            <w:p w:rsidR="00EE13F6" w:rsidRDefault="002E5BC4">
                              <w:r>
                                <w:rPr>
                                  <w:color w:val="585858"/>
                                  <w:sz w:val="11"/>
                                </w:rPr>
                                <w:t>43</w:t>
                              </w:r>
                            </w:p>
                          </w:txbxContent>
                        </wps:txbx>
                        <wps:bodyPr horzOverflow="overflow" vert="horz" lIns="0" tIns="0" rIns="0" bIns="0" rtlCol="0">
                          <a:noAutofit/>
                        </wps:bodyPr>
                      </wps:wsp>
                      <wps:wsp>
                        <wps:cNvPr id="204903" name="Rectangle 204903"/>
                        <wps:cNvSpPr/>
                        <wps:spPr>
                          <a:xfrm>
                            <a:off x="1125518" y="1984642"/>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901" name="Rectangle 204901"/>
                        <wps:cNvSpPr/>
                        <wps:spPr>
                          <a:xfrm>
                            <a:off x="1086974" y="1984642"/>
                            <a:ext cx="46780" cy="112917"/>
                          </a:xfrm>
                          <a:prstGeom prst="rect">
                            <a:avLst/>
                          </a:prstGeom>
                          <a:ln>
                            <a:noFill/>
                          </a:ln>
                        </wps:spPr>
                        <wps:txbx>
                          <w:txbxContent>
                            <w:p w:rsidR="00EE13F6" w:rsidRDefault="002E5BC4">
                              <w:r>
                                <w:rPr>
                                  <w:color w:val="585858"/>
                                  <w:sz w:val="11"/>
                                </w:rPr>
                                <w:t>1</w:t>
                              </w:r>
                            </w:p>
                          </w:txbxContent>
                        </wps:txbx>
                        <wps:bodyPr horzOverflow="overflow" vert="horz" lIns="0" tIns="0" rIns="0" bIns="0" rtlCol="0">
                          <a:noAutofit/>
                        </wps:bodyPr>
                      </wps:wsp>
                      <wps:wsp>
                        <wps:cNvPr id="204905" name="Rectangle 204905"/>
                        <wps:cNvSpPr/>
                        <wps:spPr>
                          <a:xfrm>
                            <a:off x="1666636" y="1984642"/>
                            <a:ext cx="98045" cy="112917"/>
                          </a:xfrm>
                          <a:prstGeom prst="rect">
                            <a:avLst/>
                          </a:prstGeom>
                          <a:ln>
                            <a:noFill/>
                          </a:ln>
                        </wps:spPr>
                        <wps:txbx>
                          <w:txbxContent>
                            <w:p w:rsidR="00EE13F6" w:rsidRDefault="002E5BC4">
                              <w:r>
                                <w:rPr>
                                  <w:color w:val="585858"/>
                                  <w:sz w:val="11"/>
                                </w:rPr>
                                <w:t>67</w:t>
                              </w:r>
                            </w:p>
                          </w:txbxContent>
                        </wps:txbx>
                        <wps:bodyPr horzOverflow="overflow" vert="horz" lIns="0" tIns="0" rIns="0" bIns="0" rtlCol="0">
                          <a:noAutofit/>
                        </wps:bodyPr>
                      </wps:wsp>
                      <wps:wsp>
                        <wps:cNvPr id="204906" name="Rectangle 204906"/>
                        <wps:cNvSpPr/>
                        <wps:spPr>
                          <a:xfrm>
                            <a:off x="1651193" y="1984642"/>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904" name="Rectangle 204904"/>
                        <wps:cNvSpPr/>
                        <wps:spPr>
                          <a:xfrm>
                            <a:off x="1612648" y="1984642"/>
                            <a:ext cx="46780" cy="112917"/>
                          </a:xfrm>
                          <a:prstGeom prst="rect">
                            <a:avLst/>
                          </a:prstGeom>
                          <a:ln>
                            <a:noFill/>
                          </a:ln>
                        </wps:spPr>
                        <wps:txbx>
                          <w:txbxContent>
                            <w:p w:rsidR="00EE13F6" w:rsidRDefault="002E5BC4">
                              <w:r>
                                <w:rPr>
                                  <w:color w:val="585858"/>
                                  <w:sz w:val="11"/>
                                </w:rPr>
                                <w:t>1</w:t>
                              </w:r>
                            </w:p>
                          </w:txbxContent>
                        </wps:txbx>
                        <wps:bodyPr horzOverflow="overflow" vert="horz" lIns="0" tIns="0" rIns="0" bIns="0" rtlCol="0">
                          <a:noAutofit/>
                        </wps:bodyPr>
                      </wps:wsp>
                      <wps:wsp>
                        <wps:cNvPr id="204910" name="Rectangle 204910"/>
                        <wps:cNvSpPr/>
                        <wps:spPr>
                          <a:xfrm>
                            <a:off x="2176866" y="1984642"/>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909" name="Rectangle 204909"/>
                        <wps:cNvSpPr/>
                        <wps:spPr>
                          <a:xfrm>
                            <a:off x="2192309" y="1984642"/>
                            <a:ext cx="98045" cy="112917"/>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204908" name="Rectangle 204908"/>
                        <wps:cNvSpPr/>
                        <wps:spPr>
                          <a:xfrm>
                            <a:off x="2138321" y="1984642"/>
                            <a:ext cx="46780" cy="112917"/>
                          </a:xfrm>
                          <a:prstGeom prst="rect">
                            <a:avLst/>
                          </a:prstGeom>
                          <a:ln>
                            <a:noFill/>
                          </a:ln>
                        </wps:spPr>
                        <wps:txbx>
                          <w:txbxContent>
                            <w:p w:rsidR="00EE13F6" w:rsidRDefault="002E5BC4">
                              <w:r>
                                <w:rPr>
                                  <w:color w:val="585858"/>
                                  <w:sz w:val="11"/>
                                </w:rPr>
                                <w:t>2</w:t>
                              </w:r>
                            </w:p>
                          </w:txbxContent>
                        </wps:txbx>
                        <wps:bodyPr horzOverflow="overflow" vert="horz" lIns="0" tIns="0" rIns="0" bIns="0" rtlCol="0">
                          <a:noAutofit/>
                        </wps:bodyPr>
                      </wps:wsp>
                      <wps:wsp>
                        <wps:cNvPr id="204912" name="Rectangle 204912"/>
                        <wps:cNvSpPr/>
                        <wps:spPr>
                          <a:xfrm>
                            <a:off x="2717983" y="1984642"/>
                            <a:ext cx="98045" cy="112917"/>
                          </a:xfrm>
                          <a:prstGeom prst="rect">
                            <a:avLst/>
                          </a:prstGeom>
                          <a:ln>
                            <a:noFill/>
                          </a:ln>
                        </wps:spPr>
                        <wps:txbx>
                          <w:txbxContent>
                            <w:p w:rsidR="00EE13F6" w:rsidRDefault="002E5BC4">
                              <w:r>
                                <w:rPr>
                                  <w:color w:val="585858"/>
                                  <w:sz w:val="11"/>
                                </w:rPr>
                                <w:t>50</w:t>
                              </w:r>
                            </w:p>
                          </w:txbxContent>
                        </wps:txbx>
                        <wps:bodyPr horzOverflow="overflow" vert="horz" lIns="0" tIns="0" rIns="0" bIns="0" rtlCol="0">
                          <a:noAutofit/>
                        </wps:bodyPr>
                      </wps:wsp>
                      <wps:wsp>
                        <wps:cNvPr id="204913" name="Rectangle 204913"/>
                        <wps:cNvSpPr/>
                        <wps:spPr>
                          <a:xfrm>
                            <a:off x="2702541" y="1984642"/>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911" name="Rectangle 204911"/>
                        <wps:cNvSpPr/>
                        <wps:spPr>
                          <a:xfrm>
                            <a:off x="2663996" y="1984642"/>
                            <a:ext cx="46780" cy="112917"/>
                          </a:xfrm>
                          <a:prstGeom prst="rect">
                            <a:avLst/>
                          </a:prstGeom>
                          <a:ln>
                            <a:noFill/>
                          </a:ln>
                        </wps:spPr>
                        <wps:txbx>
                          <w:txbxContent>
                            <w:p w:rsidR="00EE13F6" w:rsidRDefault="002E5BC4">
                              <w:r>
                                <w:rPr>
                                  <w:color w:val="585858"/>
                                  <w:sz w:val="11"/>
                                </w:rPr>
                                <w:t>2</w:t>
                              </w:r>
                            </w:p>
                          </w:txbxContent>
                        </wps:txbx>
                        <wps:bodyPr horzOverflow="overflow" vert="horz" lIns="0" tIns="0" rIns="0" bIns="0" rtlCol="0">
                          <a:noAutofit/>
                        </wps:bodyPr>
                      </wps:wsp>
                      <wps:wsp>
                        <wps:cNvPr id="204915" name="Rectangle 204915"/>
                        <wps:cNvSpPr/>
                        <wps:spPr>
                          <a:xfrm>
                            <a:off x="3243656" y="1984642"/>
                            <a:ext cx="98045" cy="112917"/>
                          </a:xfrm>
                          <a:prstGeom prst="rect">
                            <a:avLst/>
                          </a:prstGeom>
                          <a:ln>
                            <a:noFill/>
                          </a:ln>
                        </wps:spPr>
                        <wps:txbx>
                          <w:txbxContent>
                            <w:p w:rsidR="00EE13F6" w:rsidRDefault="002E5BC4">
                              <w:r>
                                <w:rPr>
                                  <w:color w:val="585858"/>
                                  <w:sz w:val="11"/>
                                </w:rPr>
                                <w:t>33</w:t>
                              </w:r>
                            </w:p>
                          </w:txbxContent>
                        </wps:txbx>
                        <wps:bodyPr horzOverflow="overflow" vert="horz" lIns="0" tIns="0" rIns="0" bIns="0" rtlCol="0">
                          <a:noAutofit/>
                        </wps:bodyPr>
                      </wps:wsp>
                      <wps:wsp>
                        <wps:cNvPr id="204917" name="Rectangle 204917"/>
                        <wps:cNvSpPr/>
                        <wps:spPr>
                          <a:xfrm>
                            <a:off x="3228214" y="1984642"/>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914" name="Rectangle 204914"/>
                        <wps:cNvSpPr/>
                        <wps:spPr>
                          <a:xfrm>
                            <a:off x="3189669" y="1984642"/>
                            <a:ext cx="46780" cy="112917"/>
                          </a:xfrm>
                          <a:prstGeom prst="rect">
                            <a:avLst/>
                          </a:prstGeom>
                          <a:ln>
                            <a:noFill/>
                          </a:ln>
                        </wps:spPr>
                        <wps:txbx>
                          <w:txbxContent>
                            <w:p w:rsidR="00EE13F6" w:rsidRDefault="002E5BC4">
                              <w:r>
                                <w:rPr>
                                  <w:color w:val="585858"/>
                                  <w:sz w:val="11"/>
                                </w:rPr>
                                <w:t>3</w:t>
                              </w:r>
                            </w:p>
                          </w:txbxContent>
                        </wps:txbx>
                        <wps:bodyPr horzOverflow="overflow" vert="horz" lIns="0" tIns="0" rIns="0" bIns="0" rtlCol="0">
                          <a:noAutofit/>
                        </wps:bodyPr>
                      </wps:wsp>
                      <wps:wsp>
                        <wps:cNvPr id="204918" name="Rectangle 204918"/>
                        <wps:cNvSpPr/>
                        <wps:spPr>
                          <a:xfrm>
                            <a:off x="3715342" y="1984642"/>
                            <a:ext cx="46780" cy="112917"/>
                          </a:xfrm>
                          <a:prstGeom prst="rect">
                            <a:avLst/>
                          </a:prstGeom>
                          <a:ln>
                            <a:noFill/>
                          </a:ln>
                        </wps:spPr>
                        <wps:txbx>
                          <w:txbxContent>
                            <w:p w:rsidR="00EE13F6" w:rsidRDefault="002E5BC4">
                              <w:r>
                                <w:rPr>
                                  <w:color w:val="585858"/>
                                  <w:sz w:val="11"/>
                                </w:rPr>
                                <w:t>4</w:t>
                              </w:r>
                            </w:p>
                          </w:txbxContent>
                        </wps:txbx>
                        <wps:bodyPr horzOverflow="overflow" vert="horz" lIns="0" tIns="0" rIns="0" bIns="0" rtlCol="0">
                          <a:noAutofit/>
                        </wps:bodyPr>
                      </wps:wsp>
                      <wps:wsp>
                        <wps:cNvPr id="204920" name="Rectangle 204920"/>
                        <wps:cNvSpPr/>
                        <wps:spPr>
                          <a:xfrm>
                            <a:off x="3753887" y="1984642"/>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04919" name="Rectangle 204919"/>
                        <wps:cNvSpPr/>
                        <wps:spPr>
                          <a:xfrm>
                            <a:off x="3769330" y="1984642"/>
                            <a:ext cx="98045" cy="112917"/>
                          </a:xfrm>
                          <a:prstGeom prst="rect">
                            <a:avLst/>
                          </a:prstGeom>
                          <a:ln>
                            <a:noFill/>
                          </a:ln>
                        </wps:spPr>
                        <wps:txbx>
                          <w:txbxContent>
                            <w:p w:rsidR="00EE13F6" w:rsidRDefault="002E5BC4">
                              <w:r>
                                <w:rPr>
                                  <w:color w:val="585858"/>
                                  <w:sz w:val="11"/>
                                </w:rPr>
                                <w:t>00</w:t>
                              </w:r>
                            </w:p>
                          </w:txbxContent>
                        </wps:txbx>
                        <wps:bodyPr horzOverflow="overflow" vert="horz" lIns="0" tIns="0" rIns="0" bIns="0" rtlCol="0">
                          <a:noAutofit/>
                        </wps:bodyPr>
                      </wps:wsp>
                      <wps:wsp>
                        <wps:cNvPr id="21422" name="Rectangle 21422"/>
                        <wps:cNvSpPr/>
                        <wps:spPr>
                          <a:xfrm>
                            <a:off x="4287284" y="1984641"/>
                            <a:ext cx="46780" cy="112917"/>
                          </a:xfrm>
                          <a:prstGeom prst="rect">
                            <a:avLst/>
                          </a:prstGeom>
                          <a:ln>
                            <a:noFill/>
                          </a:ln>
                        </wps:spPr>
                        <wps:txbx>
                          <w:txbxContent>
                            <w:p w:rsidR="00EE13F6" w:rsidRDefault="002E5BC4">
                              <w:r>
                                <w:rPr>
                                  <w:color w:val="585858"/>
                                  <w:sz w:val="11"/>
                                </w:rPr>
                                <w:t>5</w:t>
                              </w:r>
                            </w:p>
                          </w:txbxContent>
                        </wps:txbx>
                        <wps:bodyPr horzOverflow="overflow" vert="horz" lIns="0" tIns="0" rIns="0" bIns="0" rtlCol="0">
                          <a:noAutofit/>
                        </wps:bodyPr>
                      </wps:wsp>
                      <wps:wsp>
                        <wps:cNvPr id="204921" name="Rectangle 204921"/>
                        <wps:cNvSpPr/>
                        <wps:spPr>
                          <a:xfrm>
                            <a:off x="4766689" y="1984642"/>
                            <a:ext cx="46780" cy="112917"/>
                          </a:xfrm>
                          <a:prstGeom prst="rect">
                            <a:avLst/>
                          </a:prstGeom>
                          <a:ln>
                            <a:noFill/>
                          </a:ln>
                        </wps:spPr>
                        <wps:txbx>
                          <w:txbxContent>
                            <w:p w:rsidR="00EE13F6" w:rsidRDefault="002E5BC4">
                              <w:r>
                                <w:rPr>
                                  <w:color w:val="585858"/>
                                  <w:sz w:val="11"/>
                                </w:rPr>
                                <w:t>6</w:t>
                              </w:r>
                            </w:p>
                          </w:txbxContent>
                        </wps:txbx>
                        <wps:bodyPr horzOverflow="overflow" vert="horz" lIns="0" tIns="0" rIns="0" bIns="0" rtlCol="0">
                          <a:noAutofit/>
                        </wps:bodyPr>
                      </wps:wsp>
                      <wps:wsp>
                        <wps:cNvPr id="204922" name="Rectangle 204922"/>
                        <wps:cNvSpPr/>
                        <wps:spPr>
                          <a:xfrm>
                            <a:off x="4820677" y="1984642"/>
                            <a:ext cx="98045" cy="112917"/>
                          </a:xfrm>
                          <a:prstGeom prst="rect">
                            <a:avLst/>
                          </a:prstGeom>
                          <a:ln>
                            <a:noFill/>
                          </a:ln>
                        </wps:spPr>
                        <wps:txbx>
                          <w:txbxContent>
                            <w:p w:rsidR="00EE13F6" w:rsidRDefault="002E5BC4">
                              <w:r>
                                <w:rPr>
                                  <w:color w:val="585858"/>
                                  <w:sz w:val="11"/>
                                </w:rPr>
                                <w:t>67</w:t>
                              </w:r>
                            </w:p>
                          </w:txbxContent>
                        </wps:txbx>
                        <wps:bodyPr horzOverflow="overflow" vert="horz" lIns="0" tIns="0" rIns="0" bIns="0" rtlCol="0">
                          <a:noAutofit/>
                        </wps:bodyPr>
                      </wps:wsp>
                      <wps:wsp>
                        <wps:cNvPr id="204923" name="Rectangle 204923"/>
                        <wps:cNvSpPr/>
                        <wps:spPr>
                          <a:xfrm>
                            <a:off x="4805234" y="1984642"/>
                            <a:ext cx="23067" cy="112917"/>
                          </a:xfrm>
                          <a:prstGeom prst="rect">
                            <a:avLst/>
                          </a:prstGeom>
                          <a:ln>
                            <a:noFill/>
                          </a:ln>
                        </wps:spPr>
                        <wps:txbx>
                          <w:txbxContent>
                            <w:p w:rsidR="00EE13F6" w:rsidRDefault="002E5BC4">
                              <w:r>
                                <w:rPr>
                                  <w:color w:val="585858"/>
                                  <w:sz w:val="11"/>
                                </w:rPr>
                                <w:t>,</w:t>
                              </w:r>
                            </w:p>
                          </w:txbxContent>
                        </wps:txbx>
                        <wps:bodyPr horzOverflow="overflow" vert="horz" lIns="0" tIns="0" rIns="0" bIns="0" rtlCol="0">
                          <a:noAutofit/>
                        </wps:bodyPr>
                      </wps:wsp>
                      <wps:wsp>
                        <wps:cNvPr id="21424" name="Shape 21424"/>
                        <wps:cNvSpPr/>
                        <wps:spPr>
                          <a:xfrm>
                            <a:off x="1152977" y="3249534"/>
                            <a:ext cx="146459" cy="1"/>
                          </a:xfrm>
                          <a:custGeom>
                            <a:avLst/>
                            <a:gdLst/>
                            <a:ahLst/>
                            <a:cxnLst/>
                            <a:rect l="0" t="0" r="0" b="0"/>
                            <a:pathLst>
                              <a:path w="146459" h="1">
                                <a:moveTo>
                                  <a:pt x="0" y="0"/>
                                </a:moveTo>
                                <a:lnTo>
                                  <a:pt x="146459" y="1"/>
                                </a:lnTo>
                              </a:path>
                            </a:pathLst>
                          </a:custGeom>
                          <a:ln w="15417" cap="rnd">
                            <a:round/>
                          </a:ln>
                        </wps:spPr>
                        <wps:style>
                          <a:lnRef idx="1">
                            <a:srgbClr val="5E5E5E"/>
                          </a:lnRef>
                          <a:fillRef idx="0">
                            <a:srgbClr val="000000">
                              <a:alpha val="0"/>
                            </a:srgbClr>
                          </a:fillRef>
                          <a:effectRef idx="0">
                            <a:scrgbClr r="0" g="0" b="0"/>
                          </a:effectRef>
                          <a:fontRef idx="none"/>
                        </wps:style>
                        <wps:bodyPr/>
                      </wps:wsp>
                      <wps:wsp>
                        <wps:cNvPr id="21425" name="Rectangle 21425"/>
                        <wps:cNvSpPr/>
                        <wps:spPr>
                          <a:xfrm>
                            <a:off x="1315697" y="3207036"/>
                            <a:ext cx="394007" cy="112917"/>
                          </a:xfrm>
                          <a:prstGeom prst="rect">
                            <a:avLst/>
                          </a:prstGeom>
                          <a:ln>
                            <a:noFill/>
                          </a:ln>
                        </wps:spPr>
                        <wps:txbx>
                          <w:txbxContent>
                            <w:p w:rsidR="00EE13F6" w:rsidRDefault="002E5BC4">
                              <w:r>
                                <w:rPr>
                                  <w:color w:val="585858"/>
                                  <w:sz w:val="11"/>
                                </w:rPr>
                                <w:t>spread</w:t>
                              </w:r>
                              <w:r>
                                <w:rPr>
                                  <w:color w:val="585858"/>
                                  <w:sz w:val="11"/>
                                </w:rPr>
                                <w:tab/>
                                <w:t>1%</w:t>
                              </w:r>
                            </w:p>
                          </w:txbxContent>
                        </wps:txbx>
                        <wps:bodyPr horzOverflow="overflow" vert="horz" lIns="0" tIns="0" rIns="0" bIns="0" rtlCol="0">
                          <a:noAutofit/>
                        </wps:bodyPr>
                      </wps:wsp>
                      <wps:wsp>
                        <wps:cNvPr id="21426" name="Shape 21426"/>
                        <wps:cNvSpPr/>
                        <wps:spPr>
                          <a:xfrm>
                            <a:off x="1715686" y="3249534"/>
                            <a:ext cx="146459" cy="1"/>
                          </a:xfrm>
                          <a:custGeom>
                            <a:avLst/>
                            <a:gdLst/>
                            <a:ahLst/>
                            <a:cxnLst/>
                            <a:rect l="0" t="0" r="0" b="0"/>
                            <a:pathLst>
                              <a:path w="146459" h="1">
                                <a:moveTo>
                                  <a:pt x="0" y="0"/>
                                </a:moveTo>
                                <a:lnTo>
                                  <a:pt x="146459" y="1"/>
                                </a:lnTo>
                              </a:path>
                            </a:pathLst>
                          </a:custGeom>
                          <a:ln w="15417" cap="rnd">
                            <a:round/>
                          </a:ln>
                        </wps:spPr>
                        <wps:style>
                          <a:lnRef idx="1">
                            <a:srgbClr val="B3B3B3"/>
                          </a:lnRef>
                          <a:fillRef idx="0">
                            <a:srgbClr val="000000">
                              <a:alpha val="0"/>
                            </a:srgbClr>
                          </a:fillRef>
                          <a:effectRef idx="0">
                            <a:scrgbClr r="0" g="0" b="0"/>
                          </a:effectRef>
                          <a:fontRef idx="none"/>
                        </wps:style>
                        <wps:bodyPr/>
                      </wps:wsp>
                      <wps:wsp>
                        <wps:cNvPr id="21427" name="Rectangle 21427"/>
                        <wps:cNvSpPr/>
                        <wps:spPr>
                          <a:xfrm>
                            <a:off x="1876760" y="3207036"/>
                            <a:ext cx="486294" cy="112917"/>
                          </a:xfrm>
                          <a:prstGeom prst="rect">
                            <a:avLst/>
                          </a:prstGeom>
                          <a:ln>
                            <a:noFill/>
                          </a:ln>
                        </wps:spPr>
                        <wps:txbx>
                          <w:txbxContent>
                            <w:p w:rsidR="00EE13F6" w:rsidRDefault="002E5BC4">
                              <w:r>
                                <w:rPr>
                                  <w:color w:val="585858"/>
                                  <w:sz w:val="11"/>
                                </w:rPr>
                                <w:t>spread</w:t>
                              </w:r>
                              <w:r>
                                <w:rPr>
                                  <w:color w:val="585858"/>
                                  <w:sz w:val="11"/>
                                </w:rPr>
                                <w:tab/>
                              </w:r>
                              <w:r>
                                <w:rPr>
                                  <w:color w:val="585858"/>
                                  <w:sz w:val="11"/>
                                </w:rPr>
                                <w:tab/>
                                <w:t>1.5%</w:t>
                              </w:r>
                            </w:p>
                          </w:txbxContent>
                        </wps:txbx>
                        <wps:bodyPr horzOverflow="overflow" vert="horz" lIns="0" tIns="0" rIns="0" bIns="0" rtlCol="0">
                          <a:noAutofit/>
                        </wps:bodyPr>
                      </wps:wsp>
                      <wps:wsp>
                        <wps:cNvPr id="21428" name="Shape 21428"/>
                        <wps:cNvSpPr/>
                        <wps:spPr>
                          <a:xfrm>
                            <a:off x="2340063" y="3249534"/>
                            <a:ext cx="154167" cy="1"/>
                          </a:xfrm>
                          <a:custGeom>
                            <a:avLst/>
                            <a:gdLst/>
                            <a:ahLst/>
                            <a:cxnLst/>
                            <a:rect l="0" t="0" r="0" b="0"/>
                            <a:pathLst>
                              <a:path w="154167" h="1">
                                <a:moveTo>
                                  <a:pt x="0" y="0"/>
                                </a:moveTo>
                                <a:lnTo>
                                  <a:pt x="154167" y="1"/>
                                </a:lnTo>
                              </a:path>
                            </a:pathLst>
                          </a:custGeom>
                          <a:ln w="15417" cap="rnd">
                            <a:round/>
                          </a:ln>
                        </wps:spPr>
                        <wps:style>
                          <a:lnRef idx="1">
                            <a:srgbClr val="898989"/>
                          </a:lnRef>
                          <a:fillRef idx="0">
                            <a:srgbClr val="000000">
                              <a:alpha val="0"/>
                            </a:srgbClr>
                          </a:fillRef>
                          <a:effectRef idx="0">
                            <a:scrgbClr r="0" g="0" b="0"/>
                          </a:effectRef>
                          <a:fontRef idx="none"/>
                        </wps:style>
                        <wps:bodyPr/>
                      </wps:wsp>
                      <wps:wsp>
                        <wps:cNvPr id="21429" name="Rectangle 21429"/>
                        <wps:cNvSpPr/>
                        <wps:spPr>
                          <a:xfrm>
                            <a:off x="2506157" y="3207036"/>
                            <a:ext cx="394007" cy="112917"/>
                          </a:xfrm>
                          <a:prstGeom prst="rect">
                            <a:avLst/>
                          </a:prstGeom>
                          <a:ln>
                            <a:noFill/>
                          </a:ln>
                        </wps:spPr>
                        <wps:txbx>
                          <w:txbxContent>
                            <w:p w:rsidR="00EE13F6" w:rsidRDefault="002E5BC4">
                              <w:r>
                                <w:rPr>
                                  <w:color w:val="585858"/>
                                  <w:sz w:val="11"/>
                                </w:rPr>
                                <w:t>spread</w:t>
                              </w:r>
                              <w:r>
                                <w:rPr>
                                  <w:color w:val="585858"/>
                                  <w:sz w:val="11"/>
                                </w:rPr>
                                <w:tab/>
                                <w:t>2%</w:t>
                              </w:r>
                            </w:p>
                          </w:txbxContent>
                        </wps:txbx>
                        <wps:bodyPr horzOverflow="overflow" vert="horz" lIns="0" tIns="0" rIns="0" bIns="0" rtlCol="0">
                          <a:noAutofit/>
                        </wps:bodyPr>
                      </wps:wsp>
                      <wps:wsp>
                        <wps:cNvPr id="21430" name="Shape 21430"/>
                        <wps:cNvSpPr/>
                        <wps:spPr>
                          <a:xfrm>
                            <a:off x="2902773" y="3249534"/>
                            <a:ext cx="146459" cy="1"/>
                          </a:xfrm>
                          <a:custGeom>
                            <a:avLst/>
                            <a:gdLst/>
                            <a:ahLst/>
                            <a:cxnLst/>
                            <a:rect l="0" t="0" r="0" b="0"/>
                            <a:pathLst>
                              <a:path w="146459" h="1">
                                <a:moveTo>
                                  <a:pt x="0" y="0"/>
                                </a:moveTo>
                                <a:lnTo>
                                  <a:pt x="146459" y="1"/>
                                </a:lnTo>
                              </a:path>
                            </a:pathLst>
                          </a:custGeom>
                          <a:ln w="15417" cap="rnd">
                            <a:round/>
                          </a:ln>
                        </wps:spPr>
                        <wps:style>
                          <a:lnRef idx="1">
                            <a:srgbClr val="212121"/>
                          </a:lnRef>
                          <a:fillRef idx="0">
                            <a:srgbClr val="000000">
                              <a:alpha val="0"/>
                            </a:srgbClr>
                          </a:fillRef>
                          <a:effectRef idx="0">
                            <a:scrgbClr r="0" g="0" b="0"/>
                          </a:effectRef>
                          <a:fontRef idx="none"/>
                        </wps:style>
                        <wps:bodyPr/>
                      </wps:wsp>
                      <wps:wsp>
                        <wps:cNvPr id="21431" name="Rectangle 21431"/>
                        <wps:cNvSpPr/>
                        <wps:spPr>
                          <a:xfrm>
                            <a:off x="3067221" y="3207036"/>
                            <a:ext cx="465774" cy="112917"/>
                          </a:xfrm>
                          <a:prstGeom prst="rect">
                            <a:avLst/>
                          </a:prstGeom>
                          <a:ln>
                            <a:noFill/>
                          </a:ln>
                        </wps:spPr>
                        <wps:txbx>
                          <w:txbxContent>
                            <w:p w:rsidR="00EE13F6" w:rsidRDefault="002E5BC4">
                              <w:r>
                                <w:rPr>
                                  <w:color w:val="585858"/>
                                  <w:sz w:val="11"/>
                                </w:rPr>
                                <w:t>spread</w:t>
                              </w:r>
                              <w:r>
                                <w:rPr>
                                  <w:color w:val="585858"/>
                                  <w:sz w:val="11"/>
                                </w:rPr>
                                <w:tab/>
                                <w:t>2.5%</w:t>
                              </w:r>
                            </w:p>
                          </w:txbxContent>
                        </wps:txbx>
                        <wps:bodyPr horzOverflow="overflow" vert="horz" lIns="0" tIns="0" rIns="0" bIns="0" rtlCol="0">
                          <a:noAutofit/>
                        </wps:bodyPr>
                      </wps:wsp>
                      <wps:wsp>
                        <wps:cNvPr id="21432" name="Shape 21432"/>
                        <wps:cNvSpPr/>
                        <wps:spPr>
                          <a:xfrm>
                            <a:off x="3519441" y="3249534"/>
                            <a:ext cx="146459" cy="1"/>
                          </a:xfrm>
                          <a:custGeom>
                            <a:avLst/>
                            <a:gdLst/>
                            <a:ahLst/>
                            <a:cxnLst/>
                            <a:rect l="0" t="0" r="0" b="0"/>
                            <a:pathLst>
                              <a:path w="146459" h="1">
                                <a:moveTo>
                                  <a:pt x="0" y="0"/>
                                </a:moveTo>
                                <a:lnTo>
                                  <a:pt x="146459" y="1"/>
                                </a:lnTo>
                              </a:path>
                            </a:pathLst>
                          </a:custGeom>
                          <a:ln w="15417" cap="rnd">
                            <a:round/>
                          </a:ln>
                        </wps:spPr>
                        <wps:style>
                          <a:lnRef idx="1">
                            <a:srgbClr val="DADADA"/>
                          </a:lnRef>
                          <a:fillRef idx="0">
                            <a:srgbClr val="000000">
                              <a:alpha val="0"/>
                            </a:srgbClr>
                          </a:fillRef>
                          <a:effectRef idx="0">
                            <a:scrgbClr r="0" g="0" b="0"/>
                          </a:effectRef>
                          <a:fontRef idx="none"/>
                        </wps:style>
                        <wps:bodyPr/>
                      </wps:wsp>
                      <wps:wsp>
                        <wps:cNvPr id="21433" name="Rectangle 21433"/>
                        <wps:cNvSpPr/>
                        <wps:spPr>
                          <a:xfrm>
                            <a:off x="3680933" y="3207036"/>
                            <a:ext cx="394007" cy="112917"/>
                          </a:xfrm>
                          <a:prstGeom prst="rect">
                            <a:avLst/>
                          </a:prstGeom>
                          <a:ln>
                            <a:noFill/>
                          </a:ln>
                        </wps:spPr>
                        <wps:txbx>
                          <w:txbxContent>
                            <w:p w:rsidR="00EE13F6" w:rsidRDefault="002E5BC4">
                              <w:r>
                                <w:rPr>
                                  <w:color w:val="585858"/>
                                  <w:sz w:val="11"/>
                                </w:rPr>
                                <w:t>spread</w:t>
                              </w:r>
                              <w:r>
                                <w:rPr>
                                  <w:color w:val="585858"/>
                                  <w:sz w:val="11"/>
                                </w:rPr>
                                <w:tab/>
                                <w:t>3%</w:t>
                              </w:r>
                            </w:p>
                          </w:txbxContent>
                        </wps:txbx>
                        <wps:bodyPr horzOverflow="overflow" vert="horz" lIns="0" tIns="0" rIns="0" bIns="0" rtlCol="0">
                          <a:noAutofit/>
                        </wps:bodyPr>
                      </wps:wsp>
                      <wps:wsp>
                        <wps:cNvPr id="21434" name="Shape 21434"/>
                        <wps:cNvSpPr/>
                        <wps:spPr>
                          <a:xfrm>
                            <a:off x="579" y="0"/>
                            <a:ext cx="4949742" cy="3377043"/>
                          </a:xfrm>
                          <a:custGeom>
                            <a:avLst/>
                            <a:gdLst/>
                            <a:ahLst/>
                            <a:cxnLst/>
                            <a:rect l="0" t="0" r="0" b="0"/>
                            <a:pathLst>
                              <a:path w="4949742" h="3377043">
                                <a:moveTo>
                                  <a:pt x="4949742" y="3377043"/>
                                </a:moveTo>
                                <a:lnTo>
                                  <a:pt x="0" y="3377043"/>
                                </a:lnTo>
                                <a:lnTo>
                                  <a:pt x="0" y="0"/>
                                </a:lnTo>
                                <a:lnTo>
                                  <a:pt x="4949742" y="0"/>
                                </a:lnTo>
                              </a:path>
                            </a:pathLst>
                          </a:custGeom>
                          <a:ln w="7708" cap="flat">
                            <a:round/>
                          </a:ln>
                        </wps:spPr>
                        <wps:style>
                          <a:lnRef idx="1">
                            <a:srgbClr val="D9D9D9"/>
                          </a:lnRef>
                          <a:fillRef idx="0">
                            <a:srgbClr val="000000">
                              <a:alpha val="0"/>
                            </a:srgbClr>
                          </a:fillRef>
                          <a:effectRef idx="0">
                            <a:scrgbClr r="0" g="0" b="0"/>
                          </a:effectRef>
                          <a:fontRef idx="none"/>
                        </wps:style>
                        <wps:bodyPr/>
                      </wps:wsp>
                      <wps:wsp>
                        <wps:cNvPr id="21435" name="Rectangle 21435"/>
                        <wps:cNvSpPr/>
                        <wps:spPr>
                          <a:xfrm>
                            <a:off x="711984" y="24161"/>
                            <a:ext cx="5263237" cy="138010"/>
                          </a:xfrm>
                          <a:prstGeom prst="rect">
                            <a:avLst/>
                          </a:prstGeom>
                          <a:ln>
                            <a:noFill/>
                          </a:ln>
                        </wps:spPr>
                        <wps:txbx>
                          <w:txbxContent>
                            <w:p w:rsidR="00EE13F6" w:rsidRDefault="002E5BC4">
                              <w:r>
                                <w:rPr>
                                  <w:b/>
                                  <w:sz w:val="13"/>
                                </w:rPr>
                                <w:t>Long</w:t>
                              </w:r>
                              <w:r>
                                <w:rPr>
                                  <w:b/>
                                  <w:sz w:val="13"/>
                                </w:rPr>
                                <w:tab/>
                                <w:t>term</w:t>
                              </w:r>
                              <w:r>
                                <w:rPr>
                                  <w:b/>
                                  <w:sz w:val="13"/>
                                </w:rPr>
                                <w:tab/>
                                <w:t>Equity</w:t>
                              </w:r>
                              <w:r>
                                <w:rPr>
                                  <w:b/>
                                  <w:sz w:val="13"/>
                                </w:rPr>
                                <w:tab/>
                                <w:t>price</w:t>
                              </w:r>
                              <w:r>
                                <w:rPr>
                                  <w:b/>
                                  <w:sz w:val="13"/>
                                </w:rPr>
                                <w:tab/>
                                <w:t>variation</w:t>
                              </w:r>
                              <w:r>
                                <w:rPr>
                                  <w:b/>
                                  <w:sz w:val="13"/>
                                </w:rPr>
                                <w:tab/>
                                <w:t>following</w:t>
                              </w:r>
                              <w:r>
                                <w:rPr>
                                  <w:b/>
                                  <w:sz w:val="13"/>
                                </w:rPr>
                                <w:tab/>
                                <w:t>the</w:t>
                              </w:r>
                              <w:r>
                                <w:rPr>
                                  <w:b/>
                                  <w:sz w:val="13"/>
                                </w:rPr>
                                <w:tab/>
                                <w:t>Introduction</w:t>
                              </w:r>
                              <w:r>
                                <w:rPr>
                                  <w:b/>
                                  <w:sz w:val="13"/>
                                </w:rPr>
                                <w:tab/>
                                <w:t>of</w:t>
                              </w:r>
                              <w:r>
                                <w:rPr>
                                  <w:b/>
                                  <w:sz w:val="13"/>
                                </w:rPr>
                                <w:tab/>
                                <w:t>the</w:t>
                              </w:r>
                              <w:r>
                                <w:rPr>
                                  <w:b/>
                                  <w:sz w:val="13"/>
                                </w:rPr>
                                <w:tab/>
                                <w:t>FTT</w:t>
                              </w:r>
                              <w:r>
                                <w:rPr>
                                  <w:b/>
                                  <w:sz w:val="13"/>
                                </w:rPr>
                                <w:tab/>
                                <w:t>for</w:t>
                              </w:r>
                              <w:r>
                                <w:rPr>
                                  <w:b/>
                                  <w:sz w:val="13"/>
                                </w:rPr>
                                <w:tab/>
                                <w:t>a</w:t>
                              </w:r>
                              <w:r>
                                <w:rPr>
                                  <w:b/>
                                  <w:sz w:val="13"/>
                                </w:rPr>
                                <w:tab/>
                                <w:t>firm</w:t>
                              </w:r>
                              <w:r>
                                <w:rPr>
                                  <w:b/>
                                  <w:sz w:val="13"/>
                                </w:rPr>
                                <w:tab/>
                                <w:t>funded</w:t>
                              </w:r>
                              <w:r>
                                <w:rPr>
                                  <w:b/>
                                  <w:sz w:val="13"/>
                                </w:rPr>
                                <w:tab/>
                                <w:t>through</w:t>
                              </w:r>
                              <w:r>
                                <w:rPr>
                                  <w:b/>
                                  <w:sz w:val="13"/>
                                </w:rPr>
                                <w:tab/>
                                <w:t>fixed</w:t>
                              </w:r>
                              <w:r>
                                <w:rPr>
                                  <w:b/>
                                  <w:sz w:val="13"/>
                                </w:rPr>
                                <w:tab/>
                                <w:t>term</w:t>
                              </w:r>
                              <w:r>
                                <w:rPr>
                                  <w:b/>
                                  <w:sz w:val="13"/>
                                </w:rPr>
                                <w:tab/>
                                <w:t>debt</w:t>
                              </w:r>
                              <w:r>
                                <w:rPr>
                                  <w:b/>
                                  <w:sz w:val="13"/>
                                </w:rPr>
                                <w:tab/>
                              </w:r>
                            </w:p>
                          </w:txbxContent>
                        </wps:txbx>
                        <wps:bodyPr horzOverflow="overflow" vert="horz" lIns="0" tIns="0" rIns="0" bIns="0" rtlCol="0">
                          <a:noAutofit/>
                        </wps:bodyPr>
                      </wps:wsp>
                      <wps:wsp>
                        <wps:cNvPr id="21436" name="Rectangle 21436"/>
                        <wps:cNvSpPr/>
                        <wps:spPr>
                          <a:xfrm>
                            <a:off x="974068" y="132349"/>
                            <a:ext cx="4554073" cy="138010"/>
                          </a:xfrm>
                          <a:prstGeom prst="rect">
                            <a:avLst/>
                          </a:prstGeom>
                          <a:ln>
                            <a:noFill/>
                          </a:ln>
                        </wps:spPr>
                        <wps:txbx>
                          <w:txbxContent>
                            <w:p w:rsidR="00EE13F6" w:rsidRDefault="002E5BC4">
                              <w:r>
                                <w:rPr>
                                  <w:b/>
                                  <w:sz w:val="13"/>
                                </w:rPr>
                                <w:t>maturity</w:t>
                              </w:r>
                              <w:r>
                                <w:rPr>
                                  <w:b/>
                                  <w:sz w:val="13"/>
                                </w:rPr>
                                <w:tab/>
                                <w:t>and</w:t>
                              </w:r>
                              <w:r>
                                <w:rPr>
                                  <w:b/>
                                  <w:sz w:val="13"/>
                                </w:rPr>
                                <w:tab/>
                                <w:t>equity(T=5</w:t>
                              </w:r>
                              <w:r>
                                <w:rPr>
                                  <w:b/>
                                  <w:sz w:val="13"/>
                                </w:rPr>
                                <w:tab/>
                                <w:t>years;ROA=3%;r=1%;sigma=20%;Tax</w:t>
                              </w:r>
                              <w:r>
                                <w:rPr>
                                  <w:b/>
                                  <w:sz w:val="13"/>
                                </w:rPr>
                                <w:tab/>
                                <w:t>rate=35%;FTT</w:t>
                              </w:r>
                              <w:r>
                                <w:rPr>
                                  <w:b/>
                                  <w:sz w:val="13"/>
                                </w:rPr>
                                <w:tab/>
                                <w:t>roundtrip</w:t>
                              </w:r>
                              <w:r>
                                <w:rPr>
                                  <w:b/>
                                  <w:sz w:val="13"/>
                                </w:rPr>
                                <w:tab/>
                                <w:t>rate=0,2%)</w:t>
                              </w:r>
                            </w:p>
                          </w:txbxContent>
                        </wps:txbx>
                        <wps:bodyPr horzOverflow="overflow" vert="horz" lIns="0" tIns="0" rIns="0" bIns="0" rtlCol="0">
                          <a:noAutofit/>
                        </wps:bodyPr>
                      </wps:wsp>
                      <wps:wsp>
                        <wps:cNvPr id="21437" name="Rectangle 21437"/>
                        <wps:cNvSpPr/>
                        <wps:spPr>
                          <a:xfrm>
                            <a:off x="2212295" y="2886435"/>
                            <a:ext cx="712726" cy="138010"/>
                          </a:xfrm>
                          <a:prstGeom prst="rect">
                            <a:avLst/>
                          </a:prstGeom>
                          <a:ln>
                            <a:noFill/>
                          </a:ln>
                        </wps:spPr>
                        <wps:txbx>
                          <w:txbxContent>
                            <w:p w:rsidR="00EE13F6" w:rsidRDefault="002E5BC4">
                              <w:r>
                                <w:rPr>
                                  <w:b/>
                                  <w:sz w:val="13"/>
                                </w:rPr>
                                <w:t>Firm's</w:t>
                              </w:r>
                              <w:r>
                                <w:rPr>
                                  <w:b/>
                                  <w:sz w:val="13"/>
                                </w:rPr>
                                <w:tab/>
                                <w:t>leverage</w:t>
                              </w:r>
                            </w:p>
                          </w:txbxContent>
                        </wps:txbx>
                        <wps:bodyPr horzOverflow="overflow" vert="horz" lIns="0" tIns="0" rIns="0" bIns="0" rtlCol="0">
                          <a:noAutofit/>
                        </wps:bodyPr>
                      </wps:wsp>
                      <wps:wsp>
                        <wps:cNvPr id="21439" name="Rectangle 21439"/>
                        <wps:cNvSpPr/>
                        <wps:spPr>
                          <a:xfrm>
                            <a:off x="1987396" y="4638568"/>
                            <a:ext cx="83774" cy="137109"/>
                          </a:xfrm>
                          <a:prstGeom prst="rect">
                            <a:avLst/>
                          </a:prstGeom>
                          <a:ln>
                            <a:noFill/>
                          </a:ln>
                        </wps:spPr>
                        <wps:txbx>
                          <w:txbxContent>
                            <w:p w:rsidR="00EE13F6" w:rsidRDefault="002E5BC4">
                              <w:r>
                                <w:rPr>
                                  <w:rFonts w:ascii="Arial" w:eastAsia="Arial" w:hAnsi="Arial" w:cs="Arial"/>
                                  <w:b/>
                                  <w:sz w:val="16"/>
                                </w:rPr>
                                <w:t>F</w:t>
                              </w:r>
                            </w:p>
                          </w:txbxContent>
                        </wps:txbx>
                        <wps:bodyPr horzOverflow="overflow" vert="horz" lIns="0" tIns="0" rIns="0" bIns="0" rtlCol="0">
                          <a:noAutofit/>
                        </wps:bodyPr>
                      </wps:wsp>
                      <wps:wsp>
                        <wps:cNvPr id="21440" name="Rectangle 21440"/>
                        <wps:cNvSpPr/>
                        <wps:spPr>
                          <a:xfrm>
                            <a:off x="2050368" y="4638568"/>
                            <a:ext cx="38116" cy="137109"/>
                          </a:xfrm>
                          <a:prstGeom prst="rect">
                            <a:avLst/>
                          </a:prstGeom>
                          <a:ln>
                            <a:noFill/>
                          </a:ln>
                        </wps:spPr>
                        <wps:txbx>
                          <w:txbxContent>
                            <w:p w:rsidR="00EE13F6" w:rsidRDefault="002E5BC4">
                              <w:r>
                                <w:rPr>
                                  <w:rFonts w:ascii="Arial" w:eastAsia="Arial" w:hAnsi="Arial" w:cs="Arial"/>
                                  <w:b/>
                                  <w:sz w:val="16"/>
                                </w:rPr>
                                <w:t>i</w:t>
                              </w:r>
                            </w:p>
                          </w:txbxContent>
                        </wps:txbx>
                        <wps:bodyPr horzOverflow="overflow" vert="horz" lIns="0" tIns="0" rIns="0" bIns="0" rtlCol="0">
                          <a:noAutofit/>
                        </wps:bodyPr>
                      </wps:wsp>
                      <wps:wsp>
                        <wps:cNvPr id="21441" name="Rectangle 21441"/>
                        <wps:cNvSpPr/>
                        <wps:spPr>
                          <a:xfrm>
                            <a:off x="2079009" y="4638568"/>
                            <a:ext cx="83774" cy="137109"/>
                          </a:xfrm>
                          <a:prstGeom prst="rect">
                            <a:avLst/>
                          </a:prstGeom>
                          <a:ln>
                            <a:noFill/>
                          </a:ln>
                        </wps:spPr>
                        <wps:txbx>
                          <w:txbxContent>
                            <w:p w:rsidR="00EE13F6" w:rsidRDefault="002E5BC4">
                              <w:r>
                                <w:rPr>
                                  <w:rFonts w:ascii="Arial" w:eastAsia="Arial" w:hAnsi="Arial" w:cs="Arial"/>
                                  <w:b/>
                                  <w:sz w:val="16"/>
                                </w:rPr>
                                <w:t>g</w:t>
                              </w:r>
                            </w:p>
                          </w:txbxContent>
                        </wps:txbx>
                        <wps:bodyPr horzOverflow="overflow" vert="horz" lIns="0" tIns="0" rIns="0" bIns="0" rtlCol="0">
                          <a:noAutofit/>
                        </wps:bodyPr>
                      </wps:wsp>
                      <wps:wsp>
                        <wps:cNvPr id="21442" name="Rectangle 21442"/>
                        <wps:cNvSpPr/>
                        <wps:spPr>
                          <a:xfrm>
                            <a:off x="2141980" y="4638568"/>
                            <a:ext cx="38116" cy="137109"/>
                          </a:xfrm>
                          <a:prstGeom prst="rect">
                            <a:avLst/>
                          </a:prstGeom>
                          <a:ln>
                            <a:noFill/>
                          </a:ln>
                        </wps:spPr>
                        <wps:txbx>
                          <w:txbxContent>
                            <w:p w:rsidR="00EE13F6" w:rsidRDefault="002E5BC4">
                              <w:r>
                                <w:rPr>
                                  <w:rFonts w:ascii="Arial" w:eastAsia="Arial" w:hAnsi="Arial" w:cs="Arial"/>
                                  <w:b/>
                                  <w:sz w:val="16"/>
                                </w:rPr>
                                <w:t>.</w:t>
                              </w:r>
                            </w:p>
                          </w:txbxContent>
                        </wps:txbx>
                        <wps:bodyPr horzOverflow="overflow" vert="horz" lIns="0" tIns="0" rIns="0" bIns="0" rtlCol="0">
                          <a:noAutofit/>
                        </wps:bodyPr>
                      </wps:wsp>
                      <wps:wsp>
                        <wps:cNvPr id="21443" name="Rectangle 21443"/>
                        <wps:cNvSpPr/>
                        <wps:spPr>
                          <a:xfrm>
                            <a:off x="2170622" y="4638568"/>
                            <a:ext cx="76233" cy="137109"/>
                          </a:xfrm>
                          <a:prstGeom prst="rect">
                            <a:avLst/>
                          </a:prstGeom>
                          <a:ln>
                            <a:noFill/>
                          </a:ln>
                        </wps:spPr>
                        <wps:txbx>
                          <w:txbxContent>
                            <w:p w:rsidR="00EE13F6" w:rsidRDefault="002E5BC4">
                              <w:r>
                                <w:rPr>
                                  <w:rFonts w:ascii="Arial" w:eastAsia="Arial" w:hAnsi="Arial" w:cs="Arial"/>
                                  <w:b/>
                                  <w:sz w:val="16"/>
                                </w:rPr>
                                <w:t>9</w:t>
                              </w:r>
                            </w:p>
                          </w:txbxContent>
                        </wps:txbx>
                        <wps:bodyPr horzOverflow="overflow" vert="horz" lIns="0" tIns="0" rIns="0" bIns="0" rtlCol="0">
                          <a:noAutofit/>
                        </wps:bodyPr>
                      </wps:wsp>
                      <wps:wsp>
                        <wps:cNvPr id="21447" name="Shape 21447"/>
                        <wps:cNvSpPr/>
                        <wps:spPr>
                          <a:xfrm>
                            <a:off x="284648" y="6214314"/>
                            <a:ext cx="4531903" cy="0"/>
                          </a:xfrm>
                          <a:custGeom>
                            <a:avLst/>
                            <a:gdLst/>
                            <a:ahLst/>
                            <a:cxnLst/>
                            <a:rect l="0" t="0" r="0" b="0"/>
                            <a:pathLst>
                              <a:path w="4531903">
                                <a:moveTo>
                                  <a:pt x="0" y="0"/>
                                </a:moveTo>
                                <a:lnTo>
                                  <a:pt x="4531903" y="0"/>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48" name="Shape 21448"/>
                        <wps:cNvSpPr/>
                        <wps:spPr>
                          <a:xfrm>
                            <a:off x="284648" y="5777708"/>
                            <a:ext cx="4531903" cy="0"/>
                          </a:xfrm>
                          <a:custGeom>
                            <a:avLst/>
                            <a:gdLst/>
                            <a:ahLst/>
                            <a:cxnLst/>
                            <a:rect l="0" t="0" r="0" b="0"/>
                            <a:pathLst>
                              <a:path w="4531903">
                                <a:moveTo>
                                  <a:pt x="0" y="0"/>
                                </a:moveTo>
                                <a:lnTo>
                                  <a:pt x="4531903" y="0"/>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49" name="Shape 21449"/>
                        <wps:cNvSpPr/>
                        <wps:spPr>
                          <a:xfrm>
                            <a:off x="284648" y="5347250"/>
                            <a:ext cx="4531903" cy="0"/>
                          </a:xfrm>
                          <a:custGeom>
                            <a:avLst/>
                            <a:gdLst/>
                            <a:ahLst/>
                            <a:cxnLst/>
                            <a:rect l="0" t="0" r="0" b="0"/>
                            <a:pathLst>
                              <a:path w="4531903">
                                <a:moveTo>
                                  <a:pt x="0" y="0"/>
                                </a:moveTo>
                                <a:lnTo>
                                  <a:pt x="4531903" y="0"/>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50" name="Shape 21450"/>
                        <wps:cNvSpPr/>
                        <wps:spPr>
                          <a:xfrm>
                            <a:off x="284648" y="4910644"/>
                            <a:ext cx="4531903" cy="0"/>
                          </a:xfrm>
                          <a:custGeom>
                            <a:avLst/>
                            <a:gdLst/>
                            <a:ahLst/>
                            <a:cxnLst/>
                            <a:rect l="0" t="0" r="0" b="0"/>
                            <a:pathLst>
                              <a:path w="4531903">
                                <a:moveTo>
                                  <a:pt x="0" y="0"/>
                                </a:moveTo>
                                <a:lnTo>
                                  <a:pt x="4531903" y="0"/>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51" name="Shape 21451"/>
                        <wps:cNvSpPr/>
                        <wps:spPr>
                          <a:xfrm>
                            <a:off x="284648" y="4480186"/>
                            <a:ext cx="4531903" cy="0"/>
                          </a:xfrm>
                          <a:custGeom>
                            <a:avLst/>
                            <a:gdLst/>
                            <a:ahLst/>
                            <a:cxnLst/>
                            <a:rect l="0" t="0" r="0" b="0"/>
                            <a:pathLst>
                              <a:path w="4531903">
                                <a:moveTo>
                                  <a:pt x="0" y="0"/>
                                </a:moveTo>
                                <a:lnTo>
                                  <a:pt x="4531903" y="0"/>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52" name="Shape 21452"/>
                        <wps:cNvSpPr/>
                        <wps:spPr>
                          <a:xfrm>
                            <a:off x="741584" y="4043580"/>
                            <a:ext cx="0" cy="2170735"/>
                          </a:xfrm>
                          <a:custGeom>
                            <a:avLst/>
                            <a:gdLst/>
                            <a:ahLst/>
                            <a:cxnLst/>
                            <a:rect l="0" t="0" r="0" b="0"/>
                            <a:pathLst>
                              <a:path h="2170735">
                                <a:moveTo>
                                  <a:pt x="0" y="0"/>
                                </a:moveTo>
                                <a:lnTo>
                                  <a:pt x="0" y="2170735"/>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53" name="Shape 21453"/>
                        <wps:cNvSpPr/>
                        <wps:spPr>
                          <a:xfrm>
                            <a:off x="1191029" y="4043580"/>
                            <a:ext cx="0" cy="2170735"/>
                          </a:xfrm>
                          <a:custGeom>
                            <a:avLst/>
                            <a:gdLst/>
                            <a:ahLst/>
                            <a:cxnLst/>
                            <a:rect l="0" t="0" r="0" b="0"/>
                            <a:pathLst>
                              <a:path h="2170735">
                                <a:moveTo>
                                  <a:pt x="0" y="0"/>
                                </a:moveTo>
                                <a:lnTo>
                                  <a:pt x="0" y="2170735"/>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54" name="Shape 21454"/>
                        <wps:cNvSpPr/>
                        <wps:spPr>
                          <a:xfrm>
                            <a:off x="1640474" y="4043580"/>
                            <a:ext cx="0" cy="2170735"/>
                          </a:xfrm>
                          <a:custGeom>
                            <a:avLst/>
                            <a:gdLst/>
                            <a:ahLst/>
                            <a:cxnLst/>
                            <a:rect l="0" t="0" r="0" b="0"/>
                            <a:pathLst>
                              <a:path h="2170735">
                                <a:moveTo>
                                  <a:pt x="0" y="0"/>
                                </a:moveTo>
                                <a:lnTo>
                                  <a:pt x="0" y="2170735"/>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55" name="Shape 21455"/>
                        <wps:cNvSpPr/>
                        <wps:spPr>
                          <a:xfrm>
                            <a:off x="2097410" y="4043580"/>
                            <a:ext cx="0" cy="2170735"/>
                          </a:xfrm>
                          <a:custGeom>
                            <a:avLst/>
                            <a:gdLst/>
                            <a:ahLst/>
                            <a:cxnLst/>
                            <a:rect l="0" t="0" r="0" b="0"/>
                            <a:pathLst>
                              <a:path h="2170735">
                                <a:moveTo>
                                  <a:pt x="0" y="0"/>
                                </a:moveTo>
                                <a:lnTo>
                                  <a:pt x="0" y="2170735"/>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56" name="Shape 21456"/>
                        <wps:cNvSpPr/>
                        <wps:spPr>
                          <a:xfrm>
                            <a:off x="2546854" y="4043580"/>
                            <a:ext cx="0" cy="2170735"/>
                          </a:xfrm>
                          <a:custGeom>
                            <a:avLst/>
                            <a:gdLst/>
                            <a:ahLst/>
                            <a:cxnLst/>
                            <a:rect l="0" t="0" r="0" b="0"/>
                            <a:pathLst>
                              <a:path h="2170735">
                                <a:moveTo>
                                  <a:pt x="0" y="0"/>
                                </a:moveTo>
                                <a:lnTo>
                                  <a:pt x="0" y="2170735"/>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57" name="Shape 21457"/>
                        <wps:cNvSpPr/>
                        <wps:spPr>
                          <a:xfrm>
                            <a:off x="3003790" y="4043580"/>
                            <a:ext cx="0" cy="2170735"/>
                          </a:xfrm>
                          <a:custGeom>
                            <a:avLst/>
                            <a:gdLst/>
                            <a:ahLst/>
                            <a:cxnLst/>
                            <a:rect l="0" t="0" r="0" b="0"/>
                            <a:pathLst>
                              <a:path h="2170735">
                                <a:moveTo>
                                  <a:pt x="0" y="0"/>
                                </a:moveTo>
                                <a:lnTo>
                                  <a:pt x="0" y="2170735"/>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58" name="Shape 21458"/>
                        <wps:cNvSpPr/>
                        <wps:spPr>
                          <a:xfrm>
                            <a:off x="3453235" y="4043580"/>
                            <a:ext cx="0" cy="2170735"/>
                          </a:xfrm>
                          <a:custGeom>
                            <a:avLst/>
                            <a:gdLst/>
                            <a:ahLst/>
                            <a:cxnLst/>
                            <a:rect l="0" t="0" r="0" b="0"/>
                            <a:pathLst>
                              <a:path h="2170735">
                                <a:moveTo>
                                  <a:pt x="0" y="0"/>
                                </a:moveTo>
                                <a:lnTo>
                                  <a:pt x="0" y="2170735"/>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59" name="Shape 21459"/>
                        <wps:cNvSpPr/>
                        <wps:spPr>
                          <a:xfrm>
                            <a:off x="3910170" y="4043580"/>
                            <a:ext cx="0" cy="2170735"/>
                          </a:xfrm>
                          <a:custGeom>
                            <a:avLst/>
                            <a:gdLst/>
                            <a:ahLst/>
                            <a:cxnLst/>
                            <a:rect l="0" t="0" r="0" b="0"/>
                            <a:pathLst>
                              <a:path h="2170735">
                                <a:moveTo>
                                  <a:pt x="0" y="0"/>
                                </a:moveTo>
                                <a:lnTo>
                                  <a:pt x="0" y="2170735"/>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60" name="Shape 21460"/>
                        <wps:cNvSpPr/>
                        <wps:spPr>
                          <a:xfrm>
                            <a:off x="4359616" y="4043580"/>
                            <a:ext cx="0" cy="2170735"/>
                          </a:xfrm>
                          <a:custGeom>
                            <a:avLst/>
                            <a:gdLst/>
                            <a:ahLst/>
                            <a:cxnLst/>
                            <a:rect l="0" t="0" r="0" b="0"/>
                            <a:pathLst>
                              <a:path h="2170735">
                                <a:moveTo>
                                  <a:pt x="0" y="0"/>
                                </a:moveTo>
                                <a:lnTo>
                                  <a:pt x="0" y="2170735"/>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61" name="Shape 21461"/>
                        <wps:cNvSpPr/>
                        <wps:spPr>
                          <a:xfrm>
                            <a:off x="4816552" y="4043580"/>
                            <a:ext cx="0" cy="2170735"/>
                          </a:xfrm>
                          <a:custGeom>
                            <a:avLst/>
                            <a:gdLst/>
                            <a:ahLst/>
                            <a:cxnLst/>
                            <a:rect l="0" t="0" r="0" b="0"/>
                            <a:pathLst>
                              <a:path h="2170735">
                                <a:moveTo>
                                  <a:pt x="0" y="0"/>
                                </a:moveTo>
                                <a:lnTo>
                                  <a:pt x="0" y="2170735"/>
                                </a:lnTo>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462" name="Shape 21462"/>
                        <wps:cNvSpPr/>
                        <wps:spPr>
                          <a:xfrm>
                            <a:off x="284648" y="4043580"/>
                            <a:ext cx="1" cy="2170735"/>
                          </a:xfrm>
                          <a:custGeom>
                            <a:avLst/>
                            <a:gdLst/>
                            <a:ahLst/>
                            <a:cxnLst/>
                            <a:rect l="0" t="0" r="0" b="0"/>
                            <a:pathLst>
                              <a:path w="1" h="2170735">
                                <a:moveTo>
                                  <a:pt x="0" y="2170735"/>
                                </a:moveTo>
                                <a:lnTo>
                                  <a:pt x="1" y="0"/>
                                </a:lnTo>
                              </a:path>
                            </a:pathLst>
                          </a:custGeom>
                          <a:ln w="6149" cap="flat">
                            <a:round/>
                          </a:ln>
                        </wps:spPr>
                        <wps:style>
                          <a:lnRef idx="1">
                            <a:srgbClr val="BFBFBF"/>
                          </a:lnRef>
                          <a:fillRef idx="0">
                            <a:srgbClr val="000000">
                              <a:alpha val="0"/>
                            </a:srgbClr>
                          </a:fillRef>
                          <a:effectRef idx="0">
                            <a:scrgbClr r="0" g="0" b="0"/>
                          </a:effectRef>
                          <a:fontRef idx="none"/>
                        </wps:style>
                        <wps:bodyPr/>
                      </wps:wsp>
                      <wps:wsp>
                        <wps:cNvPr id="21463" name="Shape 21463"/>
                        <wps:cNvSpPr/>
                        <wps:spPr>
                          <a:xfrm>
                            <a:off x="284648" y="4043580"/>
                            <a:ext cx="4531903" cy="0"/>
                          </a:xfrm>
                          <a:custGeom>
                            <a:avLst/>
                            <a:gdLst/>
                            <a:ahLst/>
                            <a:cxnLst/>
                            <a:rect l="0" t="0" r="0" b="0"/>
                            <a:pathLst>
                              <a:path w="4531903">
                                <a:moveTo>
                                  <a:pt x="0" y="0"/>
                                </a:moveTo>
                                <a:lnTo>
                                  <a:pt x="4531903" y="0"/>
                                </a:lnTo>
                              </a:path>
                            </a:pathLst>
                          </a:custGeom>
                          <a:ln w="6149" cap="flat">
                            <a:round/>
                          </a:ln>
                        </wps:spPr>
                        <wps:style>
                          <a:lnRef idx="1">
                            <a:srgbClr val="BFBFBF"/>
                          </a:lnRef>
                          <a:fillRef idx="0">
                            <a:srgbClr val="000000">
                              <a:alpha val="0"/>
                            </a:srgbClr>
                          </a:fillRef>
                          <a:effectRef idx="0">
                            <a:scrgbClr r="0" g="0" b="0"/>
                          </a:effectRef>
                          <a:fontRef idx="none"/>
                        </wps:style>
                        <wps:bodyPr/>
                      </wps:wsp>
                      <wps:wsp>
                        <wps:cNvPr id="21465" name="Shape 21465"/>
                        <wps:cNvSpPr/>
                        <wps:spPr>
                          <a:xfrm>
                            <a:off x="513116" y="4108148"/>
                            <a:ext cx="4074967" cy="1654186"/>
                          </a:xfrm>
                          <a:custGeom>
                            <a:avLst/>
                            <a:gdLst/>
                            <a:ahLst/>
                            <a:cxnLst/>
                            <a:rect l="0" t="0" r="0" b="0"/>
                            <a:pathLst>
                              <a:path w="4074967" h="1654186">
                                <a:moveTo>
                                  <a:pt x="0" y="0"/>
                                </a:moveTo>
                                <a:lnTo>
                                  <a:pt x="449445" y="36896"/>
                                </a:lnTo>
                                <a:lnTo>
                                  <a:pt x="906381" y="67643"/>
                                </a:lnTo>
                                <a:lnTo>
                                  <a:pt x="1355825" y="55345"/>
                                </a:lnTo>
                                <a:lnTo>
                                  <a:pt x="1812761" y="215229"/>
                                </a:lnTo>
                                <a:lnTo>
                                  <a:pt x="2262206" y="344366"/>
                                </a:lnTo>
                                <a:lnTo>
                                  <a:pt x="2711651" y="448906"/>
                                </a:lnTo>
                                <a:lnTo>
                                  <a:pt x="3168587" y="614939"/>
                                </a:lnTo>
                                <a:lnTo>
                                  <a:pt x="3618032" y="903960"/>
                                </a:lnTo>
                                <a:lnTo>
                                  <a:pt x="4074967" y="1654186"/>
                                </a:lnTo>
                              </a:path>
                            </a:pathLst>
                          </a:custGeom>
                          <a:ln w="12299" cap="rnd">
                            <a:round/>
                          </a:ln>
                        </wps:spPr>
                        <wps:style>
                          <a:lnRef idx="1">
                            <a:srgbClr val="5E5E5E"/>
                          </a:lnRef>
                          <a:fillRef idx="0">
                            <a:srgbClr val="000000">
                              <a:alpha val="0"/>
                            </a:srgbClr>
                          </a:fillRef>
                          <a:effectRef idx="0">
                            <a:scrgbClr r="0" g="0" b="0"/>
                          </a:effectRef>
                          <a:fontRef idx="none"/>
                        </wps:style>
                        <wps:bodyPr/>
                      </wps:wsp>
                      <wps:wsp>
                        <wps:cNvPr id="21467" name="Shape 21467"/>
                        <wps:cNvSpPr/>
                        <wps:spPr>
                          <a:xfrm>
                            <a:off x="513116" y="4120447"/>
                            <a:ext cx="4074967" cy="1402061"/>
                          </a:xfrm>
                          <a:custGeom>
                            <a:avLst/>
                            <a:gdLst/>
                            <a:ahLst/>
                            <a:cxnLst/>
                            <a:rect l="0" t="0" r="0" b="0"/>
                            <a:pathLst>
                              <a:path w="4074967" h="1402061">
                                <a:moveTo>
                                  <a:pt x="0" y="0"/>
                                </a:moveTo>
                                <a:lnTo>
                                  <a:pt x="449445" y="36896"/>
                                </a:lnTo>
                                <a:lnTo>
                                  <a:pt x="906381" y="73793"/>
                                </a:lnTo>
                                <a:lnTo>
                                  <a:pt x="1355825" y="73793"/>
                                </a:lnTo>
                                <a:lnTo>
                                  <a:pt x="1812761" y="233677"/>
                                </a:lnTo>
                                <a:lnTo>
                                  <a:pt x="2262206" y="368964"/>
                                </a:lnTo>
                                <a:lnTo>
                                  <a:pt x="2711651" y="473503"/>
                                </a:lnTo>
                                <a:lnTo>
                                  <a:pt x="3168587" y="621088"/>
                                </a:lnTo>
                                <a:lnTo>
                                  <a:pt x="3618032" y="873213"/>
                                </a:lnTo>
                                <a:lnTo>
                                  <a:pt x="4074967" y="1402061"/>
                                </a:lnTo>
                              </a:path>
                            </a:pathLst>
                          </a:custGeom>
                          <a:ln w="12299" cap="rnd">
                            <a:round/>
                          </a:ln>
                        </wps:spPr>
                        <wps:style>
                          <a:lnRef idx="1">
                            <a:srgbClr val="B3B3B3"/>
                          </a:lnRef>
                          <a:fillRef idx="0">
                            <a:srgbClr val="000000">
                              <a:alpha val="0"/>
                            </a:srgbClr>
                          </a:fillRef>
                          <a:effectRef idx="0">
                            <a:scrgbClr r="0" g="0" b="0"/>
                          </a:effectRef>
                          <a:fontRef idx="none"/>
                        </wps:style>
                        <wps:bodyPr/>
                      </wps:wsp>
                      <wps:wsp>
                        <wps:cNvPr id="21469" name="Shape 21469"/>
                        <wps:cNvSpPr/>
                        <wps:spPr>
                          <a:xfrm>
                            <a:off x="513116" y="4046654"/>
                            <a:ext cx="4074967" cy="1340567"/>
                          </a:xfrm>
                          <a:custGeom>
                            <a:avLst/>
                            <a:gdLst/>
                            <a:ahLst/>
                            <a:cxnLst/>
                            <a:rect l="0" t="0" r="0" b="0"/>
                            <a:pathLst>
                              <a:path w="4074967" h="1340567">
                                <a:moveTo>
                                  <a:pt x="0" y="0"/>
                                </a:moveTo>
                                <a:lnTo>
                                  <a:pt x="449445" y="122988"/>
                                </a:lnTo>
                                <a:lnTo>
                                  <a:pt x="906381" y="166034"/>
                                </a:lnTo>
                                <a:lnTo>
                                  <a:pt x="1355825" y="245976"/>
                                </a:lnTo>
                                <a:lnTo>
                                  <a:pt x="1812761" y="338217"/>
                                </a:lnTo>
                                <a:lnTo>
                                  <a:pt x="2262206" y="467354"/>
                                </a:lnTo>
                                <a:lnTo>
                                  <a:pt x="2711651" y="571893"/>
                                </a:lnTo>
                                <a:lnTo>
                                  <a:pt x="3168587" y="713329"/>
                                </a:lnTo>
                                <a:lnTo>
                                  <a:pt x="3618032" y="934707"/>
                                </a:lnTo>
                                <a:lnTo>
                                  <a:pt x="4074967" y="1340567"/>
                                </a:lnTo>
                              </a:path>
                            </a:pathLst>
                          </a:custGeom>
                          <a:ln w="12299" cap="rnd">
                            <a:round/>
                          </a:ln>
                        </wps:spPr>
                        <wps:style>
                          <a:lnRef idx="1">
                            <a:srgbClr val="898989"/>
                          </a:lnRef>
                          <a:fillRef idx="0">
                            <a:srgbClr val="000000">
                              <a:alpha val="0"/>
                            </a:srgbClr>
                          </a:fillRef>
                          <a:effectRef idx="0">
                            <a:scrgbClr r="0" g="0" b="0"/>
                          </a:effectRef>
                          <a:fontRef idx="none"/>
                        </wps:style>
                        <wps:bodyPr/>
                      </wps:wsp>
                      <wps:wsp>
                        <wps:cNvPr id="21471" name="Shape 21471"/>
                        <wps:cNvSpPr/>
                        <wps:spPr>
                          <a:xfrm>
                            <a:off x="513116" y="4138894"/>
                            <a:ext cx="4074967" cy="1168384"/>
                          </a:xfrm>
                          <a:custGeom>
                            <a:avLst/>
                            <a:gdLst/>
                            <a:ahLst/>
                            <a:cxnLst/>
                            <a:rect l="0" t="0" r="0" b="0"/>
                            <a:pathLst>
                              <a:path w="4074967" h="1168384">
                                <a:moveTo>
                                  <a:pt x="0" y="0"/>
                                </a:moveTo>
                                <a:lnTo>
                                  <a:pt x="449445" y="49195"/>
                                </a:lnTo>
                                <a:lnTo>
                                  <a:pt x="906381" y="92241"/>
                                </a:lnTo>
                                <a:lnTo>
                                  <a:pt x="1355825" y="104540"/>
                                </a:lnTo>
                                <a:lnTo>
                                  <a:pt x="1812761" y="264424"/>
                                </a:lnTo>
                                <a:lnTo>
                                  <a:pt x="2262206" y="399711"/>
                                </a:lnTo>
                                <a:lnTo>
                                  <a:pt x="2711651" y="498101"/>
                                </a:lnTo>
                                <a:lnTo>
                                  <a:pt x="3168587" y="639537"/>
                                </a:lnTo>
                                <a:lnTo>
                                  <a:pt x="3618032" y="830168"/>
                                </a:lnTo>
                                <a:lnTo>
                                  <a:pt x="4074967" y="1168384"/>
                                </a:lnTo>
                              </a:path>
                            </a:pathLst>
                          </a:custGeom>
                          <a:ln w="12299" cap="rnd">
                            <a:round/>
                          </a:ln>
                        </wps:spPr>
                        <wps:style>
                          <a:lnRef idx="1">
                            <a:srgbClr val="212121"/>
                          </a:lnRef>
                          <a:fillRef idx="0">
                            <a:srgbClr val="000000">
                              <a:alpha val="0"/>
                            </a:srgbClr>
                          </a:fillRef>
                          <a:effectRef idx="0">
                            <a:scrgbClr r="0" g="0" b="0"/>
                          </a:effectRef>
                          <a:fontRef idx="none"/>
                        </wps:style>
                        <wps:bodyPr/>
                      </wps:wsp>
                      <wps:wsp>
                        <wps:cNvPr id="21473" name="Shape 21473"/>
                        <wps:cNvSpPr/>
                        <wps:spPr>
                          <a:xfrm>
                            <a:off x="513116" y="4046654"/>
                            <a:ext cx="4074967" cy="1199131"/>
                          </a:xfrm>
                          <a:custGeom>
                            <a:avLst/>
                            <a:gdLst/>
                            <a:ahLst/>
                            <a:cxnLst/>
                            <a:rect l="0" t="0" r="0" b="0"/>
                            <a:pathLst>
                              <a:path w="4074967" h="1199131">
                                <a:moveTo>
                                  <a:pt x="0" y="0"/>
                                </a:moveTo>
                                <a:lnTo>
                                  <a:pt x="449445" y="153735"/>
                                </a:lnTo>
                                <a:lnTo>
                                  <a:pt x="906381" y="202930"/>
                                </a:lnTo>
                                <a:lnTo>
                                  <a:pt x="1355825" y="215229"/>
                                </a:lnTo>
                                <a:lnTo>
                                  <a:pt x="1812761" y="381262"/>
                                </a:lnTo>
                                <a:lnTo>
                                  <a:pt x="2262206" y="516549"/>
                                </a:lnTo>
                                <a:lnTo>
                                  <a:pt x="2711651" y="608790"/>
                                </a:lnTo>
                                <a:lnTo>
                                  <a:pt x="3168587" y="744076"/>
                                </a:lnTo>
                                <a:lnTo>
                                  <a:pt x="3618032" y="916259"/>
                                </a:lnTo>
                                <a:lnTo>
                                  <a:pt x="4074967" y="1199131"/>
                                </a:lnTo>
                              </a:path>
                            </a:pathLst>
                          </a:custGeom>
                          <a:ln w="12299" cap="rnd">
                            <a:round/>
                          </a:ln>
                        </wps:spPr>
                        <wps:style>
                          <a:lnRef idx="1">
                            <a:srgbClr val="DADADA"/>
                          </a:lnRef>
                          <a:fillRef idx="0">
                            <a:srgbClr val="000000">
                              <a:alpha val="0"/>
                            </a:srgbClr>
                          </a:fillRef>
                          <a:effectRef idx="0">
                            <a:scrgbClr r="0" g="0" b="0"/>
                          </a:effectRef>
                          <a:fontRef idx="none"/>
                        </wps:style>
                        <wps:bodyPr/>
                      </wps:wsp>
                      <wps:wsp>
                        <wps:cNvPr id="21475" name="Rectangle 21475"/>
                        <wps:cNvSpPr/>
                        <wps:spPr>
                          <a:xfrm>
                            <a:off x="38353" y="6180880"/>
                            <a:ext cx="27437" cy="89853"/>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61" name="Rectangle 204961"/>
                        <wps:cNvSpPr/>
                        <wps:spPr>
                          <a:xfrm>
                            <a:off x="150745" y="6180880"/>
                            <a:ext cx="95277" cy="89853"/>
                          </a:xfrm>
                          <a:prstGeom prst="rect">
                            <a:avLst/>
                          </a:prstGeom>
                          <a:ln>
                            <a:noFill/>
                          </a:ln>
                        </wps:spPr>
                        <wps:txbx>
                          <w:txbxContent>
                            <w:p w:rsidR="00EE13F6" w:rsidRDefault="002E5BC4">
                              <w:r>
                                <w:rPr>
                                  <w:color w:val="585858"/>
                                  <w:sz w:val="9"/>
                                </w:rPr>
                                <w:t>00</w:t>
                              </w:r>
                            </w:p>
                          </w:txbxContent>
                        </wps:txbx>
                        <wps:bodyPr horzOverflow="overflow" vert="horz" lIns="0" tIns="0" rIns="0" bIns="0" rtlCol="0">
                          <a:noAutofit/>
                        </wps:bodyPr>
                      </wps:wsp>
                      <wps:wsp>
                        <wps:cNvPr id="204960" name="Rectangle 204960"/>
                        <wps:cNvSpPr/>
                        <wps:spPr>
                          <a:xfrm>
                            <a:off x="60825" y="6180880"/>
                            <a:ext cx="95277" cy="89853"/>
                          </a:xfrm>
                          <a:prstGeom prst="rect">
                            <a:avLst/>
                          </a:prstGeom>
                          <a:ln>
                            <a:noFill/>
                          </a:ln>
                        </wps:spPr>
                        <wps:txbx>
                          <w:txbxContent>
                            <w:p w:rsidR="00EE13F6" w:rsidRDefault="002E5BC4">
                              <w:r>
                                <w:rPr>
                                  <w:color w:val="585858"/>
                                  <w:sz w:val="9"/>
                                </w:rPr>
                                <w:t>25</w:t>
                              </w:r>
                            </w:p>
                          </w:txbxContent>
                        </wps:txbx>
                        <wps:bodyPr horzOverflow="overflow" vert="horz" lIns="0" tIns="0" rIns="0" bIns="0" rtlCol="0">
                          <a:noAutofit/>
                        </wps:bodyPr>
                      </wps:wsp>
                      <wps:wsp>
                        <wps:cNvPr id="204962" name="Rectangle 204962"/>
                        <wps:cNvSpPr/>
                        <wps:spPr>
                          <a:xfrm>
                            <a:off x="135738" y="6180880"/>
                            <a:ext cx="22416" cy="89853"/>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1477" name="Rectangle 21477"/>
                        <wps:cNvSpPr/>
                        <wps:spPr>
                          <a:xfrm>
                            <a:off x="38353" y="5747527"/>
                            <a:ext cx="27437" cy="89853"/>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58" name="Rectangle 204958"/>
                        <wps:cNvSpPr/>
                        <wps:spPr>
                          <a:xfrm>
                            <a:off x="150745" y="5747527"/>
                            <a:ext cx="95277" cy="89853"/>
                          </a:xfrm>
                          <a:prstGeom prst="rect">
                            <a:avLst/>
                          </a:prstGeom>
                          <a:ln>
                            <a:noFill/>
                          </a:ln>
                        </wps:spPr>
                        <wps:txbx>
                          <w:txbxContent>
                            <w:p w:rsidR="00EE13F6" w:rsidRDefault="002E5BC4">
                              <w:r>
                                <w:rPr>
                                  <w:color w:val="585858"/>
                                  <w:sz w:val="9"/>
                                </w:rPr>
                                <w:t>00</w:t>
                              </w:r>
                            </w:p>
                          </w:txbxContent>
                        </wps:txbx>
                        <wps:bodyPr horzOverflow="overflow" vert="horz" lIns="0" tIns="0" rIns="0" bIns="0" rtlCol="0">
                          <a:noAutofit/>
                        </wps:bodyPr>
                      </wps:wsp>
                      <wps:wsp>
                        <wps:cNvPr id="204959" name="Rectangle 204959"/>
                        <wps:cNvSpPr/>
                        <wps:spPr>
                          <a:xfrm>
                            <a:off x="135738" y="5747527"/>
                            <a:ext cx="22416" cy="89853"/>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57" name="Rectangle 204957"/>
                        <wps:cNvSpPr/>
                        <wps:spPr>
                          <a:xfrm>
                            <a:off x="60825" y="5747527"/>
                            <a:ext cx="95277" cy="89853"/>
                          </a:xfrm>
                          <a:prstGeom prst="rect">
                            <a:avLst/>
                          </a:prstGeom>
                          <a:ln>
                            <a:noFill/>
                          </a:ln>
                        </wps:spPr>
                        <wps:txbx>
                          <w:txbxContent>
                            <w:p w:rsidR="00EE13F6" w:rsidRDefault="002E5BC4">
                              <w:r>
                                <w:rPr>
                                  <w:color w:val="585858"/>
                                  <w:sz w:val="9"/>
                                </w:rPr>
                                <w:t>20</w:t>
                              </w:r>
                            </w:p>
                          </w:txbxContent>
                        </wps:txbx>
                        <wps:bodyPr horzOverflow="overflow" vert="horz" lIns="0" tIns="0" rIns="0" bIns="0" rtlCol="0">
                          <a:noAutofit/>
                        </wps:bodyPr>
                      </wps:wsp>
                      <wps:wsp>
                        <wps:cNvPr id="21479" name="Rectangle 21479"/>
                        <wps:cNvSpPr/>
                        <wps:spPr>
                          <a:xfrm>
                            <a:off x="38353" y="5313370"/>
                            <a:ext cx="29858" cy="81516"/>
                          </a:xfrm>
                          <a:prstGeom prst="rect">
                            <a:avLst/>
                          </a:prstGeom>
                          <a:ln>
                            <a:noFill/>
                          </a:ln>
                        </wps:spPr>
                        <wps:txbx>
                          <w:txbxContent>
                            <w:p w:rsidR="00EE13F6" w:rsidRDefault="002E5BC4">
                              <w:r>
                                <w:rPr>
                                  <w:rFonts w:ascii="Times New Roman" w:eastAsia="Times New Roman" w:hAnsi="Times New Roman" w:cs="Times New Roman"/>
                                  <w:color w:val="585858"/>
                                  <w:sz w:val="9"/>
                                </w:rPr>
                                <w:t>-</w:t>
                              </w:r>
                            </w:p>
                          </w:txbxContent>
                        </wps:txbx>
                        <wps:bodyPr horzOverflow="overflow" vert="horz" lIns="0" tIns="0" rIns="0" bIns="0" rtlCol="0">
                          <a:noAutofit/>
                        </wps:bodyPr>
                      </wps:wsp>
                      <wps:wsp>
                        <wps:cNvPr id="21480" name="Rectangle 21480"/>
                        <wps:cNvSpPr/>
                        <wps:spPr>
                          <a:xfrm>
                            <a:off x="60825" y="5313370"/>
                            <a:ext cx="44832" cy="81516"/>
                          </a:xfrm>
                          <a:prstGeom prst="rect">
                            <a:avLst/>
                          </a:prstGeom>
                          <a:ln>
                            <a:noFill/>
                          </a:ln>
                        </wps:spPr>
                        <wps:txbx>
                          <w:txbxContent>
                            <w:p w:rsidR="00EE13F6" w:rsidRDefault="002E5BC4">
                              <w:r>
                                <w:rPr>
                                  <w:rFonts w:ascii="Times New Roman" w:eastAsia="Times New Roman" w:hAnsi="Times New Roman" w:cs="Times New Roman"/>
                                  <w:color w:val="585858"/>
                                  <w:sz w:val="9"/>
                                </w:rPr>
                                <w:t>1</w:t>
                              </w:r>
                            </w:p>
                          </w:txbxContent>
                        </wps:txbx>
                        <wps:bodyPr horzOverflow="overflow" vert="horz" lIns="0" tIns="0" rIns="0" bIns="0" rtlCol="0">
                          <a:noAutofit/>
                        </wps:bodyPr>
                      </wps:wsp>
                      <wps:wsp>
                        <wps:cNvPr id="21481" name="Rectangle 21481"/>
                        <wps:cNvSpPr/>
                        <wps:spPr>
                          <a:xfrm>
                            <a:off x="98279" y="5313370"/>
                            <a:ext cx="44832" cy="81516"/>
                          </a:xfrm>
                          <a:prstGeom prst="rect">
                            <a:avLst/>
                          </a:prstGeom>
                          <a:ln>
                            <a:noFill/>
                          </a:ln>
                        </wps:spPr>
                        <wps:txbx>
                          <w:txbxContent>
                            <w:p w:rsidR="00EE13F6" w:rsidRDefault="002E5BC4">
                              <w:r>
                                <w:rPr>
                                  <w:rFonts w:ascii="Times New Roman" w:eastAsia="Times New Roman" w:hAnsi="Times New Roman" w:cs="Times New Roman"/>
                                  <w:color w:val="585858"/>
                                  <w:sz w:val="9"/>
                                </w:rPr>
                                <w:t>5</w:t>
                              </w:r>
                            </w:p>
                          </w:txbxContent>
                        </wps:txbx>
                        <wps:bodyPr horzOverflow="overflow" vert="horz" lIns="0" tIns="0" rIns="0" bIns="0" rtlCol="0">
                          <a:noAutofit/>
                        </wps:bodyPr>
                      </wps:wsp>
                      <wps:wsp>
                        <wps:cNvPr id="21482" name="Rectangle 21482"/>
                        <wps:cNvSpPr/>
                        <wps:spPr>
                          <a:xfrm>
                            <a:off x="135733" y="5313370"/>
                            <a:ext cx="22416" cy="81516"/>
                          </a:xfrm>
                          <a:prstGeom prst="rect">
                            <a:avLst/>
                          </a:prstGeom>
                          <a:ln>
                            <a:noFill/>
                          </a:ln>
                        </wps:spPr>
                        <wps:txbx>
                          <w:txbxContent>
                            <w:p w:rsidR="00EE13F6" w:rsidRDefault="002E5BC4">
                              <w:r>
                                <w:rPr>
                                  <w:rFonts w:ascii="Times New Roman" w:eastAsia="Times New Roman" w:hAnsi="Times New Roman" w:cs="Times New Roman"/>
                                  <w:color w:val="585858"/>
                                  <w:sz w:val="9"/>
                                </w:rPr>
                                <w:t>,</w:t>
                              </w:r>
                            </w:p>
                          </w:txbxContent>
                        </wps:txbx>
                        <wps:bodyPr horzOverflow="overflow" vert="horz" lIns="0" tIns="0" rIns="0" bIns="0" rtlCol="0">
                          <a:noAutofit/>
                        </wps:bodyPr>
                      </wps:wsp>
                      <wps:wsp>
                        <wps:cNvPr id="21483" name="Rectangle 21483"/>
                        <wps:cNvSpPr/>
                        <wps:spPr>
                          <a:xfrm>
                            <a:off x="150714" y="5313370"/>
                            <a:ext cx="44832" cy="81516"/>
                          </a:xfrm>
                          <a:prstGeom prst="rect">
                            <a:avLst/>
                          </a:prstGeom>
                          <a:ln>
                            <a:noFill/>
                          </a:ln>
                        </wps:spPr>
                        <wps:txbx>
                          <w:txbxContent>
                            <w:p w:rsidR="00EE13F6" w:rsidRDefault="002E5BC4">
                              <w:r>
                                <w:rPr>
                                  <w:rFonts w:ascii="Times New Roman" w:eastAsia="Times New Roman" w:hAnsi="Times New Roman" w:cs="Times New Roman"/>
                                  <w:color w:val="585858"/>
                                  <w:sz w:val="9"/>
                                </w:rPr>
                                <w:t>0</w:t>
                              </w:r>
                            </w:p>
                          </w:txbxContent>
                        </wps:txbx>
                        <wps:bodyPr horzOverflow="overflow" vert="horz" lIns="0" tIns="0" rIns="0" bIns="0" rtlCol="0">
                          <a:noAutofit/>
                        </wps:bodyPr>
                      </wps:wsp>
                      <wps:wsp>
                        <wps:cNvPr id="21484" name="Rectangle 21484"/>
                        <wps:cNvSpPr/>
                        <wps:spPr>
                          <a:xfrm>
                            <a:off x="188168" y="5313370"/>
                            <a:ext cx="44832" cy="81516"/>
                          </a:xfrm>
                          <a:prstGeom prst="rect">
                            <a:avLst/>
                          </a:prstGeom>
                          <a:ln>
                            <a:noFill/>
                          </a:ln>
                        </wps:spPr>
                        <wps:txbx>
                          <w:txbxContent>
                            <w:p w:rsidR="00EE13F6" w:rsidRDefault="002E5BC4">
                              <w:r>
                                <w:rPr>
                                  <w:rFonts w:ascii="Times New Roman" w:eastAsia="Times New Roman" w:hAnsi="Times New Roman" w:cs="Times New Roman"/>
                                  <w:color w:val="585858"/>
                                  <w:sz w:val="9"/>
                                </w:rPr>
                                <w:t>0</w:t>
                              </w:r>
                            </w:p>
                          </w:txbxContent>
                        </wps:txbx>
                        <wps:bodyPr horzOverflow="overflow" vert="horz" lIns="0" tIns="0" rIns="0" bIns="0" rtlCol="0">
                          <a:noAutofit/>
                        </wps:bodyPr>
                      </wps:wsp>
                      <wps:wsp>
                        <wps:cNvPr id="21485" name="Rectangle 21485"/>
                        <wps:cNvSpPr/>
                        <wps:spPr>
                          <a:xfrm>
                            <a:off x="38353" y="4880820"/>
                            <a:ext cx="27437" cy="89853"/>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56" name="Rectangle 204956"/>
                        <wps:cNvSpPr/>
                        <wps:spPr>
                          <a:xfrm>
                            <a:off x="135738" y="4880819"/>
                            <a:ext cx="22416" cy="89854"/>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54" name="Rectangle 204954"/>
                        <wps:cNvSpPr/>
                        <wps:spPr>
                          <a:xfrm>
                            <a:off x="60825" y="4880819"/>
                            <a:ext cx="95277" cy="89854"/>
                          </a:xfrm>
                          <a:prstGeom prst="rect">
                            <a:avLst/>
                          </a:prstGeom>
                          <a:ln>
                            <a:noFill/>
                          </a:ln>
                        </wps:spPr>
                        <wps:txbx>
                          <w:txbxContent>
                            <w:p w:rsidR="00EE13F6" w:rsidRDefault="002E5BC4">
                              <w:r>
                                <w:rPr>
                                  <w:color w:val="585858"/>
                                  <w:sz w:val="9"/>
                                </w:rPr>
                                <w:t>10</w:t>
                              </w:r>
                            </w:p>
                          </w:txbxContent>
                        </wps:txbx>
                        <wps:bodyPr horzOverflow="overflow" vert="horz" lIns="0" tIns="0" rIns="0" bIns="0" rtlCol="0">
                          <a:noAutofit/>
                        </wps:bodyPr>
                      </wps:wsp>
                      <wps:wsp>
                        <wps:cNvPr id="204955" name="Rectangle 204955"/>
                        <wps:cNvSpPr/>
                        <wps:spPr>
                          <a:xfrm>
                            <a:off x="150745" y="4880819"/>
                            <a:ext cx="95277" cy="89854"/>
                          </a:xfrm>
                          <a:prstGeom prst="rect">
                            <a:avLst/>
                          </a:prstGeom>
                          <a:ln>
                            <a:noFill/>
                          </a:ln>
                        </wps:spPr>
                        <wps:txbx>
                          <w:txbxContent>
                            <w:p w:rsidR="00EE13F6" w:rsidRDefault="002E5BC4">
                              <w:r>
                                <w:rPr>
                                  <w:color w:val="585858"/>
                                  <w:sz w:val="9"/>
                                </w:rPr>
                                <w:t>00</w:t>
                              </w:r>
                            </w:p>
                          </w:txbxContent>
                        </wps:txbx>
                        <wps:bodyPr horzOverflow="overflow" vert="horz" lIns="0" tIns="0" rIns="0" bIns="0" rtlCol="0">
                          <a:noAutofit/>
                        </wps:bodyPr>
                      </wps:wsp>
                      <wps:wsp>
                        <wps:cNvPr id="21487" name="Rectangle 21487"/>
                        <wps:cNvSpPr/>
                        <wps:spPr>
                          <a:xfrm>
                            <a:off x="77679" y="4446661"/>
                            <a:ext cx="29858" cy="81515"/>
                          </a:xfrm>
                          <a:prstGeom prst="rect">
                            <a:avLst/>
                          </a:prstGeom>
                          <a:ln>
                            <a:noFill/>
                          </a:ln>
                        </wps:spPr>
                        <wps:txbx>
                          <w:txbxContent>
                            <w:p w:rsidR="00EE13F6" w:rsidRDefault="002E5BC4">
                              <w:r>
                                <w:rPr>
                                  <w:rFonts w:ascii="Times New Roman" w:eastAsia="Times New Roman" w:hAnsi="Times New Roman" w:cs="Times New Roman"/>
                                  <w:color w:val="585858"/>
                                  <w:sz w:val="9"/>
                                </w:rPr>
                                <w:t>-</w:t>
                              </w:r>
                            </w:p>
                          </w:txbxContent>
                        </wps:txbx>
                        <wps:bodyPr horzOverflow="overflow" vert="horz" lIns="0" tIns="0" rIns="0" bIns="0" rtlCol="0">
                          <a:noAutofit/>
                        </wps:bodyPr>
                      </wps:wsp>
                      <wps:wsp>
                        <wps:cNvPr id="21488" name="Rectangle 21488"/>
                        <wps:cNvSpPr/>
                        <wps:spPr>
                          <a:xfrm>
                            <a:off x="100152" y="4446661"/>
                            <a:ext cx="44832" cy="81515"/>
                          </a:xfrm>
                          <a:prstGeom prst="rect">
                            <a:avLst/>
                          </a:prstGeom>
                          <a:ln>
                            <a:noFill/>
                          </a:ln>
                        </wps:spPr>
                        <wps:txbx>
                          <w:txbxContent>
                            <w:p w:rsidR="00EE13F6" w:rsidRDefault="002E5BC4">
                              <w:r>
                                <w:rPr>
                                  <w:rFonts w:ascii="Times New Roman" w:eastAsia="Times New Roman" w:hAnsi="Times New Roman" w:cs="Times New Roman"/>
                                  <w:color w:val="585858"/>
                                  <w:sz w:val="9"/>
                                </w:rPr>
                                <w:t>5</w:t>
                              </w:r>
                            </w:p>
                          </w:txbxContent>
                        </wps:txbx>
                        <wps:bodyPr horzOverflow="overflow" vert="horz" lIns="0" tIns="0" rIns="0" bIns="0" rtlCol="0">
                          <a:noAutofit/>
                        </wps:bodyPr>
                      </wps:wsp>
                      <wps:wsp>
                        <wps:cNvPr id="21489" name="Rectangle 21489"/>
                        <wps:cNvSpPr/>
                        <wps:spPr>
                          <a:xfrm>
                            <a:off x="137605" y="4446661"/>
                            <a:ext cx="22416" cy="81515"/>
                          </a:xfrm>
                          <a:prstGeom prst="rect">
                            <a:avLst/>
                          </a:prstGeom>
                          <a:ln>
                            <a:noFill/>
                          </a:ln>
                        </wps:spPr>
                        <wps:txbx>
                          <w:txbxContent>
                            <w:p w:rsidR="00EE13F6" w:rsidRDefault="002E5BC4">
                              <w:r>
                                <w:rPr>
                                  <w:rFonts w:ascii="Times New Roman" w:eastAsia="Times New Roman" w:hAnsi="Times New Roman" w:cs="Times New Roman"/>
                                  <w:color w:val="585858"/>
                                  <w:sz w:val="9"/>
                                </w:rPr>
                                <w:t>,</w:t>
                              </w:r>
                            </w:p>
                          </w:txbxContent>
                        </wps:txbx>
                        <wps:bodyPr horzOverflow="overflow" vert="horz" lIns="0" tIns="0" rIns="0" bIns="0" rtlCol="0">
                          <a:noAutofit/>
                        </wps:bodyPr>
                      </wps:wsp>
                      <wps:wsp>
                        <wps:cNvPr id="21490" name="Rectangle 21490"/>
                        <wps:cNvSpPr/>
                        <wps:spPr>
                          <a:xfrm>
                            <a:off x="152587" y="4446661"/>
                            <a:ext cx="44832" cy="81515"/>
                          </a:xfrm>
                          <a:prstGeom prst="rect">
                            <a:avLst/>
                          </a:prstGeom>
                          <a:ln>
                            <a:noFill/>
                          </a:ln>
                        </wps:spPr>
                        <wps:txbx>
                          <w:txbxContent>
                            <w:p w:rsidR="00EE13F6" w:rsidRDefault="002E5BC4">
                              <w:r>
                                <w:rPr>
                                  <w:rFonts w:ascii="Times New Roman" w:eastAsia="Times New Roman" w:hAnsi="Times New Roman" w:cs="Times New Roman"/>
                                  <w:color w:val="585858"/>
                                  <w:sz w:val="9"/>
                                </w:rPr>
                                <w:t>0</w:t>
                              </w:r>
                            </w:p>
                          </w:txbxContent>
                        </wps:txbx>
                        <wps:bodyPr horzOverflow="overflow" vert="horz" lIns="0" tIns="0" rIns="0" bIns="0" rtlCol="0">
                          <a:noAutofit/>
                        </wps:bodyPr>
                      </wps:wsp>
                      <wps:wsp>
                        <wps:cNvPr id="21491" name="Rectangle 21491"/>
                        <wps:cNvSpPr/>
                        <wps:spPr>
                          <a:xfrm>
                            <a:off x="190041" y="4446661"/>
                            <a:ext cx="44832" cy="81515"/>
                          </a:xfrm>
                          <a:prstGeom prst="rect">
                            <a:avLst/>
                          </a:prstGeom>
                          <a:ln>
                            <a:noFill/>
                          </a:ln>
                        </wps:spPr>
                        <wps:txbx>
                          <w:txbxContent>
                            <w:p w:rsidR="00EE13F6" w:rsidRDefault="002E5BC4">
                              <w:r>
                                <w:rPr>
                                  <w:rFonts w:ascii="Times New Roman" w:eastAsia="Times New Roman" w:hAnsi="Times New Roman" w:cs="Times New Roman"/>
                                  <w:color w:val="585858"/>
                                  <w:sz w:val="9"/>
                                </w:rPr>
                                <w:t>0</w:t>
                              </w:r>
                            </w:p>
                          </w:txbxContent>
                        </wps:txbx>
                        <wps:bodyPr horzOverflow="overflow" vert="horz" lIns="0" tIns="0" rIns="0" bIns="0" rtlCol="0">
                          <a:noAutofit/>
                        </wps:bodyPr>
                      </wps:wsp>
                      <wps:wsp>
                        <wps:cNvPr id="204927" name="Rectangle 204927"/>
                        <wps:cNvSpPr/>
                        <wps:spPr>
                          <a:xfrm>
                            <a:off x="95732" y="4014113"/>
                            <a:ext cx="45460" cy="89854"/>
                          </a:xfrm>
                          <a:prstGeom prst="rect">
                            <a:avLst/>
                          </a:prstGeom>
                          <a:ln>
                            <a:noFill/>
                          </a:ln>
                        </wps:spPr>
                        <wps:txbx>
                          <w:txbxContent>
                            <w:p w:rsidR="00EE13F6" w:rsidRDefault="002E5BC4">
                              <w:r>
                                <w:rPr>
                                  <w:color w:val="585858"/>
                                  <w:sz w:val="9"/>
                                </w:rPr>
                                <w:t>0</w:t>
                              </w:r>
                            </w:p>
                          </w:txbxContent>
                        </wps:txbx>
                        <wps:bodyPr horzOverflow="overflow" vert="horz" lIns="0" tIns="0" rIns="0" bIns="0" rtlCol="0">
                          <a:noAutofit/>
                        </wps:bodyPr>
                      </wps:wsp>
                      <wps:wsp>
                        <wps:cNvPr id="204929" name="Rectangle 204929"/>
                        <wps:cNvSpPr/>
                        <wps:spPr>
                          <a:xfrm>
                            <a:off x="133189" y="4014113"/>
                            <a:ext cx="22416" cy="89854"/>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28" name="Rectangle 204928"/>
                        <wps:cNvSpPr/>
                        <wps:spPr>
                          <a:xfrm>
                            <a:off x="148196" y="4014113"/>
                            <a:ext cx="95277" cy="89854"/>
                          </a:xfrm>
                          <a:prstGeom prst="rect">
                            <a:avLst/>
                          </a:prstGeom>
                          <a:ln>
                            <a:noFill/>
                          </a:ln>
                        </wps:spPr>
                        <wps:txbx>
                          <w:txbxContent>
                            <w:p w:rsidR="00EE13F6" w:rsidRDefault="002E5BC4">
                              <w:r>
                                <w:rPr>
                                  <w:color w:val="585858"/>
                                  <w:sz w:val="9"/>
                                </w:rPr>
                                <w:t>00</w:t>
                              </w:r>
                            </w:p>
                          </w:txbxContent>
                        </wps:txbx>
                        <wps:bodyPr horzOverflow="overflow" vert="horz" lIns="0" tIns="0" rIns="0" bIns="0" rtlCol="0">
                          <a:noAutofit/>
                        </wps:bodyPr>
                      </wps:wsp>
                      <wps:wsp>
                        <wps:cNvPr id="204931" name="Rectangle 204931"/>
                        <wps:cNvSpPr/>
                        <wps:spPr>
                          <a:xfrm>
                            <a:off x="495108" y="4083020"/>
                            <a:ext cx="95277" cy="89854"/>
                          </a:xfrm>
                          <a:prstGeom prst="rect">
                            <a:avLst/>
                          </a:prstGeom>
                          <a:ln>
                            <a:noFill/>
                          </a:ln>
                        </wps:spPr>
                        <wps:txbx>
                          <w:txbxContent>
                            <w:p w:rsidR="00EE13F6" w:rsidRDefault="002E5BC4">
                              <w:r>
                                <w:rPr>
                                  <w:color w:val="585858"/>
                                  <w:sz w:val="9"/>
                                </w:rPr>
                                <w:t>25</w:t>
                              </w:r>
                            </w:p>
                          </w:txbxContent>
                        </wps:txbx>
                        <wps:bodyPr horzOverflow="overflow" vert="horz" lIns="0" tIns="0" rIns="0" bIns="0" rtlCol="0">
                          <a:noAutofit/>
                        </wps:bodyPr>
                      </wps:wsp>
                      <wps:wsp>
                        <wps:cNvPr id="204932" name="Rectangle 204932"/>
                        <wps:cNvSpPr/>
                        <wps:spPr>
                          <a:xfrm>
                            <a:off x="480102" y="4083020"/>
                            <a:ext cx="22416" cy="89854"/>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30" name="Rectangle 204930"/>
                        <wps:cNvSpPr/>
                        <wps:spPr>
                          <a:xfrm>
                            <a:off x="442645" y="4083020"/>
                            <a:ext cx="45460" cy="89854"/>
                          </a:xfrm>
                          <a:prstGeom prst="rect">
                            <a:avLst/>
                          </a:prstGeom>
                          <a:ln>
                            <a:noFill/>
                          </a:ln>
                        </wps:spPr>
                        <wps:txbx>
                          <w:txbxContent>
                            <w:p w:rsidR="00EE13F6" w:rsidRDefault="002E5BC4">
                              <w:r>
                                <w:rPr>
                                  <w:color w:val="585858"/>
                                  <w:sz w:val="9"/>
                                </w:rPr>
                                <w:t>1</w:t>
                              </w:r>
                            </w:p>
                          </w:txbxContent>
                        </wps:txbx>
                        <wps:bodyPr horzOverflow="overflow" vert="horz" lIns="0" tIns="0" rIns="0" bIns="0" rtlCol="0">
                          <a:noAutofit/>
                        </wps:bodyPr>
                      </wps:wsp>
                      <wps:wsp>
                        <wps:cNvPr id="204935" name="Rectangle 204935"/>
                        <wps:cNvSpPr/>
                        <wps:spPr>
                          <a:xfrm>
                            <a:off x="932851" y="4083020"/>
                            <a:ext cx="22416" cy="89854"/>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34" name="Rectangle 204934"/>
                        <wps:cNvSpPr/>
                        <wps:spPr>
                          <a:xfrm>
                            <a:off x="947858" y="4083020"/>
                            <a:ext cx="95277" cy="89854"/>
                          </a:xfrm>
                          <a:prstGeom prst="rect">
                            <a:avLst/>
                          </a:prstGeom>
                          <a:ln>
                            <a:noFill/>
                          </a:ln>
                        </wps:spPr>
                        <wps:txbx>
                          <w:txbxContent>
                            <w:p w:rsidR="00EE13F6" w:rsidRDefault="002E5BC4">
                              <w:r>
                                <w:rPr>
                                  <w:color w:val="585858"/>
                                  <w:sz w:val="9"/>
                                </w:rPr>
                                <w:t>43</w:t>
                              </w:r>
                            </w:p>
                          </w:txbxContent>
                        </wps:txbx>
                        <wps:bodyPr horzOverflow="overflow" vert="horz" lIns="0" tIns="0" rIns="0" bIns="0" rtlCol="0">
                          <a:noAutofit/>
                        </wps:bodyPr>
                      </wps:wsp>
                      <wps:wsp>
                        <wps:cNvPr id="204933" name="Rectangle 204933"/>
                        <wps:cNvSpPr/>
                        <wps:spPr>
                          <a:xfrm>
                            <a:off x="895394" y="4083020"/>
                            <a:ext cx="45460" cy="89854"/>
                          </a:xfrm>
                          <a:prstGeom prst="rect">
                            <a:avLst/>
                          </a:prstGeom>
                          <a:ln>
                            <a:noFill/>
                          </a:ln>
                        </wps:spPr>
                        <wps:txbx>
                          <w:txbxContent>
                            <w:p w:rsidR="00EE13F6" w:rsidRDefault="002E5BC4">
                              <w:r>
                                <w:rPr>
                                  <w:color w:val="585858"/>
                                  <w:sz w:val="9"/>
                                </w:rPr>
                                <w:t>1</w:t>
                              </w:r>
                            </w:p>
                          </w:txbxContent>
                        </wps:txbx>
                        <wps:bodyPr horzOverflow="overflow" vert="horz" lIns="0" tIns="0" rIns="0" bIns="0" rtlCol="0">
                          <a:noAutofit/>
                        </wps:bodyPr>
                      </wps:wsp>
                      <wps:wsp>
                        <wps:cNvPr id="204936" name="Rectangle 204936"/>
                        <wps:cNvSpPr/>
                        <wps:spPr>
                          <a:xfrm>
                            <a:off x="1348143" y="4083020"/>
                            <a:ext cx="45460" cy="89854"/>
                          </a:xfrm>
                          <a:prstGeom prst="rect">
                            <a:avLst/>
                          </a:prstGeom>
                          <a:ln>
                            <a:noFill/>
                          </a:ln>
                        </wps:spPr>
                        <wps:txbx>
                          <w:txbxContent>
                            <w:p w:rsidR="00EE13F6" w:rsidRDefault="002E5BC4">
                              <w:r>
                                <w:rPr>
                                  <w:color w:val="585858"/>
                                  <w:sz w:val="9"/>
                                </w:rPr>
                                <w:t>1</w:t>
                              </w:r>
                            </w:p>
                          </w:txbxContent>
                        </wps:txbx>
                        <wps:bodyPr horzOverflow="overflow" vert="horz" lIns="0" tIns="0" rIns="0" bIns="0" rtlCol="0">
                          <a:noAutofit/>
                        </wps:bodyPr>
                      </wps:wsp>
                      <wps:wsp>
                        <wps:cNvPr id="204938" name="Rectangle 204938"/>
                        <wps:cNvSpPr/>
                        <wps:spPr>
                          <a:xfrm>
                            <a:off x="1385600" y="4083020"/>
                            <a:ext cx="22416" cy="89854"/>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37" name="Rectangle 204937"/>
                        <wps:cNvSpPr/>
                        <wps:spPr>
                          <a:xfrm>
                            <a:off x="1400607" y="4083020"/>
                            <a:ext cx="95277" cy="89854"/>
                          </a:xfrm>
                          <a:prstGeom prst="rect">
                            <a:avLst/>
                          </a:prstGeom>
                          <a:ln>
                            <a:noFill/>
                          </a:ln>
                        </wps:spPr>
                        <wps:txbx>
                          <w:txbxContent>
                            <w:p w:rsidR="00EE13F6" w:rsidRDefault="002E5BC4">
                              <w:r>
                                <w:rPr>
                                  <w:color w:val="585858"/>
                                  <w:sz w:val="9"/>
                                </w:rPr>
                                <w:t>67</w:t>
                              </w:r>
                            </w:p>
                          </w:txbxContent>
                        </wps:txbx>
                        <wps:bodyPr horzOverflow="overflow" vert="horz" lIns="0" tIns="0" rIns="0" bIns="0" rtlCol="0">
                          <a:noAutofit/>
                        </wps:bodyPr>
                      </wps:wsp>
                      <wps:wsp>
                        <wps:cNvPr id="204939" name="Rectangle 204939"/>
                        <wps:cNvSpPr/>
                        <wps:spPr>
                          <a:xfrm>
                            <a:off x="1800891" y="4083020"/>
                            <a:ext cx="45460" cy="89854"/>
                          </a:xfrm>
                          <a:prstGeom prst="rect">
                            <a:avLst/>
                          </a:prstGeom>
                          <a:ln>
                            <a:noFill/>
                          </a:ln>
                        </wps:spPr>
                        <wps:txbx>
                          <w:txbxContent>
                            <w:p w:rsidR="00EE13F6" w:rsidRDefault="002E5BC4">
                              <w:r>
                                <w:rPr>
                                  <w:color w:val="585858"/>
                                  <w:sz w:val="9"/>
                                </w:rPr>
                                <w:t>2</w:t>
                              </w:r>
                            </w:p>
                          </w:txbxContent>
                        </wps:txbx>
                        <wps:bodyPr horzOverflow="overflow" vert="horz" lIns="0" tIns="0" rIns="0" bIns="0" rtlCol="0">
                          <a:noAutofit/>
                        </wps:bodyPr>
                      </wps:wsp>
                      <wps:wsp>
                        <wps:cNvPr id="204941" name="Rectangle 204941"/>
                        <wps:cNvSpPr/>
                        <wps:spPr>
                          <a:xfrm>
                            <a:off x="1838347" y="4083020"/>
                            <a:ext cx="22416" cy="89854"/>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40" name="Rectangle 204940"/>
                        <wps:cNvSpPr/>
                        <wps:spPr>
                          <a:xfrm>
                            <a:off x="1853354" y="4083020"/>
                            <a:ext cx="95277" cy="89854"/>
                          </a:xfrm>
                          <a:prstGeom prst="rect">
                            <a:avLst/>
                          </a:prstGeom>
                          <a:ln>
                            <a:noFill/>
                          </a:ln>
                        </wps:spPr>
                        <wps:txbx>
                          <w:txbxContent>
                            <w:p w:rsidR="00EE13F6" w:rsidRDefault="002E5BC4">
                              <w:r>
                                <w:rPr>
                                  <w:color w:val="585858"/>
                                  <w:sz w:val="9"/>
                                </w:rPr>
                                <w:t>00</w:t>
                              </w:r>
                            </w:p>
                          </w:txbxContent>
                        </wps:txbx>
                        <wps:bodyPr horzOverflow="overflow" vert="horz" lIns="0" tIns="0" rIns="0" bIns="0" rtlCol="0">
                          <a:noAutofit/>
                        </wps:bodyPr>
                      </wps:wsp>
                      <wps:wsp>
                        <wps:cNvPr id="204943" name="Rectangle 204943"/>
                        <wps:cNvSpPr/>
                        <wps:spPr>
                          <a:xfrm>
                            <a:off x="2306104" y="4083020"/>
                            <a:ext cx="95277" cy="89854"/>
                          </a:xfrm>
                          <a:prstGeom prst="rect">
                            <a:avLst/>
                          </a:prstGeom>
                          <a:ln>
                            <a:noFill/>
                          </a:ln>
                        </wps:spPr>
                        <wps:txbx>
                          <w:txbxContent>
                            <w:p w:rsidR="00EE13F6" w:rsidRDefault="002E5BC4">
                              <w:r>
                                <w:rPr>
                                  <w:color w:val="585858"/>
                                  <w:sz w:val="9"/>
                                </w:rPr>
                                <w:t>50</w:t>
                              </w:r>
                            </w:p>
                          </w:txbxContent>
                        </wps:txbx>
                        <wps:bodyPr horzOverflow="overflow" vert="horz" lIns="0" tIns="0" rIns="0" bIns="0" rtlCol="0">
                          <a:noAutofit/>
                        </wps:bodyPr>
                      </wps:wsp>
                      <wps:wsp>
                        <wps:cNvPr id="204942" name="Rectangle 204942"/>
                        <wps:cNvSpPr/>
                        <wps:spPr>
                          <a:xfrm>
                            <a:off x="2253640" y="4083020"/>
                            <a:ext cx="45460" cy="89854"/>
                          </a:xfrm>
                          <a:prstGeom prst="rect">
                            <a:avLst/>
                          </a:prstGeom>
                          <a:ln>
                            <a:noFill/>
                          </a:ln>
                        </wps:spPr>
                        <wps:txbx>
                          <w:txbxContent>
                            <w:p w:rsidR="00EE13F6" w:rsidRDefault="002E5BC4">
                              <w:r>
                                <w:rPr>
                                  <w:color w:val="585858"/>
                                  <w:sz w:val="9"/>
                                </w:rPr>
                                <w:t>2</w:t>
                              </w:r>
                            </w:p>
                          </w:txbxContent>
                        </wps:txbx>
                        <wps:bodyPr horzOverflow="overflow" vert="horz" lIns="0" tIns="0" rIns="0" bIns="0" rtlCol="0">
                          <a:noAutofit/>
                        </wps:bodyPr>
                      </wps:wsp>
                      <wps:wsp>
                        <wps:cNvPr id="204944" name="Rectangle 204944"/>
                        <wps:cNvSpPr/>
                        <wps:spPr>
                          <a:xfrm>
                            <a:off x="2291097" y="4083020"/>
                            <a:ext cx="22416" cy="89854"/>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45" name="Rectangle 204945"/>
                        <wps:cNvSpPr/>
                        <wps:spPr>
                          <a:xfrm>
                            <a:off x="2706388" y="4083020"/>
                            <a:ext cx="45460" cy="89854"/>
                          </a:xfrm>
                          <a:prstGeom prst="rect">
                            <a:avLst/>
                          </a:prstGeom>
                          <a:ln>
                            <a:noFill/>
                          </a:ln>
                        </wps:spPr>
                        <wps:txbx>
                          <w:txbxContent>
                            <w:p w:rsidR="00EE13F6" w:rsidRDefault="002E5BC4">
                              <w:r>
                                <w:rPr>
                                  <w:color w:val="585858"/>
                                  <w:sz w:val="9"/>
                                </w:rPr>
                                <w:t>3</w:t>
                              </w:r>
                            </w:p>
                          </w:txbxContent>
                        </wps:txbx>
                        <wps:bodyPr horzOverflow="overflow" vert="horz" lIns="0" tIns="0" rIns="0" bIns="0" rtlCol="0">
                          <a:noAutofit/>
                        </wps:bodyPr>
                      </wps:wsp>
                      <wps:wsp>
                        <wps:cNvPr id="204947" name="Rectangle 204947"/>
                        <wps:cNvSpPr/>
                        <wps:spPr>
                          <a:xfrm>
                            <a:off x="2743845" y="4083020"/>
                            <a:ext cx="22416" cy="89854"/>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46" name="Rectangle 204946"/>
                        <wps:cNvSpPr/>
                        <wps:spPr>
                          <a:xfrm>
                            <a:off x="2758852" y="4083020"/>
                            <a:ext cx="95277" cy="89854"/>
                          </a:xfrm>
                          <a:prstGeom prst="rect">
                            <a:avLst/>
                          </a:prstGeom>
                          <a:ln>
                            <a:noFill/>
                          </a:ln>
                        </wps:spPr>
                        <wps:txbx>
                          <w:txbxContent>
                            <w:p w:rsidR="00EE13F6" w:rsidRDefault="002E5BC4">
                              <w:r>
                                <w:rPr>
                                  <w:color w:val="585858"/>
                                  <w:sz w:val="9"/>
                                </w:rPr>
                                <w:t>33</w:t>
                              </w:r>
                            </w:p>
                          </w:txbxContent>
                        </wps:txbx>
                        <wps:bodyPr horzOverflow="overflow" vert="horz" lIns="0" tIns="0" rIns="0" bIns="0" rtlCol="0">
                          <a:noAutofit/>
                        </wps:bodyPr>
                      </wps:wsp>
                      <wps:wsp>
                        <wps:cNvPr id="204949" name="Rectangle 204949"/>
                        <wps:cNvSpPr/>
                        <wps:spPr>
                          <a:xfrm>
                            <a:off x="3211603" y="4083020"/>
                            <a:ext cx="95277" cy="89854"/>
                          </a:xfrm>
                          <a:prstGeom prst="rect">
                            <a:avLst/>
                          </a:prstGeom>
                          <a:ln>
                            <a:noFill/>
                          </a:ln>
                        </wps:spPr>
                        <wps:txbx>
                          <w:txbxContent>
                            <w:p w:rsidR="00EE13F6" w:rsidRDefault="002E5BC4">
                              <w:r>
                                <w:rPr>
                                  <w:color w:val="585858"/>
                                  <w:sz w:val="9"/>
                                </w:rPr>
                                <w:t>00</w:t>
                              </w:r>
                            </w:p>
                          </w:txbxContent>
                        </wps:txbx>
                        <wps:bodyPr horzOverflow="overflow" vert="horz" lIns="0" tIns="0" rIns="0" bIns="0" rtlCol="0">
                          <a:noAutofit/>
                        </wps:bodyPr>
                      </wps:wsp>
                      <wps:wsp>
                        <wps:cNvPr id="204950" name="Rectangle 204950"/>
                        <wps:cNvSpPr/>
                        <wps:spPr>
                          <a:xfrm>
                            <a:off x="3196595" y="4083020"/>
                            <a:ext cx="22416" cy="89854"/>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48" name="Rectangle 204948"/>
                        <wps:cNvSpPr/>
                        <wps:spPr>
                          <a:xfrm>
                            <a:off x="3159139" y="4083020"/>
                            <a:ext cx="45460" cy="89854"/>
                          </a:xfrm>
                          <a:prstGeom prst="rect">
                            <a:avLst/>
                          </a:prstGeom>
                          <a:ln>
                            <a:noFill/>
                          </a:ln>
                        </wps:spPr>
                        <wps:txbx>
                          <w:txbxContent>
                            <w:p w:rsidR="00EE13F6" w:rsidRDefault="002E5BC4">
                              <w:r>
                                <w:rPr>
                                  <w:color w:val="585858"/>
                                  <w:sz w:val="9"/>
                                </w:rPr>
                                <w:t>4</w:t>
                              </w:r>
                            </w:p>
                          </w:txbxContent>
                        </wps:txbx>
                        <wps:bodyPr horzOverflow="overflow" vert="horz" lIns="0" tIns="0" rIns="0" bIns="0" rtlCol="0">
                          <a:noAutofit/>
                        </wps:bodyPr>
                      </wps:wsp>
                      <wps:wsp>
                        <wps:cNvPr id="21500" name="Rectangle 21500"/>
                        <wps:cNvSpPr/>
                        <wps:spPr>
                          <a:xfrm>
                            <a:off x="3656815" y="4083021"/>
                            <a:ext cx="45460" cy="89853"/>
                          </a:xfrm>
                          <a:prstGeom prst="rect">
                            <a:avLst/>
                          </a:prstGeom>
                          <a:ln>
                            <a:noFill/>
                          </a:ln>
                        </wps:spPr>
                        <wps:txbx>
                          <w:txbxContent>
                            <w:p w:rsidR="00EE13F6" w:rsidRDefault="002E5BC4">
                              <w:r>
                                <w:rPr>
                                  <w:color w:val="585858"/>
                                  <w:sz w:val="9"/>
                                </w:rPr>
                                <w:t>5</w:t>
                              </w:r>
                            </w:p>
                          </w:txbxContent>
                        </wps:txbx>
                        <wps:bodyPr horzOverflow="overflow" vert="horz" lIns="0" tIns="0" rIns="0" bIns="0" rtlCol="0">
                          <a:noAutofit/>
                        </wps:bodyPr>
                      </wps:wsp>
                      <wps:wsp>
                        <wps:cNvPr id="204952" name="Rectangle 204952"/>
                        <wps:cNvSpPr/>
                        <wps:spPr>
                          <a:xfrm>
                            <a:off x="4117100" y="4083020"/>
                            <a:ext cx="95277" cy="89854"/>
                          </a:xfrm>
                          <a:prstGeom prst="rect">
                            <a:avLst/>
                          </a:prstGeom>
                          <a:ln>
                            <a:noFill/>
                          </a:ln>
                        </wps:spPr>
                        <wps:txbx>
                          <w:txbxContent>
                            <w:p w:rsidR="00EE13F6" w:rsidRDefault="002E5BC4">
                              <w:r>
                                <w:rPr>
                                  <w:color w:val="585858"/>
                                  <w:sz w:val="9"/>
                                </w:rPr>
                                <w:t>67</w:t>
                              </w:r>
                            </w:p>
                          </w:txbxContent>
                        </wps:txbx>
                        <wps:bodyPr horzOverflow="overflow" vert="horz" lIns="0" tIns="0" rIns="0" bIns="0" rtlCol="0">
                          <a:noAutofit/>
                        </wps:bodyPr>
                      </wps:wsp>
                      <wps:wsp>
                        <wps:cNvPr id="204953" name="Rectangle 204953"/>
                        <wps:cNvSpPr/>
                        <wps:spPr>
                          <a:xfrm>
                            <a:off x="4102093" y="4083020"/>
                            <a:ext cx="22416" cy="89854"/>
                          </a:xfrm>
                          <a:prstGeom prst="rect">
                            <a:avLst/>
                          </a:prstGeom>
                          <a:ln>
                            <a:noFill/>
                          </a:ln>
                        </wps:spPr>
                        <wps:txbx>
                          <w:txbxContent>
                            <w:p w:rsidR="00EE13F6" w:rsidRDefault="002E5BC4">
                              <w:r>
                                <w:rPr>
                                  <w:color w:val="585858"/>
                                  <w:sz w:val="9"/>
                                </w:rPr>
                                <w:t>,</w:t>
                              </w:r>
                            </w:p>
                          </w:txbxContent>
                        </wps:txbx>
                        <wps:bodyPr horzOverflow="overflow" vert="horz" lIns="0" tIns="0" rIns="0" bIns="0" rtlCol="0">
                          <a:noAutofit/>
                        </wps:bodyPr>
                      </wps:wsp>
                      <wps:wsp>
                        <wps:cNvPr id="204951" name="Rectangle 204951"/>
                        <wps:cNvSpPr/>
                        <wps:spPr>
                          <a:xfrm>
                            <a:off x="4064636" y="4083020"/>
                            <a:ext cx="45460" cy="89854"/>
                          </a:xfrm>
                          <a:prstGeom prst="rect">
                            <a:avLst/>
                          </a:prstGeom>
                          <a:ln>
                            <a:noFill/>
                          </a:ln>
                        </wps:spPr>
                        <wps:txbx>
                          <w:txbxContent>
                            <w:p w:rsidR="00EE13F6" w:rsidRDefault="002E5BC4">
                              <w:r>
                                <w:rPr>
                                  <w:color w:val="585858"/>
                                  <w:sz w:val="9"/>
                                </w:rPr>
                                <w:t>6</w:t>
                              </w:r>
                            </w:p>
                          </w:txbxContent>
                        </wps:txbx>
                        <wps:bodyPr horzOverflow="overflow" vert="horz" lIns="0" tIns="0" rIns="0" bIns="0" rtlCol="0">
                          <a:noAutofit/>
                        </wps:bodyPr>
                      </wps:wsp>
                      <wps:wsp>
                        <wps:cNvPr id="21502" name="Rectangle 21502"/>
                        <wps:cNvSpPr/>
                        <wps:spPr>
                          <a:xfrm>
                            <a:off x="4547330" y="4083021"/>
                            <a:ext cx="95277" cy="89853"/>
                          </a:xfrm>
                          <a:prstGeom prst="rect">
                            <a:avLst/>
                          </a:prstGeom>
                          <a:ln>
                            <a:noFill/>
                          </a:ln>
                        </wps:spPr>
                        <wps:txbx>
                          <w:txbxContent>
                            <w:p w:rsidR="00EE13F6" w:rsidRDefault="002E5BC4">
                              <w:r>
                                <w:rPr>
                                  <w:color w:val="585858"/>
                                  <w:sz w:val="9"/>
                                </w:rPr>
                                <w:t>10</w:t>
                              </w:r>
                            </w:p>
                          </w:txbxContent>
                        </wps:txbx>
                        <wps:bodyPr horzOverflow="overflow" vert="horz" lIns="0" tIns="0" rIns="0" bIns="0" rtlCol="0">
                          <a:noAutofit/>
                        </wps:bodyPr>
                      </wps:wsp>
                      <wps:wsp>
                        <wps:cNvPr id="205135" name="Rectangle 205135"/>
                        <wps:cNvSpPr/>
                        <wps:spPr>
                          <a:xfrm>
                            <a:off x="4891027" y="3589570"/>
                            <a:ext cx="31522" cy="139772"/>
                          </a:xfrm>
                          <a:prstGeom prst="rect">
                            <a:avLst/>
                          </a:prstGeom>
                          <a:ln>
                            <a:noFill/>
                          </a:ln>
                        </wps:spPr>
                        <wps:txbx>
                          <w:txbxContent>
                            <w:p w:rsidR="00EE13F6" w:rsidRDefault="002E5BC4">
                              <w:r>
                                <w:rPr>
                                  <w:b/>
                                  <w:color w:val="585858"/>
                                  <w:sz w:val="14"/>
                                </w:rPr>
                                <w:tab/>
                              </w:r>
                            </w:p>
                          </w:txbxContent>
                        </wps:txbx>
                        <wps:bodyPr horzOverflow="overflow" vert="horz" lIns="0" tIns="0" rIns="0" bIns="0" rtlCol="0">
                          <a:noAutofit/>
                        </wps:bodyPr>
                      </wps:wsp>
                      <wps:wsp>
                        <wps:cNvPr id="205134" name="Rectangle 205134"/>
                        <wps:cNvSpPr/>
                        <wps:spPr>
                          <a:xfrm>
                            <a:off x="1100504" y="3589570"/>
                            <a:ext cx="5036569" cy="139772"/>
                          </a:xfrm>
                          <a:prstGeom prst="rect">
                            <a:avLst/>
                          </a:prstGeom>
                          <a:ln>
                            <a:noFill/>
                          </a:ln>
                        </wps:spPr>
                        <wps:txbx>
                          <w:txbxContent>
                            <w:p w:rsidR="00EE13F6" w:rsidRDefault="002E5BC4">
                              <w:r>
                                <w:rPr>
                                  <w:b/>
                                  <w:color w:val="585858"/>
                                  <w:sz w:val="14"/>
                                </w:rPr>
                                <w:t>Long</w:t>
                              </w:r>
                              <w:r>
                                <w:rPr>
                                  <w:b/>
                                  <w:color w:val="585858"/>
                                  <w:sz w:val="14"/>
                                </w:rPr>
                                <w:tab/>
                                <w:t>term</w:t>
                              </w:r>
                              <w:r>
                                <w:rPr>
                                  <w:b/>
                                  <w:color w:val="585858"/>
                                  <w:sz w:val="14"/>
                                </w:rPr>
                                <w:tab/>
                                <w:t>Equity</w:t>
                              </w:r>
                              <w:r>
                                <w:rPr>
                                  <w:b/>
                                  <w:color w:val="585858"/>
                                  <w:sz w:val="14"/>
                                </w:rPr>
                                <w:tab/>
                                <w:t>price</w:t>
                              </w:r>
                              <w:r>
                                <w:rPr>
                                  <w:b/>
                                  <w:color w:val="585858"/>
                                  <w:sz w:val="14"/>
                                </w:rPr>
                                <w:tab/>
                                <w:t>variation</w:t>
                              </w:r>
                              <w:r>
                                <w:rPr>
                                  <w:b/>
                                  <w:color w:val="585858"/>
                                  <w:sz w:val="14"/>
                                </w:rPr>
                                <w:tab/>
                                <w:t>following</w:t>
                              </w:r>
                              <w:r>
                                <w:rPr>
                                  <w:b/>
                                  <w:color w:val="585858"/>
                                  <w:sz w:val="14"/>
                                </w:rPr>
                                <w:tab/>
                                <w:t>the</w:t>
                              </w:r>
                              <w:r>
                                <w:rPr>
                                  <w:b/>
                                  <w:color w:val="585858"/>
                                  <w:sz w:val="14"/>
                                </w:rPr>
                                <w:tab/>
                                <w:t>introduction</w:t>
                              </w:r>
                              <w:r>
                                <w:rPr>
                                  <w:b/>
                                  <w:color w:val="585858"/>
                                  <w:sz w:val="14"/>
                                </w:rPr>
                                <w:tab/>
                                <w:t>of</w:t>
                              </w:r>
                              <w:r>
                                <w:rPr>
                                  <w:b/>
                                  <w:color w:val="585858"/>
                                  <w:sz w:val="14"/>
                                </w:rPr>
                                <w:tab/>
                                <w:t>the</w:t>
                              </w:r>
                              <w:r>
                                <w:rPr>
                                  <w:b/>
                                  <w:color w:val="585858"/>
                                  <w:sz w:val="14"/>
                                </w:rPr>
                                <w:tab/>
                                <w:t>FTT</w:t>
                              </w:r>
                              <w:r>
                                <w:rPr>
                                  <w:b/>
                                  <w:color w:val="585858"/>
                                  <w:sz w:val="14"/>
                                </w:rPr>
                                <w:tab/>
                                <w:t>for</w:t>
                              </w:r>
                              <w:r>
                                <w:rPr>
                                  <w:b/>
                                  <w:color w:val="585858"/>
                                  <w:sz w:val="14"/>
                                </w:rPr>
                                <w:tab/>
                                <w:t>a</w:t>
                              </w:r>
                              <w:r>
                                <w:rPr>
                                  <w:b/>
                                  <w:color w:val="585858"/>
                                  <w:sz w:val="14"/>
                                </w:rPr>
                                <w:tab/>
                                <w:t>firm</w:t>
                              </w:r>
                              <w:r>
                                <w:rPr>
                                  <w:b/>
                                  <w:color w:val="585858"/>
                                  <w:sz w:val="14"/>
                                </w:rPr>
                                <w:tab/>
                                <w:t>funded</w:t>
                              </w:r>
                            </w:p>
                          </w:txbxContent>
                        </wps:txbx>
                        <wps:bodyPr horzOverflow="overflow" vert="horz" lIns="0" tIns="0" rIns="0" bIns="0" rtlCol="0">
                          <a:noAutofit/>
                        </wps:bodyPr>
                      </wps:wsp>
                      <wps:wsp>
                        <wps:cNvPr id="21504" name="Rectangle 21504"/>
                        <wps:cNvSpPr/>
                        <wps:spPr>
                          <a:xfrm>
                            <a:off x="1115485" y="3694110"/>
                            <a:ext cx="5042972" cy="139772"/>
                          </a:xfrm>
                          <a:prstGeom prst="rect">
                            <a:avLst/>
                          </a:prstGeom>
                          <a:ln>
                            <a:noFill/>
                          </a:ln>
                        </wps:spPr>
                        <wps:txbx>
                          <w:txbxContent>
                            <w:p w:rsidR="00EE13F6" w:rsidRDefault="002E5BC4">
                              <w:r>
                                <w:rPr>
                                  <w:b/>
                                  <w:color w:val="585858"/>
                                  <w:sz w:val="14"/>
                                </w:rPr>
                                <w:t>through</w:t>
                              </w:r>
                              <w:r>
                                <w:rPr>
                                  <w:b/>
                                  <w:color w:val="585858"/>
                                  <w:sz w:val="14"/>
                                </w:rPr>
                                <w:tab/>
                                <w:t>fixed</w:t>
                              </w:r>
                              <w:r>
                                <w:rPr>
                                  <w:b/>
                                  <w:color w:val="585858"/>
                                  <w:sz w:val="14"/>
                                </w:rPr>
                                <w:tab/>
                                <w:t>term</w:t>
                              </w:r>
                              <w:r>
                                <w:rPr>
                                  <w:b/>
                                  <w:color w:val="585858"/>
                                  <w:sz w:val="14"/>
                                </w:rPr>
                                <w:tab/>
                                <w:t>debt</w:t>
                              </w:r>
                              <w:r>
                                <w:rPr>
                                  <w:b/>
                                  <w:color w:val="585858"/>
                                  <w:sz w:val="14"/>
                                </w:rPr>
                                <w:tab/>
                                <w:t>maturity</w:t>
                              </w:r>
                              <w:r>
                                <w:rPr>
                                  <w:b/>
                                  <w:color w:val="585858"/>
                                  <w:sz w:val="14"/>
                                </w:rPr>
                                <w:tab/>
                                <w:t>and</w:t>
                              </w:r>
                              <w:r>
                                <w:rPr>
                                  <w:b/>
                                  <w:color w:val="585858"/>
                                  <w:sz w:val="14"/>
                                </w:rPr>
                                <w:tab/>
                                <w:t>equity</w:t>
                              </w:r>
                              <w:r>
                                <w:rPr>
                                  <w:b/>
                                  <w:color w:val="585858"/>
                                  <w:sz w:val="14"/>
                                </w:rPr>
                                <w:tab/>
                                <w:t>(T=5</w:t>
                              </w:r>
                              <w:r>
                                <w:rPr>
                                  <w:b/>
                                  <w:color w:val="585858"/>
                                  <w:sz w:val="14"/>
                                </w:rPr>
                                <w:tab/>
                                <w:t>years;ROA=3%;r=1%;sigma=10%;</w:t>
                              </w:r>
                              <w:r>
                                <w:rPr>
                                  <w:b/>
                                  <w:color w:val="585858"/>
                                  <w:sz w:val="14"/>
                                </w:rPr>
                                <w:tab/>
                                <w:t>Tax</w:t>
                              </w:r>
                              <w:r>
                                <w:rPr>
                                  <w:b/>
                                  <w:color w:val="585858"/>
                                  <w:sz w:val="14"/>
                                </w:rPr>
                                <w:tab/>
                              </w:r>
                            </w:p>
                          </w:txbxContent>
                        </wps:txbx>
                        <wps:bodyPr horzOverflow="overflow" vert="horz" lIns="0" tIns="0" rIns="0" bIns="0" rtlCol="0">
                          <a:noAutofit/>
                        </wps:bodyPr>
                      </wps:wsp>
                      <wps:wsp>
                        <wps:cNvPr id="21505" name="Rectangle 21505"/>
                        <wps:cNvSpPr/>
                        <wps:spPr>
                          <a:xfrm>
                            <a:off x="2328985" y="3804799"/>
                            <a:ext cx="1775231" cy="139772"/>
                          </a:xfrm>
                          <a:prstGeom prst="rect">
                            <a:avLst/>
                          </a:prstGeom>
                          <a:ln>
                            <a:noFill/>
                          </a:ln>
                        </wps:spPr>
                        <wps:txbx>
                          <w:txbxContent>
                            <w:p w:rsidR="00EE13F6" w:rsidRDefault="002E5BC4">
                              <w:r>
                                <w:rPr>
                                  <w:b/>
                                  <w:color w:val="585858"/>
                                  <w:sz w:val="14"/>
                                </w:rPr>
                                <w:t>rate=35%;</w:t>
                              </w:r>
                              <w:r>
                                <w:rPr>
                                  <w:b/>
                                  <w:color w:val="585858"/>
                                  <w:sz w:val="14"/>
                                </w:rPr>
                                <w:tab/>
                                <w:t>FTT</w:t>
                              </w:r>
                              <w:r>
                                <w:rPr>
                                  <w:b/>
                                  <w:color w:val="585858"/>
                                  <w:sz w:val="14"/>
                                </w:rPr>
                                <w:tab/>
                                <w:t>roundtrip=0,2%</w:t>
                              </w:r>
                            </w:p>
                          </w:txbxContent>
                        </wps:txbx>
                        <wps:bodyPr horzOverflow="overflow" vert="horz" lIns="0" tIns="0" rIns="0" bIns="0" rtlCol="0">
                          <a:noAutofit/>
                        </wps:bodyPr>
                      </wps:wsp>
                      <wps:wsp>
                        <wps:cNvPr id="21506" name="Shape 21506"/>
                        <wps:cNvSpPr/>
                        <wps:spPr>
                          <a:xfrm>
                            <a:off x="1097394" y="6352676"/>
                            <a:ext cx="142324" cy="1"/>
                          </a:xfrm>
                          <a:custGeom>
                            <a:avLst/>
                            <a:gdLst/>
                            <a:ahLst/>
                            <a:cxnLst/>
                            <a:rect l="0" t="0" r="0" b="0"/>
                            <a:pathLst>
                              <a:path w="142324" h="1">
                                <a:moveTo>
                                  <a:pt x="0" y="0"/>
                                </a:moveTo>
                                <a:lnTo>
                                  <a:pt x="142324" y="1"/>
                                </a:lnTo>
                              </a:path>
                            </a:pathLst>
                          </a:custGeom>
                          <a:ln w="12299" cap="rnd">
                            <a:round/>
                          </a:ln>
                        </wps:spPr>
                        <wps:style>
                          <a:lnRef idx="1">
                            <a:srgbClr val="5E5E5E"/>
                          </a:lnRef>
                          <a:fillRef idx="0">
                            <a:srgbClr val="000000">
                              <a:alpha val="0"/>
                            </a:srgbClr>
                          </a:fillRef>
                          <a:effectRef idx="0">
                            <a:scrgbClr r="0" g="0" b="0"/>
                          </a:effectRef>
                          <a:fontRef idx="none"/>
                        </wps:style>
                        <wps:bodyPr/>
                      </wps:wsp>
                      <wps:wsp>
                        <wps:cNvPr id="21507" name="Rectangle 21507"/>
                        <wps:cNvSpPr/>
                        <wps:spPr>
                          <a:xfrm>
                            <a:off x="1255521" y="6318858"/>
                            <a:ext cx="382884" cy="89853"/>
                          </a:xfrm>
                          <a:prstGeom prst="rect">
                            <a:avLst/>
                          </a:prstGeom>
                          <a:ln>
                            <a:noFill/>
                          </a:ln>
                        </wps:spPr>
                        <wps:txbx>
                          <w:txbxContent>
                            <w:p w:rsidR="00EE13F6" w:rsidRDefault="002E5BC4">
                              <w:r>
                                <w:rPr>
                                  <w:color w:val="585858"/>
                                  <w:sz w:val="9"/>
                                </w:rPr>
                                <w:t>spread</w:t>
                              </w:r>
                              <w:r>
                                <w:rPr>
                                  <w:color w:val="585858"/>
                                  <w:sz w:val="9"/>
                                </w:rPr>
                                <w:tab/>
                                <w:t>1%</w:t>
                              </w:r>
                            </w:p>
                          </w:txbxContent>
                        </wps:txbx>
                        <wps:bodyPr horzOverflow="overflow" vert="horz" lIns="0" tIns="0" rIns="0" bIns="0" rtlCol="0">
                          <a:noAutofit/>
                        </wps:bodyPr>
                      </wps:wsp>
                      <wps:wsp>
                        <wps:cNvPr id="21508" name="Shape 21508"/>
                        <wps:cNvSpPr/>
                        <wps:spPr>
                          <a:xfrm>
                            <a:off x="1644219" y="6352676"/>
                            <a:ext cx="142324" cy="1"/>
                          </a:xfrm>
                          <a:custGeom>
                            <a:avLst/>
                            <a:gdLst/>
                            <a:ahLst/>
                            <a:cxnLst/>
                            <a:rect l="0" t="0" r="0" b="0"/>
                            <a:pathLst>
                              <a:path w="142324" h="1">
                                <a:moveTo>
                                  <a:pt x="0" y="0"/>
                                </a:moveTo>
                                <a:lnTo>
                                  <a:pt x="142324" y="1"/>
                                </a:lnTo>
                              </a:path>
                            </a:pathLst>
                          </a:custGeom>
                          <a:ln w="12299" cap="rnd">
                            <a:round/>
                          </a:ln>
                        </wps:spPr>
                        <wps:style>
                          <a:lnRef idx="1">
                            <a:srgbClr val="B3B3B3"/>
                          </a:lnRef>
                          <a:fillRef idx="0">
                            <a:srgbClr val="000000">
                              <a:alpha val="0"/>
                            </a:srgbClr>
                          </a:fillRef>
                          <a:effectRef idx="0">
                            <a:scrgbClr r="0" g="0" b="0"/>
                          </a:effectRef>
                          <a:fontRef idx="none"/>
                        </wps:style>
                        <wps:bodyPr/>
                      </wps:wsp>
                      <wps:wsp>
                        <wps:cNvPr id="21509" name="Rectangle 21509"/>
                        <wps:cNvSpPr/>
                        <wps:spPr>
                          <a:xfrm>
                            <a:off x="1800744" y="6318858"/>
                            <a:ext cx="472567" cy="89853"/>
                          </a:xfrm>
                          <a:prstGeom prst="rect">
                            <a:avLst/>
                          </a:prstGeom>
                          <a:ln>
                            <a:noFill/>
                          </a:ln>
                        </wps:spPr>
                        <wps:txbx>
                          <w:txbxContent>
                            <w:p w:rsidR="00EE13F6" w:rsidRDefault="002E5BC4">
                              <w:r>
                                <w:rPr>
                                  <w:color w:val="585858"/>
                                  <w:sz w:val="9"/>
                                </w:rPr>
                                <w:t>spread</w:t>
                              </w:r>
                              <w:r>
                                <w:rPr>
                                  <w:color w:val="585858"/>
                                  <w:sz w:val="9"/>
                                </w:rPr>
                                <w:tab/>
                              </w:r>
                              <w:r>
                                <w:rPr>
                                  <w:color w:val="585858"/>
                                  <w:sz w:val="9"/>
                                </w:rPr>
                                <w:tab/>
                                <w:t>1.5%</w:t>
                              </w:r>
                            </w:p>
                          </w:txbxContent>
                        </wps:txbx>
                        <wps:bodyPr horzOverflow="overflow" vert="horz" lIns="0" tIns="0" rIns="0" bIns="0" rtlCol="0">
                          <a:noAutofit/>
                        </wps:bodyPr>
                      </wps:wsp>
                      <wps:wsp>
                        <wps:cNvPr id="21510" name="Shape 21510"/>
                        <wps:cNvSpPr/>
                        <wps:spPr>
                          <a:xfrm>
                            <a:off x="2250970" y="6352676"/>
                            <a:ext cx="149815" cy="1"/>
                          </a:xfrm>
                          <a:custGeom>
                            <a:avLst/>
                            <a:gdLst/>
                            <a:ahLst/>
                            <a:cxnLst/>
                            <a:rect l="0" t="0" r="0" b="0"/>
                            <a:pathLst>
                              <a:path w="149815" h="1">
                                <a:moveTo>
                                  <a:pt x="0" y="0"/>
                                </a:moveTo>
                                <a:lnTo>
                                  <a:pt x="149815" y="1"/>
                                </a:lnTo>
                              </a:path>
                            </a:pathLst>
                          </a:custGeom>
                          <a:ln w="12299" cap="rnd">
                            <a:round/>
                          </a:ln>
                        </wps:spPr>
                        <wps:style>
                          <a:lnRef idx="1">
                            <a:srgbClr val="898989"/>
                          </a:lnRef>
                          <a:fillRef idx="0">
                            <a:srgbClr val="000000">
                              <a:alpha val="0"/>
                            </a:srgbClr>
                          </a:fillRef>
                          <a:effectRef idx="0">
                            <a:scrgbClr r="0" g="0" b="0"/>
                          </a:effectRef>
                          <a:fontRef idx="none"/>
                        </wps:style>
                        <wps:bodyPr/>
                      </wps:wsp>
                      <wps:wsp>
                        <wps:cNvPr id="21511" name="Rectangle 21511"/>
                        <wps:cNvSpPr/>
                        <wps:spPr>
                          <a:xfrm>
                            <a:off x="2412375" y="6318858"/>
                            <a:ext cx="382884" cy="89853"/>
                          </a:xfrm>
                          <a:prstGeom prst="rect">
                            <a:avLst/>
                          </a:prstGeom>
                          <a:ln>
                            <a:noFill/>
                          </a:ln>
                        </wps:spPr>
                        <wps:txbx>
                          <w:txbxContent>
                            <w:p w:rsidR="00EE13F6" w:rsidRDefault="002E5BC4">
                              <w:r>
                                <w:rPr>
                                  <w:color w:val="585858"/>
                                  <w:sz w:val="9"/>
                                </w:rPr>
                                <w:t>spread</w:t>
                              </w:r>
                              <w:r>
                                <w:rPr>
                                  <w:color w:val="585858"/>
                                  <w:sz w:val="9"/>
                                </w:rPr>
                                <w:tab/>
                                <w:t>2%</w:t>
                              </w:r>
                            </w:p>
                          </w:txbxContent>
                        </wps:txbx>
                        <wps:bodyPr horzOverflow="overflow" vert="horz" lIns="0" tIns="0" rIns="0" bIns="0" rtlCol="0">
                          <a:noAutofit/>
                        </wps:bodyPr>
                      </wps:wsp>
                      <wps:wsp>
                        <wps:cNvPr id="21512" name="Shape 21512"/>
                        <wps:cNvSpPr/>
                        <wps:spPr>
                          <a:xfrm>
                            <a:off x="2797796" y="6352676"/>
                            <a:ext cx="142324" cy="1"/>
                          </a:xfrm>
                          <a:custGeom>
                            <a:avLst/>
                            <a:gdLst/>
                            <a:ahLst/>
                            <a:cxnLst/>
                            <a:rect l="0" t="0" r="0" b="0"/>
                            <a:pathLst>
                              <a:path w="142324" h="1">
                                <a:moveTo>
                                  <a:pt x="0" y="0"/>
                                </a:moveTo>
                                <a:lnTo>
                                  <a:pt x="142324" y="1"/>
                                </a:lnTo>
                              </a:path>
                            </a:pathLst>
                          </a:custGeom>
                          <a:ln w="12299" cap="rnd">
                            <a:round/>
                          </a:ln>
                        </wps:spPr>
                        <wps:style>
                          <a:lnRef idx="1">
                            <a:srgbClr val="212121"/>
                          </a:lnRef>
                          <a:fillRef idx="0">
                            <a:srgbClr val="000000">
                              <a:alpha val="0"/>
                            </a:srgbClr>
                          </a:fillRef>
                          <a:effectRef idx="0">
                            <a:scrgbClr r="0" g="0" b="0"/>
                          </a:effectRef>
                          <a:fontRef idx="none"/>
                        </wps:style>
                        <wps:bodyPr/>
                      </wps:wsp>
                      <wps:wsp>
                        <wps:cNvPr id="21513" name="Rectangle 21513"/>
                        <wps:cNvSpPr/>
                        <wps:spPr>
                          <a:xfrm>
                            <a:off x="2957602" y="6318858"/>
                            <a:ext cx="452625" cy="89853"/>
                          </a:xfrm>
                          <a:prstGeom prst="rect">
                            <a:avLst/>
                          </a:prstGeom>
                          <a:ln>
                            <a:noFill/>
                          </a:ln>
                        </wps:spPr>
                        <wps:txbx>
                          <w:txbxContent>
                            <w:p w:rsidR="00EE13F6" w:rsidRDefault="002E5BC4">
                              <w:r>
                                <w:rPr>
                                  <w:color w:val="585858"/>
                                  <w:sz w:val="9"/>
                                </w:rPr>
                                <w:t>spread</w:t>
                              </w:r>
                              <w:r>
                                <w:rPr>
                                  <w:color w:val="585858"/>
                                  <w:sz w:val="9"/>
                                </w:rPr>
                                <w:tab/>
                                <w:t>2.5%</w:t>
                              </w:r>
                            </w:p>
                          </w:txbxContent>
                        </wps:txbx>
                        <wps:bodyPr horzOverflow="overflow" vert="horz" lIns="0" tIns="0" rIns="0" bIns="0" rtlCol="0">
                          <a:noAutofit/>
                        </wps:bodyPr>
                      </wps:wsp>
                      <wps:wsp>
                        <wps:cNvPr id="21514" name="Shape 21514"/>
                        <wps:cNvSpPr/>
                        <wps:spPr>
                          <a:xfrm>
                            <a:off x="3397054" y="6352676"/>
                            <a:ext cx="142324" cy="1"/>
                          </a:xfrm>
                          <a:custGeom>
                            <a:avLst/>
                            <a:gdLst/>
                            <a:ahLst/>
                            <a:cxnLst/>
                            <a:rect l="0" t="0" r="0" b="0"/>
                            <a:pathLst>
                              <a:path w="142324" h="1">
                                <a:moveTo>
                                  <a:pt x="0" y="0"/>
                                </a:moveTo>
                                <a:lnTo>
                                  <a:pt x="142324" y="1"/>
                                </a:lnTo>
                              </a:path>
                            </a:pathLst>
                          </a:custGeom>
                          <a:ln w="12299" cap="rnd">
                            <a:round/>
                          </a:ln>
                        </wps:spPr>
                        <wps:style>
                          <a:lnRef idx="1">
                            <a:srgbClr val="DADADA"/>
                          </a:lnRef>
                          <a:fillRef idx="0">
                            <a:srgbClr val="000000">
                              <a:alpha val="0"/>
                            </a:srgbClr>
                          </a:fillRef>
                          <a:effectRef idx="0">
                            <a:scrgbClr r="0" g="0" b="0"/>
                          </a:effectRef>
                          <a:fontRef idx="none"/>
                        </wps:style>
                        <wps:bodyPr/>
                      </wps:wsp>
                      <wps:wsp>
                        <wps:cNvPr id="21515" name="Rectangle 21515"/>
                        <wps:cNvSpPr/>
                        <wps:spPr>
                          <a:xfrm>
                            <a:off x="3553987" y="6318858"/>
                            <a:ext cx="382884" cy="89853"/>
                          </a:xfrm>
                          <a:prstGeom prst="rect">
                            <a:avLst/>
                          </a:prstGeom>
                          <a:ln>
                            <a:noFill/>
                          </a:ln>
                        </wps:spPr>
                        <wps:txbx>
                          <w:txbxContent>
                            <w:p w:rsidR="00EE13F6" w:rsidRDefault="002E5BC4">
                              <w:r>
                                <w:rPr>
                                  <w:color w:val="585858"/>
                                  <w:sz w:val="9"/>
                                </w:rPr>
                                <w:t>spread</w:t>
                              </w:r>
                              <w:r>
                                <w:rPr>
                                  <w:color w:val="585858"/>
                                  <w:sz w:val="9"/>
                                </w:rPr>
                                <w:tab/>
                                <w:t>3%</w:t>
                              </w:r>
                            </w:p>
                          </w:txbxContent>
                        </wps:txbx>
                        <wps:bodyPr horzOverflow="overflow" vert="horz" lIns="0" tIns="0" rIns="0" bIns="0" rtlCol="0">
                          <a:noAutofit/>
                        </wps:bodyPr>
                      </wps:wsp>
                      <wps:wsp>
                        <wps:cNvPr id="21516" name="Shape 21516"/>
                        <wps:cNvSpPr/>
                        <wps:spPr>
                          <a:xfrm>
                            <a:off x="0" y="3582376"/>
                            <a:ext cx="4906440" cy="2871765"/>
                          </a:xfrm>
                          <a:custGeom>
                            <a:avLst/>
                            <a:gdLst/>
                            <a:ahLst/>
                            <a:cxnLst/>
                            <a:rect l="0" t="0" r="0" b="0"/>
                            <a:pathLst>
                              <a:path w="4906440" h="2871765">
                                <a:moveTo>
                                  <a:pt x="0" y="0"/>
                                </a:moveTo>
                                <a:lnTo>
                                  <a:pt x="4906440" y="0"/>
                                </a:lnTo>
                                <a:lnTo>
                                  <a:pt x="4906440" y="2871765"/>
                                </a:lnTo>
                                <a:lnTo>
                                  <a:pt x="0" y="2871765"/>
                                </a:lnTo>
                                <a:close/>
                              </a:path>
                            </a:pathLst>
                          </a:custGeom>
                          <a:ln w="6149" cap="flat">
                            <a:round/>
                          </a:ln>
                        </wps:spPr>
                        <wps:style>
                          <a:lnRef idx="1">
                            <a:srgbClr val="D9D9D9"/>
                          </a:lnRef>
                          <a:fillRef idx="0">
                            <a:srgbClr val="000000">
                              <a:alpha val="0"/>
                            </a:srgbClr>
                          </a:fillRef>
                          <a:effectRef idx="0">
                            <a:scrgbClr r="0" g="0" b="0"/>
                          </a:effectRef>
                          <a:fontRef idx="none"/>
                        </wps:style>
                        <wps:bodyPr/>
                      </wps:wsp>
                      <wps:wsp>
                        <wps:cNvPr id="21517" name="Rectangle 21517"/>
                        <wps:cNvSpPr/>
                        <wps:spPr>
                          <a:xfrm>
                            <a:off x="2458534" y="6198042"/>
                            <a:ext cx="692607" cy="109821"/>
                          </a:xfrm>
                          <a:prstGeom prst="rect">
                            <a:avLst/>
                          </a:prstGeom>
                          <a:ln>
                            <a:noFill/>
                          </a:ln>
                        </wps:spPr>
                        <wps:txbx>
                          <w:txbxContent>
                            <w:p w:rsidR="00EE13F6" w:rsidRDefault="002E5BC4">
                              <w:r>
                                <w:rPr>
                                  <w:b/>
                                  <w:sz w:val="11"/>
                                </w:rPr>
                                <w:t>Firm's</w:t>
                              </w:r>
                              <w:r>
                                <w:rPr>
                                  <w:b/>
                                  <w:sz w:val="11"/>
                                </w:rPr>
                                <w:tab/>
                                <w:t>leverage</w:t>
                              </w:r>
                            </w:p>
                          </w:txbxContent>
                        </wps:txbx>
                        <wps:bodyPr horzOverflow="overflow" vert="horz" lIns="0" tIns="0" rIns="0" bIns="0" rtlCol="0">
                          <a:noAutofit/>
                        </wps:bodyPr>
                      </wps:wsp>
                    </wpg:wgp>
                  </a:graphicData>
                </a:graphic>
              </wp:inline>
            </w:drawing>
          </mc:Choice>
          <mc:Fallback>
            <w:pict>
              <v:group id="Group 205321" o:spid="_x0000_s1493" style="width:389.8pt;height:508.2pt;mso-position-horizontal-relative:char;mso-position-vertical-relative:line" coordsize="49503,6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">
                <v:shape id="Shape 21367" o:spid="_x0000_s1494" style="position:absolute;left:3705;top:30524;width:45798;height:0;visibility:visible;mso-wrap-style:square;v-text-anchor:top" coordsize="457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spccA&#10;AADeAAAADwAAAGRycy9kb3ducmV2LnhtbESP3WrCQBSE7wt9h+UUelc3KmiNbqQUCkIRahqql4fs&#10;yQ/Nng3ZNa5v7xaEXg4z8w2z2QbTiZEG11pWMJ0kIIhLq1uuFRTfHy+vIJxH1thZJgVXcrDNHh82&#10;mGp74QONua9FhLBLUUHjfZ9K6cqGDLqJ7YmjV9nBoI9yqKUe8BLhppOzJFlIgy3HhQZ7em+o/M3P&#10;RoGRoR7xJ3x2+a46fu3d/nQoVko9P4W3NQhPwf+H7+2dVjCbzhdL+LsTr4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ObKXHAAAA3gAAAA8AAAAAAAAAAAAAAAAAmAIAAGRy&#10;cy9kb3ducmV2LnhtbFBLBQYAAAAABAAEAPUAAACMAwAAAAA=&#10;" path="m4579742,l,e" filled="f" strokecolor="#d9d9d9" strokeweight=".21411mm">
                  <v:path arrowok="t" textboxrect="0,0,4579742,0"/>
                </v:shape>
                <v:shape id="Shape 21368" o:spid="_x0000_s1495" style="position:absolute;left:3705;top:26815;width:45798;height:0;visibility:visible;mso-wrap-style:square;v-text-anchor:top" coordsize="457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418MA&#10;AADeAAAADwAAAGRycy9kb3ducmV2LnhtbERPXWvCMBR9H+w/hDvwbU1VKFttFBkMhFGYnaiPl+ba&#10;Fpub0mQ1/nvzMNjj4XwXm2B6MdHoOssK5kkKgri2uuNGweHn8/UNhPPIGnvLpOBODjbr56cCc21v&#10;vKep8o2IIexyVNB6P+RSurolgy6xA3HkLnY06CMcG6lHvMVw08tFmmbSYMexocWBPlqqr9WvUWBk&#10;aCY8hq++2l1O36Urz/vDu1Kzl7BdgfAU/L/4z73TChbzZRb3xjvxCs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H418MAAADeAAAADwAAAAAAAAAAAAAAAACYAgAAZHJzL2Rv&#10;d25yZXYueG1sUEsFBgAAAAAEAAQA9QAAAIgDAAAAAA==&#10;" path="m4579742,l,e" filled="f" strokecolor="#d9d9d9" strokeweight=".21411mm">
                  <v:path arrowok="t" textboxrect="0,0,4579742,0"/>
                </v:shape>
                <v:shape id="Shape 21369" o:spid="_x0000_s1496" style="position:absolute;left:3705;top:23106;width:45798;height:0;visibility:visible;mso-wrap-style:square;v-text-anchor:top" coordsize="457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dTMUA&#10;AADeAAAADwAAAGRycy9kb3ducmV2LnhtbESPQYvCMBSE7wv+h/CEva2pLohWo4ggCIugVdTjo3m2&#10;xealNLFm/71ZWPA4zMw3zHwZTC06al1lWcFwkIAgzq2uuFBwOm6+JiCcR9ZYWyYFv+Rgueh9zDHV&#10;9skH6jJfiAhhl6KC0vsmldLlJRl0A9sQR+9mW4M+yraQusVnhJtajpJkLA1WHBdKbGhdUn7PHkaB&#10;kaHo8Bx+6mx7u+x3bnc9nKZKffbDagbCU/Dv8H97qxWMht/jKfzdiV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V1MxQAAAN4AAAAPAAAAAAAAAAAAAAAAAJgCAABkcnMv&#10;ZG93bnJldi54bWxQSwUGAAAAAAQABAD1AAAAigMAAAAA&#10;" path="m4579742,l,e" filled="f" strokecolor="#d9d9d9" strokeweight=".21411mm">
                  <v:path arrowok="t" textboxrect="0,0,4579742,0"/>
                </v:shape>
                <v:shape id="Shape 21370" o:spid="_x0000_s1497" style="position:absolute;left:3705;top:15687;width:45798;height:0;visibility:visible;mso-wrap-style:square;v-text-anchor:top" coordsize="457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5iDMQA&#10;AADeAAAADwAAAGRycy9kb3ducmV2LnhtbESPy4rCMBSG98K8QzgDs9NUB7xUowwDgiDCWEVdHppj&#10;W2xOShNrfHuzGHD589/4FqtgatFR6yrLCoaDBARxbnXFhYLjYd2fgnAeWWNtmRQ8ycFq+dFbYKrt&#10;g/fUZb4QcYRdigpK75tUSpeXZNANbEMcvattDfoo20LqFh9x3NRylCRjabDi+FBiQ78l5bfsbhQY&#10;GYoOT2FbZ5vr+W/ndpf9cabU12f4mYPwFPw7/N/eaAWj4fckAkSci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gzEAAAA3gAAAA8AAAAAAAAAAAAAAAAAmAIAAGRycy9k&#10;b3ducmV2LnhtbFBLBQYAAAAABAAEAPUAAACJAwAAAAA=&#10;" path="m4579742,l,e" filled="f" strokecolor="#d9d9d9" strokeweight=".21411mm">
                  <v:path arrowok="t" textboxrect="0,0,4579742,0"/>
                </v:shape>
                <v:shape id="Shape 21371" o:spid="_x0000_s1498" style="position:absolute;left:3705;top:11978;width:45798;height:0;visibility:visible;mso-wrap-style:square;v-text-anchor:top" coordsize="457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Hl8YA&#10;AADeAAAADwAAAGRycy9kb3ducmV2LnhtbESPQWvCQBSE70L/w/IK3nQTBbWpq5RCQSiCRqkeH9ln&#10;Epp9G7LbuP33riB4HGbmG2a5DqYRPXWutqwgHScgiAuray4VHA9fowUI55E1NpZJwT85WK9eBkvM&#10;tL3ynvrclyJC2GWooPK+zaR0RUUG3di2xNG72M6gj7Irpe7wGuGmkZMkmUmDNceFClv6rKj4zf+M&#10;AiND2eNP+G7yzeW027rteX98U2r4Gj7eQXgK/hl+tDdawSSdzlO434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LHl8YAAADeAAAADwAAAAAAAAAAAAAAAACYAgAAZHJz&#10;L2Rvd25yZXYueG1sUEsFBgAAAAAEAAQA9QAAAIsDAAAAAA==&#10;" path="m4579742,l,e" filled="f" strokecolor="#d9d9d9" strokeweight=".21411mm">
                  <v:path arrowok="t" textboxrect="0,0,4579742,0"/>
                </v:shape>
                <v:shape id="Shape 21372" o:spid="_x0000_s1499" style="position:absolute;left:3705;top:8268;width:45798;height:0;visibility:visible;mso-wrap-style:square;v-text-anchor:top" coordsize="457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Z4MYA&#10;AADeAAAADwAAAGRycy9kb3ducmV2LnhtbESPQWvCQBSE70L/w/IK3nRjBG1TVxGhIBRBU6keH9ln&#10;Epp9G7LbuP33riB4HGbmG2axCqYRPXWutqxgMk5AEBdW11wqOH5/jt5AOI+ssbFMCv7JwWr5Mlhg&#10;pu2VD9TnvhQRwi5DBZX3bSalKyoy6Ma2JY7exXYGfZRdKXWH1wg3jUyTZCYN1hwXKmxpU1Hxm/8Z&#10;BUaGssef8NXk28tpv3O78+H4rtTwNaw/QHgK/hl+tLdaQTqZzlO434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BZ4MYAAADeAAAADwAAAAAAAAAAAAAAAACYAgAAZHJz&#10;L2Rvd25yZXYueG1sUEsFBgAAAAAEAAQA9QAAAIsDAAAAAA==&#10;" path="m4579742,l,e" filled="f" strokecolor="#d9d9d9" strokeweight=".21411mm">
                  <v:path arrowok="t" textboxrect="0,0,4579742,0"/>
                </v:shape>
                <v:shape id="Shape 21373" o:spid="_x0000_s1500" style="position:absolute;left:3705;top:4559;width:45798;height:0;visibility:visible;mso-wrap-style:square;v-text-anchor:top" coordsize="457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8e8YA&#10;AADeAAAADwAAAGRycy9kb3ducmV2LnhtbESPQWvCQBSE7wX/w/KE3upGBWtTVxFBEIqgMdgeH9ln&#10;Esy+Ddlt3P57Vyh4HGbmG2axCqYRPXWutqxgPEpAEBdW11wqyE/btzkI55E1NpZJwR85WC0HLwtM&#10;tb3xkfrMlyJC2KWooPK+TaV0RUUG3ci2xNG72M6gj7Irpe7wFuGmkZMkmUmDNceFClvaVFRcs1+j&#10;wMhQ9ngOX022u3wf9m7/c8w/lHodhvUnCE/BP8P/7Z1WMBlP36fwuB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z8e8YAAADeAAAADwAAAAAAAAAAAAAAAACYAgAAZHJz&#10;L2Rvd25yZXYueG1sUEsFBgAAAAAEAAQA9QAAAIsDAAAAAA==&#10;" path="m4579742,l,e" filled="f" strokecolor="#d9d9d9" strokeweight=".21411mm">
                  <v:path arrowok="t" textboxrect="0,0,4579742,0"/>
                </v:shape>
                <v:shape id="Shape 21374" o:spid="_x0000_s1501" style="position:absolute;left:3705;top:850;width:45798;height:0;visibility:visible;mso-wrap-style:square;v-text-anchor:top" coordsize="457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kD8cA&#10;AADeAAAADwAAAGRycy9kb3ducmV2LnhtbESPQWvCQBSE7wX/w/KE3uomtlgb3YgIBaEIGqXt8ZF9&#10;JsHs25Ddxu2/7wpCj8PMfMMsV8G0YqDeNZYVpJMEBHFpdcOVgtPx/WkOwnlkja1lUvBLDlb56GGJ&#10;mbZXPtBQ+EpECLsMFdTed5mUrqzJoJvYjjh6Z9sb9FH2ldQ9XiPctHKaJDNpsOG4UGNHm5rKS/Fj&#10;FBgZqgE/w0dbbM9f+53bfR9Ob0o9jsN6AcJT8P/he3urFUzT59cXuN2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FZA/HAAAA3gAAAA8AAAAAAAAAAAAAAAAAmAIAAGRy&#10;cy9kb3ducmV2LnhtbFBLBQYAAAAABAAEAPUAAACMAwAAAAA=&#10;" path="m4579742,l,e" filled="f" strokecolor="#d9d9d9" strokeweight=".21411mm">
                  <v:path arrowok="t" textboxrect="0,0,4579742,0"/>
                </v:shape>
                <v:shape id="Shape 21375" o:spid="_x0000_s1502" style="position:absolute;left:45716;top:850;width:0;height:29674;visibility:visible;mso-wrap-style:square;v-text-anchor:top" coordsize="0,29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IYsgA&#10;AADeAAAADwAAAGRycy9kb3ducmV2LnhtbESPW2vCQBSE34X+h+UUfNNN1EZJXaUXCoU+eUHs2yF7&#10;TILZs2n2VNP++m6h0MdhZr5hluveNepCXag9G0jHCSjiwtuaSwP73ctoASoIssXGMxn4ogDr1c1g&#10;ibn1V97QZSulihAOORqoRNpc61BU5DCMfUscvZPvHEqUXalth9cId42eJEmmHdYcFyps6ami4rz9&#10;dAbEvb0fD99hNsueP7Lapf1c9o/GDG/7h3tQQr38h//ar9bAJJ3O7+D3TrwC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AhiyAAAAN4AAAAPAAAAAAAAAAAAAAAAAJgCAABk&#10;cnMvZG93bnJldi54bWxQSwUGAAAAAAQABAD1AAAAjQMAAAAA&#10;" path="m,2967470l,e" filled="f" strokecolor="#d9d9d9" strokeweight=".21411mm">
                  <v:path arrowok="t" textboxrect="0,0,0,2967470"/>
                </v:shape>
                <v:shape id="Shape 21376" o:spid="_x0000_s1503" style="position:absolute;left:40474;top:850;width:0;height:29674;visibility:visible;mso-wrap-style:square;v-text-anchor:top" coordsize="0,29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FccA&#10;AADeAAAADwAAAGRycy9kb3ducmV2LnhtbESPQWvCQBSE74L/YXmCN93ESiypq7QWQeipVkp7e2Sf&#10;STD7NmafmvbXdwuFHoeZ+YZZrnvXqCt1ofZsIJ0moIgLb2suDRzetpN7UEGQLTaeycAXBVivhoMl&#10;5tbf+JWueylVhHDI0UAl0uZah6Iih2HqW+LoHX3nUKLsSm07vEW4a/QsSTLtsOa4UGFLm4qK0/7i&#10;DIh7+fx4/w7zefZ8zmqX9gs5PBkzHvWPD6CEevkP/7V31sAsvVtk8HsnXg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ilhXHAAAA3gAAAA8AAAAAAAAAAAAAAAAAmAIAAGRy&#10;cy9kb3ducmV2LnhtbFBLBQYAAAAABAAEAPUAAACMAwAAAAA=&#10;" path="m,2967470l,e" filled="f" strokecolor="#d9d9d9" strokeweight=".21411mm">
                  <v:path arrowok="t" textboxrect="0,0,0,2967470"/>
                </v:shape>
                <v:shape id="Shape 21377" o:spid="_x0000_s1504" style="position:absolute;left:35232;top:850;width:0;height:29674;visibility:visible;mso-wrap-style:square;v-text-anchor:top" coordsize="0,29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zjsgA&#10;AADeAAAADwAAAGRycy9kb3ducmV2LnhtbESPQUvDQBSE74L/YXmCN7tJW5KSdlu0RRA82ZbS3h7Z&#10;ZxLMvk2zzzb6611B8DjMzDfMYjW4Vl2oD41nA+koAUVcettwZWC/e36YgQqCbLH1TAa+KMBqeXuz&#10;wML6K7/RZSuVihAOBRqoRbpC61DW5DCMfEccvXffO5Qo+0rbHq8R7lo9TpJMO2w4LtTY0bqm8mP7&#10;6QyIez0dD99hOs0256xx6ZDL/smY+7vhcQ5KaJD/8F/7xRoYp5M8h9878Qr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rjOOyAAAAN4AAAAPAAAAAAAAAAAAAAAAAJgCAABk&#10;cnMvZG93bnJldi54bWxQSwUGAAAAAAQABAD1AAAAjQMAAAAA&#10;" path="m,2967470l,e" filled="f" strokecolor="#d9d9d9" strokeweight=".21411mm">
                  <v:path arrowok="t" textboxrect="0,0,0,2967470"/>
                </v:shape>
                <v:shape id="Shape 21378" o:spid="_x0000_s1505" style="position:absolute;left:29991;top:850;width:0;height:29674;visibility:visible;mso-wrap-style:square;v-text-anchor:top" coordsize="0,29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n/MQA&#10;AADeAAAADwAAAGRycy9kb3ducmV2LnhtbERPTWvCQBC9C/6HZQRvuomVWFJX0RZB6Ekrpb0N2WkS&#10;mp1Ns6Om/fXdg+Dx8b6X69416kJdqD0bSKcJKOLC25pLA6e33eQRVBBki41nMvBLAdar4WCJufVX&#10;PtDlKKWKIRxyNFCJtLnWoajIYZj6ljhyX75zKBF2pbYdXmO4a/QsSTLtsObYUGFLzxUV38ezMyDu&#10;9fPj/S/M59nLT1a7tF/IaWvMeNRvnkAJ9XIX39x7a2CWPizi3ngnX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xp/zEAAAA3gAAAA8AAAAAAAAAAAAAAAAAmAIAAGRycy9k&#10;b3ducmV2LnhtbFBLBQYAAAAABAAEAPUAAACJAwAAAAA=&#10;" path="m,2967470l,e" filled="f" strokecolor="#d9d9d9" strokeweight=".21411mm">
                  <v:path arrowok="t" textboxrect="0,0,0,2967470"/>
                </v:shape>
                <v:shape id="Shape 21379" o:spid="_x0000_s1506" style="position:absolute;left:24749;top:850;width:0;height:29674;visibility:visible;mso-wrap-style:square;v-text-anchor:top" coordsize="0,29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CZ8gA&#10;AADeAAAADwAAAGRycy9kb3ducmV2LnhtbESPX0vDQBDE3wW/w7EF3+wlbUnb2GvRiiD41D+U9m3J&#10;rUlobi/m1jb66T1B8HGYmd8wi1XvGnWhLtSeDaTDBBRx4W3NpYH97uV+BioIssXGMxn4ogCr5e3N&#10;AnPrr7yhy1ZKFSEccjRQibS51qGoyGEY+pY4eu++cyhRdqW2HV4j3DV6lCSZdlhzXKiwpXVFxXn7&#10;6QyIezsdD99hMsmeP7Lapf1U9k/G3A36xwdQQr38h//ar9bAKB1P5/B7J14B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QJnyAAAAN4AAAAPAAAAAAAAAAAAAAAAAJgCAABk&#10;cnMvZG93bnJldi54bWxQSwUGAAAAAAQABAD1AAAAjQMAAAAA&#10;" path="m,2967470l,e" filled="f" strokecolor="#d9d9d9" strokeweight=".21411mm">
                  <v:path arrowok="t" textboxrect="0,0,0,2967470"/>
                </v:shape>
                <v:shape id="Shape 21380" o:spid="_x0000_s1507" style="position:absolute;left:19430;top:850;width:0;height:29674;visibility:visible;mso-wrap-style:square;v-text-anchor:top" coordsize="0,29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b3cYA&#10;AADeAAAADwAAAGRycy9kb3ducmV2LnhtbESPTWvCQBCG74L/YRnBm25iJZXUVbRFEHrSSmlvQ3aa&#10;hGZn0+yoaX999yB4fHm/eJbr3jXqQl2oPRtIpwko4sLbmksDp7fdZAEqCLLFxjMZ+KUA69VwsMTc&#10;+isf6HKUUsURDjkaqETaXOtQVOQwTH1LHL0v3zmUKLtS2w6vcdw1epYkmXZYc3yosKXniorv49kZ&#10;EPf6+fH+F+bz7OUnq13aP8ppa8x41G+eQAn1cg/f2ntrYJY+LCJAxIko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Lb3cYAAADeAAAADwAAAAAAAAAAAAAAAACYAgAAZHJz&#10;L2Rvd25yZXYueG1sUEsFBgAAAAAEAAQA9QAAAIsDAAAAAA==&#10;" path="m,2967470l,e" filled="f" strokecolor="#d9d9d9" strokeweight=".21411mm">
                  <v:path arrowok="t" textboxrect="0,0,0,2967470"/>
                </v:shape>
                <v:shape id="Shape 21381" o:spid="_x0000_s1508" style="position:absolute;left:14189;top:850;width:0;height:29674;visibility:visible;mso-wrap-style:square;v-text-anchor:top" coordsize="0,29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RscA&#10;AADeAAAADwAAAGRycy9kb3ducmV2LnhtbESPQWvCQBSE7wX/w/IK3uomKqlEV7EthYKnqhS9PbLP&#10;JDT7Ns2+auqv7xaEHoeZ+YZZrHrXqDN1ofZsIB0loIgLb2suDex3rw8zUEGQLTaeycAPBVgtB3cL&#10;zK2/8Dudt1KqCOGQo4FKpM21DkVFDsPIt8TRO/nOoUTZldp2eIlw1+hxkmTaYc1xocKWnisqPrff&#10;zoC4zfHwcQ3TafbyldUu7R9l/2TM8L5fz0EJ9fIfvrXfrIFxOpml8HcnX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efkbHAAAA3gAAAA8AAAAAAAAAAAAAAAAAmAIAAGRy&#10;cy9kb3ducmV2LnhtbFBLBQYAAAAABAAEAPUAAACMAwAAAAA=&#10;" path="m,2967470l,e" filled="f" strokecolor="#d9d9d9" strokeweight=".21411mm">
                  <v:path arrowok="t" textboxrect="0,0,0,2967470"/>
                </v:shape>
                <v:shape id="Shape 21382" o:spid="_x0000_s1509" style="position:absolute;left:8947;top:850;width:0;height:29674;visibility:visible;mso-wrap-style:square;v-text-anchor:top" coordsize="0,29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gMcgA&#10;AADeAAAADwAAAGRycy9kb3ducmV2LnhtbESPQUvDQBSE74L/YXmCt3aTWNKSdlu0RRA8tZbS3h7Z&#10;1ySYfRuzzzb6611B8DjMzDfMYjW4Vl2oD41nA+k4AUVcettwZWD/9jyagQqCbLH1TAa+KMBqeXuz&#10;wML6K2/pspNKRQiHAg3UIl2hdShrchjGviOO3tn3DiXKvtK2x2uEu1ZnSZJrhw3HhRo7WtdUvu8+&#10;nQFxr6fj4TtMJvnmI29cOkxl/2TM/d3wOAclNMh/+K/9Yg1k6cMsg9878Qr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OAxyAAAAN4AAAAPAAAAAAAAAAAAAAAAAJgCAABk&#10;cnMvZG93bnJldi54bWxQSwUGAAAAAAQABAD1AAAAjQMAAAAA&#10;" path="m,2967470l,e" filled="f" strokecolor="#d9d9d9" strokeweight=".21411mm">
                  <v:path arrowok="t" textboxrect="0,0,0,2967470"/>
                </v:shape>
                <v:shape id="Shape 21383" o:spid="_x0000_s1510" style="position:absolute;left:3705;top:850;width:0;height:29674;visibility:visible;mso-wrap-style:square;v-text-anchor:top" coordsize="1,29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Tc8QA&#10;AADeAAAADwAAAGRycy9kb3ducmV2LnhtbESPQWsCMRSE70L/Q3iF3jRRQdetUbZKi1fX0vNj87pZ&#10;3Lwsm1TXf98IgsdhZr5h1tvBteJCfWg8a5hOFAjiypuGaw3fp89xBiJEZIOtZ9JwowDbzctojbnx&#10;Vz7SpYy1SBAOOWqwMXa5lKGy5DBMfEecvF/fO4xJ9rU0PV4T3LVyptRCOmw4LVjsaGepOpd/TkNR&#10;LlfHD1UsDt3q61Zaef6p9krrt9eheAcRaYjP8KN9MBpm03k2h/uddA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503PEAAAA3gAAAA8AAAAAAAAAAAAAAAAAmAIAAGRycy9k&#10;b3ducmV2LnhtbFBLBQYAAAAABAAEAPUAAACJAwAAAAA=&#10;" path="m,2967470l1,e" filled="f" strokecolor="#bfbfbf" strokeweight=".21411mm">
                  <v:path arrowok="t" textboxrect="0,0,1,2967470"/>
                </v:shape>
                <v:shape id="Shape 21384" o:spid="_x0000_s1511" style="position:absolute;left:3705;top:19396;width:45798;height:0;visibility:visible;mso-wrap-style:square;v-text-anchor:top" coordsize="4579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cTccA&#10;AADeAAAADwAAAGRycy9kb3ducmV2LnhtbESPS2vDMBCE74X8B7GB3hrZiZuHEyWE0NKWHkIekOti&#10;bWwTayUs1XH/fVUo9DjMzDfMatObRnTU+tqygnSUgCAurK65VHA+vT7NQfiArLGxTAq+ycNmPXhY&#10;Ya7tnQ/UHUMpIoR9jgqqEFwupS8qMuhH1hFH72pbgyHKtpS6xXuEm0aOk2QqDdYcFyp0tKuouB2/&#10;jAI3w5fPbmbdJbsmiyx9ftvTByv1OOy3SxCB+vAf/mu/awXjdDLP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5HE3HAAAA3gAAAA8AAAAAAAAAAAAAAAAAmAIAAGRy&#10;cy9kb3ducmV2LnhtbFBLBQYAAAAABAAEAPUAAACMAwAAAAA=&#10;" path="m4579742,1l,e" filled="f" strokecolor="#bfbfbf" strokeweight=".21411mm">
                  <v:path arrowok="t" textboxrect="0,0,4579742,1"/>
                </v:shape>
                <v:shape id="Shape 21386" o:spid="_x0000_s1512" style="position:absolute;left:6288;top:9621;width:42087;height:12132;visibility:visible;mso-wrap-style:square;v-text-anchor:top" coordsize="4208760,12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f5scA&#10;AADeAAAADwAAAGRycy9kb3ducmV2LnhtbESP3WoCMRSE7wt9h3AKvatZLYquRmkLbRdqBX/w+rA5&#10;btZuTpYk1fXtjVDo5TAz3zCzRWcbcSIfascK+r0MBHHpdM2Vgt32/WkMIkRkjY1jUnChAIv5/d0M&#10;c+3OvKbTJlYiQTjkqMDE2OZShtKQxdBzLXHyDs5bjEn6SmqP5wS3jRxk2UharDktGGzpzVD5s/m1&#10;CpbyGMrhK/v913H7aXYfxfdkVSj1+NC9TEFE6uJ/+K9daAWD/vN4BLc76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HH+bHAAAA3gAAAA8AAAAAAAAAAAAAAAAAmAIAAGRy&#10;cy9kb3ducmV2LnhtbFBLBQYAAAAABAAEAPUAAACMAwAAAAA=&#10;" path="m,1066435r531876,46366l1056044,1166896r524168,38639l2104380,1213262r524168,-77277l3160424,1012340,3684592,749595,4208760,e" filled="f" strokecolor="#5e5e5e" strokeweight=".42825mm">
                  <v:stroke endcap="round"/>
                  <v:path arrowok="t" textboxrect="0,0,4208760,1213262"/>
                </v:shape>
                <v:shape id="Shape 21388" o:spid="_x0000_s1513" style="position:absolute;left:6288;top:14412;width:42087;height:7882;visibility:visible;mso-wrap-style:square;v-text-anchor:top" coordsize="4208760,78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qE8UA&#10;AADeAAAADwAAAGRycy9kb3ducmV2LnhtbERPy4rCMBTdC/5DuMJsZEx9IFKNIgOCj0FQB2bcXZpr&#10;W2xuShM1/v1kIbg8nPdsEUwl7tS40rKCfi8BQZxZXXKu4Oe0+pyAcB5ZY2WZFDzJwWLebs0w1fbB&#10;B7offS5iCLsUFRTe16mULivIoOvZmjhyF9sY9BE2udQNPmK4qeQgScbSYMmxocCavgrKrsebUXCW&#10;u+EzbPNxN2zO3/y7/1utDyOlPjphOQXhKfi3+OVeawWD/nAS98Y78Qr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OoTxQAAAN4AAAAPAAAAAAAAAAAAAAAAAJgCAABkcnMv&#10;ZG93bnJldi54bWxQSwUGAAAAAAQABAD1AAAAigMAAAAA&#10;" path="m,602767r531876,54095l1056044,718684r524168,46367l2104380,788234r524168,-46366l3160424,656862,3684592,479123,4208760,e" filled="f" strokecolor="#b3b3b3" strokeweight=".42825mm">
                  <v:stroke endcap="round"/>
                  <v:path arrowok="t" textboxrect="0,0,4208760,788234"/>
                </v:shape>
                <v:shape id="Shape 21390" o:spid="_x0000_s1514" style="position:absolute;left:6288;top:5061;width:42087;height:17774;visibility:visible;mso-wrap-style:square;v-text-anchor:top" coordsize="4208760,1777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9PsgA&#10;AADeAAAADwAAAGRycy9kb3ducmV2LnhtbESPy2rCQBSG9wXfYThCd3ViCqWNjkFbBRdS8LLQ3TFz&#10;TEIyZ9KZqcY+fWdR6PLnv/FN89604krO15YVjEcJCOLC6ppLBYf96ukVhA/IGlvLpOBOHvLZ4GGK&#10;mbY33tJ1F0oRR9hnqKAKocuk9EVFBv3IdsTRu1hnMETpSqkd3uK4aWWaJC/SYM3xocKO3isqmt23&#10;UfDll5u0cafN8iPtdXc//xw/F3ulHof9fAIiUB/+w3/ttVaQjp/fIkDEiSg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M70+yAAAAN4AAAAPAAAAAAAAAAAAAAAAAJgCAABk&#10;cnMvZG93bnJldi54bWxQSwUGAAAAAAQABAD1AAAAjQMAAAAA&#10;" path="m,1437369r531876,177739l1056044,1676930r524168,61822l2104380,1777391r524168,-15455l3160424,1707841r524168,-131372l4208760,e" filled="f" strokecolor="#898989" strokeweight=".42825mm">
                  <v:stroke endcap="round"/>
                  <v:path arrowok="t" textboxrect="0,0,4208760,1777391"/>
                </v:shape>
                <v:shape id="Shape 21392" o:spid="_x0000_s1515" style="position:absolute;left:6288;top:6607;width:42087;height:21715;visibility:visible;mso-wrap-style:square;v-text-anchor:top" coordsize="4208760,217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eQccA&#10;AADeAAAADwAAAGRycy9kb3ducmV2LnhtbESPQWvCQBSE7wX/w/IEb3VjhFqjq1ShkEMpNfHi7ZF9&#10;boLZt2l2G9N/3y0Uehxm5htmux9tKwbqfeNYwWKegCCunG7YKDiXr4/PIHxA1tg6JgXf5GG/mzxs&#10;MdPuzicaimBEhLDPUEEdQpdJ6auaLPq564ijd3W9xRBlb6Tu8R7htpVpkjxJiw3HhRo7OtZU3Yov&#10;q+C9yD+DNkNZrvxHfrm9ncxldVBqNh1fNiACjeE//NfOtYJ0sVyn8HsnXg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gXkHHAAAA3gAAAA8AAAAAAAAAAAAAAAAAmAIAAGRy&#10;cy9kb3ducmV2LnhtbFBLBQYAAAAABAAEAPUAAACMAwAAAAA=&#10;" path="m,1414185r531876,69550l1056044,1553285r524168,69550l2104380,1676930r524168,l3160424,1646019r524168,525489l4208760,e" filled="f" strokecolor="#212121" strokeweight=".42825mm">
                  <v:stroke endcap="round"/>
                  <v:path arrowok="t" textboxrect="0,0,4208760,2171508"/>
                </v:shape>
                <v:shape id="Shape 21394" o:spid="_x0000_s1516" style="position:absolute;left:6288;top:7843;width:42087;height:21174;visibility:visible;mso-wrap-style:square;v-text-anchor:top" coordsize="4208760,2117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0bMgA&#10;AADeAAAADwAAAGRycy9kb3ducmV2LnhtbESPT2vCQBTE70K/w/IKvYhuYqXY1FVUKFQ81H+l10f2&#10;mUSzb2N2jfHbu0Khx2FmfsOMp60pRUO1KywriPsRCOLU6oIzBfvdZ28EwnlkjaVlUnAjB9PJU2eM&#10;ibZX3lCz9ZkIEHYJKsi9rxIpXZqTQde3FXHwDrY26IOsM6lrvAa4KeUgit6kwYLDQo4VLXJKT9uL&#10;UfC7/KHz7bheN/PCHjZxl1bZNyn18tzOPkB4av1/+K/9pRUM4tf3ITzuhCs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ADRsyAAAAN4AAAAPAAAAAAAAAAAAAAAAAJgCAABk&#10;cnMvZG93bnJldi54bWxQSwUGAAAAAAQABAD1AAAAjQMAAAAA&#10;" path="m,1159168r531876,216378l1056044,1452824r524168,77278l2104380,1591924r524168,23183l3160424,1599652r524168,517762l4208760,e" filled="f" strokecolor="#dadada" strokeweight=".42825mm">
                  <v:stroke endcap="round"/>
                  <v:path arrowok="t" textboxrect="0,0,4208760,2117414"/>
                </v:shape>
                <v:rect id="Rectangle 21396" o:spid="_x0000_s1517" style="position:absolute;left:1144;top:30102;width:307;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CqcYA&#10;AADeAAAADwAAAGRycy9kb3ducmV2LnhtbESPT4vCMBTE7wv7HcJb8LamKoitRpFV0aN/FtTbo3m2&#10;ZZuX0kRb/fRGEPY4zMxvmMmsNaW4Ue0Kywp63QgEcWp1wZmC38PqewTCeWSNpWVScCcHs+nnxwQT&#10;bRve0W3vMxEg7BJUkHtfJVK6NCeDrmsr4uBdbG3QB1lnUtfYBLgpZT+KhtJgwWEhx4p+ckr/9lej&#10;YD2q5qeNfTRZuTyvj9tjvDjEXqnOVzsfg/DU+v/wu73RCvq9QTy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xCqc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1"/>
                          </w:rPr>
                          <w:t>-</w:t>
                        </w:r>
                      </w:p>
                    </w:txbxContent>
                  </v:textbox>
                </v:rect>
                <v:rect id="Rectangle 21397" o:spid="_x0000_s1518" style="position:absolute;left:1375;top:30102;width:462;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nMsgA&#10;AADeAAAADwAAAGRycy9kb3ducmV2LnhtbESPT2vCQBTE7wW/w/KE3upGC62JboLYFj3WP6DeHtln&#10;Esy+DdmtSf30bqHgcZiZ3zDzrDe1uFLrKssKxqMIBHFudcWFgv3u62UKwnlkjbVlUvBLDrJ08DTH&#10;RNuON3Td+kIECLsEFZTeN4mULi/JoBvZhjh4Z9sa9EG2hdQtdgFuajmJojdpsOKwUGJDy5Lyy/bH&#10;KFhNm8VxbW9dUX+eVofvQ/yxi71Sz8N+MQPhqfeP8H97rRVMxq/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gOcyyAAAAN4AAAAPAAAAAAAAAAAAAAAAAJgCAABk&#10;cnMvZG93bnJldi54bWxQSwUGAAAAAAQABAD1AAAAjQMAAAAA&#10;" filled="f" stroked="f">
                  <v:textbox inset="0,0,0,0">
                    <w:txbxContent>
                      <w:p w:rsidR="00EE13F6" w:rsidRDefault="002E5BC4">
                        <w:r>
                          <w:rPr>
                            <w:rFonts w:ascii="Times New Roman" w:eastAsia="Times New Roman" w:hAnsi="Times New Roman" w:cs="Times New Roman"/>
                            <w:color w:val="585858"/>
                            <w:sz w:val="11"/>
                          </w:rPr>
                          <w:t>1</w:t>
                        </w:r>
                      </w:p>
                    </w:txbxContent>
                  </v:textbox>
                </v:rect>
                <v:rect id="Rectangle 21398" o:spid="_x0000_s1519" style="position:absolute;left:1761;top:30102;width:461;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zQMQA&#10;AADeAAAADwAAAGRycy9kb3ducmV2LnhtbERPTWvCQBC9F/wPywi91Y0WiomuItqSHFsjRG9DdkyC&#10;2dmQ3Zq0v757KHh8vO/1djStuFPvGssK5rMIBHFpdcOVglP+8bIE4TyyxtYyKfghB9vN5GmNibYD&#10;f9H96CsRQtglqKD2vkukdGVNBt3MdsSBu9reoA+wr6TucQjhppWLKHqTBhsODTV2tK+pvB2/jYJ0&#10;2e3Omf0dqvb9khafRXzIY6/U83TcrUB4Gv1D/O/OtILF/DU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fc0D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1"/>
                          </w:rPr>
                          <w:t>5</w:t>
                        </w:r>
                      </w:p>
                    </w:txbxContent>
                  </v:textbox>
                </v:rect>
                <v:rect id="Rectangle 21399" o:spid="_x0000_s1520" style="position:absolute;left:2146;top:30102;width:231;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W28cA&#10;AADeAAAADwAAAGRycy9kb3ducmV2LnhtbESPQWvCQBSE7wX/w/KE3upGC8VE1xC0RY+tEaK3R/aZ&#10;BLNvQ3Zr0v76bqHQ4zAz3zDrdDStuFPvGssK5rMIBHFpdcOVglP+9rQE4TyyxtYyKfgiB+lm8rDG&#10;RNuBP+h+9JUIEHYJKqi97xIpXVmTQTezHXHwrrY36IPsK6l7HALctHIRRS/SYMNhocaOtjWVt+On&#10;UbBfdtn5YL+Hqn297Iv3It7lsVfqcTpmKxCeRv8f/msftILF/Dm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T1tv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1"/>
                          </w:rPr>
                          <w:t>,</w:t>
                        </w:r>
                      </w:p>
                    </w:txbxContent>
                  </v:textbox>
                </v:rect>
                <v:rect id="Rectangle 21400" o:spid="_x0000_s1521" style="position:absolute;left:2300;top:30102;width:462;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npMQA&#10;AADeAAAADwAAAGRycy9kb3ducmV2LnhtbESPy4rCMBSG94LvEI4wO00VEa1GER3RpTdQd4fm2Bab&#10;k9JkbMenNwvB5c9/45stGlOIJ1Uut6yg34tAECdW55wqOJ823TEI55E1FpZJwT85WMzbrRnG2tZ8&#10;oOfRpyKMsItRQeZ9GUvpkowMup4tiYN3t5VBH2SVSl1hHcZNIQdRNJIGcw4PGZa0yih5HP+Mgu24&#10;XF539lWnxe9te9lfJuvTxCv102mWUxCeGv8Nf9o7rWDQH0Y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JJ6T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1"/>
                          </w:rPr>
                          <w:t>0</w:t>
                        </w:r>
                      </w:p>
                    </w:txbxContent>
                  </v:textbox>
                </v:rect>
                <v:rect id="Rectangle 21401" o:spid="_x0000_s1522" style="position:absolute;left:2686;top:30102;width:461;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CP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xK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WCP8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1"/>
                          </w:rPr>
                          <w:t>0</w:t>
                        </w:r>
                      </w:p>
                    </w:txbxContent>
                  </v:textbox>
                </v:rect>
                <v:rect id="Rectangle 21402" o:spid="_x0000_s1523" style="position:absolute;left:1144;top:26401;width:282;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cSMYA&#10;AADeAAAADwAAAGRycy9kb3ducmV2LnhtbESPT4vCMBTE78J+h/AWvGlqEdFqFNlV9OifBdfbo3nb&#10;lm1eShNt9dMbQfA4zMxvmNmiNaW4Uu0KywoG/QgEcWp1wZmCn+O6NwbhPLLG0jIpuJGDxfyjM8NE&#10;24b3dD34TAQIuwQV5N5XiZQuzcmg69uKOHh/tjbog6wzqWtsAtyUMo6ikTRYcFjIsaKvnNL/w8Uo&#10;2Iyr5e/W3pusXJ03p91p8n2ceKW6n+1yCsJT69/hV3urFcSDYRT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ccSMYAAADeAAAADwAAAAAAAAAAAAAAAACYAgAAZHJz&#10;L2Rvd25yZXYueG1sUEsFBgAAAAAEAAQA9QAAAIsDAAAAAA==&#10;" filled="f" stroked="f">
                  <v:textbox inset="0,0,0,0">
                    <w:txbxContent>
                      <w:p w:rsidR="00EE13F6" w:rsidRDefault="002E5BC4">
                        <w:r>
                          <w:rPr>
                            <w:color w:val="585858"/>
                            <w:sz w:val="11"/>
                          </w:rPr>
                          <w:t>-</w:t>
                        </w:r>
                      </w:p>
                    </w:txbxContent>
                  </v:textbox>
                </v:rect>
                <v:rect id="Rectangle 204925" o:spid="_x0000_s1524" style="position:absolute;left:2301;top:26401;width:98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fYccA&#10;AADfAAAADwAAAGRycy9kb3ducmV2LnhtbESPQWvCQBSE7wX/w/IEb3VjsMVEVxFb0WOrgnp7ZJ9J&#10;MPs2ZFeT+uvdQqHHYWa+YWaLzlTiTo0rLSsYDSMQxJnVJecKDvv16wSE88gaK8uk4IccLOa9lxmm&#10;2rb8Tfedz0WAsEtRQeF9nUrpsoIMuqGtiYN3sY1BH2STS91gG+CmknEUvUuDJYeFAmtaFZRddzej&#10;YDOpl6etfbR59XneHL+Oycc+8UoN+t1yCsJT5//Df+2tVhBH4yR+g9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2X2HHAAAA3wAAAA8AAAAAAAAAAAAAAAAAmAIAAGRy&#10;cy9kb3ducmV2LnhtbFBLBQYAAAAABAAEAPUAAACMAwAAAAA=&#10;" filled="f" stroked="f">
                  <v:textbox inset="0,0,0,0">
                    <w:txbxContent>
                      <w:p w:rsidR="00EE13F6" w:rsidRDefault="002E5BC4">
                        <w:r>
                          <w:rPr>
                            <w:color w:val="585858"/>
                            <w:sz w:val="11"/>
                          </w:rPr>
                          <w:t>00</w:t>
                        </w:r>
                      </w:p>
                    </w:txbxContent>
                  </v:textbox>
                </v:rect>
                <v:rect id="Rectangle 204924" o:spid="_x0000_s1525" style="position:absolute;left:1375;top:26401;width:98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6+sgA&#10;AADfAAAADwAAAGRycy9kb3ducmV2LnhtbESPQWvCQBSE70L/w/IKvemmQYqJWUWqRY/VCOrtkX1N&#10;QrNvQ3abpP31XaHQ4zAz3zDZejSN6KlztWUFz7MIBHFhdc2lgnP+Nl2AcB5ZY2OZFHyTg/XqYZJh&#10;qu3AR+pPvhQBwi5FBZX3bSqlKyoy6Ga2JQ7eh+0M+iC7UuoOhwA3jYyj6EUarDksVNjSa0XF5+nL&#10;KNgv2s31YH+Gstnd9pf3S7LNE6/U0+O4WYLwNPr/8F/7oBXE0TyJ53D/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vr6yAAAAN8AAAAPAAAAAAAAAAAAAAAAAJgCAABk&#10;cnMvZG93bnJldi54bWxQSwUGAAAAAAQABAD1AAAAjQMAAAAA&#10;" filled="f" stroked="f">
                  <v:textbox inset="0,0,0,0">
                    <w:txbxContent>
                      <w:p w:rsidR="00EE13F6" w:rsidRDefault="002E5BC4">
                        <w:r>
                          <w:rPr>
                            <w:color w:val="585858"/>
                            <w:sz w:val="11"/>
                          </w:rPr>
                          <w:t>10</w:t>
                        </w:r>
                      </w:p>
                    </w:txbxContent>
                  </v:textbox>
                </v:rect>
                <v:rect id="Rectangle 204926" o:spid="_x0000_s1526" style="position:absolute;left:2146;top:26401;width:23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BFsgA&#10;AADfAAAADwAAAGRycy9kb3ducmV2LnhtbESPQWvCQBSE74L/YXlCb7oxFDFpVhG16LE1BdvbI/tM&#10;gtm3IbtN0v76bqHQ4zAz3zDZdjSN6KlztWUFy0UEgriwuuZSwVv+PF+DcB5ZY2OZFHyRg+1mOskw&#10;1XbgV+ovvhQBwi5FBZX3bSqlKyoy6Ba2JQ7ezXYGfZBdKXWHQ4CbRsZRtJIGaw4LFba0r6i4Xz6N&#10;gtO63b2f7fdQNseP0/XlmhzyxCv1MBt3TyA8jf4//Nc+awVx9JjEK/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ZMEWyAAAAN8AAAAPAAAAAAAAAAAAAAAAAJgCAABk&#10;cnMvZG93bnJldi54bWxQSwUGAAAAAAQABAD1AAAAjQMAAAAA&#10;" filled="f" stroked="f">
                  <v:textbox inset="0,0,0,0">
                    <w:txbxContent>
                      <w:p w:rsidR="00EE13F6" w:rsidRDefault="002E5BC4">
                        <w:r>
                          <w:rPr>
                            <w:color w:val="585858"/>
                            <w:sz w:val="11"/>
                          </w:rPr>
                          <w:t>,</w:t>
                        </w:r>
                      </w:p>
                    </w:txbxContent>
                  </v:textbox>
                </v:rect>
                <v:rect id="Rectangle 21404" o:spid="_x0000_s1527" style="position:absolute;left:1549;top:22681;width:307;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hp8cA&#10;AADeAAAADwAAAGRycy9kb3ducmV2LnhtbESPQWvCQBSE7wX/w/IKvTUbRYpGVxHbosdqhLS3R/aZ&#10;hO6+DdmtSfvru4LgcZiZb5jlerBGXKjzjWMF4yQFQVw63XCl4JS/P89A+ICs0TgmBb/kYb0aPSwx&#10;067nA12OoRIRwj5DBXUIbSalL2uy6BPXEkfv7DqLIcqukrrDPsKtkZM0fZEWG44LNba0ran8Pv5Y&#10;BbtZu/ncu7++Mm9fu+KjmL/m86DU0+OwWYAINIR7+NbeawWT8TSd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Iaf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1"/>
                          </w:rPr>
                          <w:t>-</w:t>
                        </w:r>
                      </w:p>
                    </w:txbxContent>
                  </v:textbox>
                </v:rect>
                <v:rect id="Rectangle 21405" o:spid="_x0000_s1528" style="position:absolute;left:1780;top:22681;width:461;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EPMYA&#10;AADeAAAADwAAAGRycy9kb3ducmV2LnhtbESPT4vCMBTE74LfITzBm6aKLlqNIu4uelz/gHp7NM+2&#10;2LyUJmurn94sLHgcZuY3zHzZmELcqXK5ZQWDfgSCOLE651TB8fDdm4BwHlljYZkUPMjBctFuzTHW&#10;tuYd3fc+FQHCLkYFmfdlLKVLMjLo+rYkDt7VVgZ9kFUqdYV1gJtCDqPoQxrMOSxkWNI6o+S2/zUK&#10;NpNydd7aZ50WX5fN6ec0/TxMvVLdTrOagfDU+Hf4v73VCoaDUTSG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6EPM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1"/>
                          </w:rPr>
                          <w:t>5</w:t>
                        </w:r>
                      </w:p>
                    </w:txbxContent>
                  </v:textbox>
                </v:rect>
                <v:rect id="Rectangle 21406" o:spid="_x0000_s1529" style="position:absolute;left:2165;top:22681;width:231;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aS8cA&#10;AADeAAAADwAAAGRycy9kb3ducmV2LnhtbESPQWvCQBSE70L/w/KE3nRjKGKiq0hbicc2FtTbI/tM&#10;gtm3IbuatL++WxB6HGbmG2a1GUwj7tS52rKC2TQCQVxYXXOp4OuwmyxAOI+ssbFMCr7JwWb9NFph&#10;qm3Pn3TPfSkChF2KCirv21RKV1Rk0E1tSxy8i+0M+iC7UuoO+wA3jYyjaC4N1hwWKmzptaLimt+M&#10;gmzRbk97+9OXzfs5O34ck7dD4pV6Hg/bJQhPg/8PP9p7rSCevUR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sGkv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1"/>
                          </w:rPr>
                          <w:t>,</w:t>
                        </w:r>
                      </w:p>
                    </w:txbxContent>
                  </v:textbox>
                </v:rect>
                <v:rect id="Rectangle 21407" o:spid="_x0000_s1530" style="position:absolute;left:2320;top:22681;width:461;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0MYA&#10;AADeAAAADwAAAGRycy9kb3ducmV2LnhtbESPT4vCMBTE74LfITzBm6aKuFqNIu4uelz/gHp7NM+2&#10;2LyUJmurn94sLHgcZuY3zHzZmELcqXK5ZQWDfgSCOLE651TB8fDdm4BwHlljYZkUPMjBctFuzTHW&#10;tuYd3fc+FQHCLkYFmfdlLKVLMjLo+rYkDt7VVgZ9kFUqdYV1gJtCDqNoLA3mHBYyLGmdUXLb/xoF&#10;m0m5Om/ts06Lr8vm9HOafh6mXqlup1nNQHhq/Dv8395qBcPBKPq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C/0M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1"/>
                          </w:rPr>
                          <w:t>0</w:t>
                        </w:r>
                      </w:p>
                    </w:txbxContent>
                  </v:textbox>
                </v:rect>
                <v:rect id="Rectangle 21408" o:spid="_x0000_s1531" style="position:absolute;left:2705;top:22681;width:461;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rosIA&#10;AADeAAAADwAAAGRycy9kb3ducmV2LnhtbERPy4rCMBTdC/5DuMLsNFVEtBpFdESXvkDdXZprW2xu&#10;SpOxHb/eLASXh/OeLRpTiCdVLresoN+LQBAnVuecKjifNt0xCOeRNRaWScE/OVjM260ZxtrWfKDn&#10;0acihLCLUUHmfRlL6ZKMDLqeLYkDd7eVQR9glUpdYR3CTSEHUTSSBnMODRmWtMooeRz/jILtuFxe&#10;d/ZVp8XvbXvZXybr08Qr9dNpllMQnhr/FX/cO61g0B9G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yuiwgAAAN4AAAAPAAAAAAAAAAAAAAAAAJgCAABkcnMvZG93&#10;bnJldi54bWxQSwUGAAAAAAQABAD1AAAAhwMAAAAA&#10;" filled="f" stroked="f">
                  <v:textbox inset="0,0,0,0">
                    <w:txbxContent>
                      <w:p w:rsidR="00EE13F6" w:rsidRDefault="002E5BC4">
                        <w:r>
                          <w:rPr>
                            <w:rFonts w:ascii="Times New Roman" w:eastAsia="Times New Roman" w:hAnsi="Times New Roman" w:cs="Times New Roman"/>
                            <w:color w:val="585858"/>
                            <w:sz w:val="11"/>
                          </w:rPr>
                          <w:t>0</w:t>
                        </w:r>
                      </w:p>
                    </w:txbxContent>
                  </v:textbox>
                </v:rect>
                <v:rect id="Rectangle 204895" o:spid="_x0000_s1532" style="position:absolute;left:1734;top:18980;width:46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ZG8kA&#10;AADfAAAADwAAAGRycy9kb3ducmV2LnhtbESPT2vCQBTE74V+h+UVequbSi1JzEakWvTon4L19sg+&#10;k2D2bchuTeyn7woFj8PM/IbJZoNpxIU6V1tW8DqKQBAXVtdcKvjaf77EIJxH1thYJgVXcjDLHx8y&#10;TLXteUuXnS9FgLBLUUHlfZtK6YqKDLqRbYmDd7KdQR9kV0rdYR/gppHjKHqXBmsOCxW29FFRcd79&#10;GAWruJ1/r+1vXzbL4+qwOSSLfeKVen4a5lMQngZ/D/+311rBOHqLk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iZG8kAAADfAAAADwAAAAAAAAAAAAAAAACYAgAA&#10;ZHJzL2Rvd25yZXYueG1sUEsFBgAAAAAEAAQA9QAAAI4DAAAAAA==&#10;" filled="f" stroked="f">
                  <v:textbox inset="0,0,0,0">
                    <w:txbxContent>
                      <w:p w:rsidR="00EE13F6" w:rsidRDefault="002E5BC4">
                        <w:r>
                          <w:rPr>
                            <w:color w:val="585858"/>
                            <w:sz w:val="11"/>
                          </w:rPr>
                          <w:t>0</w:t>
                        </w:r>
                      </w:p>
                    </w:txbxContent>
                  </v:textbox>
                </v:rect>
                <v:rect id="Rectangle 204897" o:spid="_x0000_s1533" style="position:absolute;left:2120;top:18980;width:23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i98kA&#10;AADfAAAADwAAAGRycy9kb3ducmV2LnhtbESPT2vCQBTE74V+h+UVequbSrFJzEakWvTon4L19sg+&#10;k2D2bchuTeyn7woFj8PM/IbJZoNpxIU6V1tW8DqKQBAXVtdcKvjaf77EIJxH1thYJgVXcjDLHx8y&#10;TLXteUuXnS9FgLBLUUHlfZtK6YqKDLqRbYmDd7KdQR9kV0rdYR/gppHjKJpIgzWHhQpb+qioOO9+&#10;jIJV3M6/1/a3L5vlcXXYHJLFPvFKPT8N8ykIT4O/h//ba61gHL3FyT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Xai98kAAADfAAAADwAAAAAAAAAAAAAAAACYAgAA&#10;ZHJzL2Rvd25yZXYueG1sUEsFBgAAAAAEAAQA9QAAAI4DAAAAAA==&#10;" filled="f" stroked="f">
                  <v:textbox inset="0,0,0,0">
                    <w:txbxContent>
                      <w:p w:rsidR="00EE13F6" w:rsidRDefault="002E5BC4">
                        <w:r>
                          <w:rPr>
                            <w:color w:val="585858"/>
                            <w:sz w:val="11"/>
                          </w:rPr>
                          <w:t>,</w:t>
                        </w:r>
                      </w:p>
                    </w:txbxContent>
                  </v:textbox>
                </v:rect>
                <v:rect id="Rectangle 204896" o:spid="_x0000_s1534" style="position:absolute;left:2274;top:18980;width:98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HbMgA&#10;AADfAAAADwAAAGRycy9kb3ducmV2LnhtbESPQWvCQBSE74L/YXlCb7pRiiRpVhFb0WOrBdvbI/tM&#10;gtm3Ibsm0V/fLRR6HGbmGyZbD6YWHbWusqxgPotAEOdWV1wo+DztpjEI55E11pZJwZ0crFfjUYap&#10;tj1/UHf0hQgQdikqKL1vUildXpJBN7MNcfAutjXog2wLqVvsA9zUchFFS2mw4rBQYkPbkvLr8WYU&#10;7ONm83Wwj76o37735/dz8npKvFJPk2HzAsLT4P/Df+2DVrCInuNkCb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OgdsyAAAAN8AAAAPAAAAAAAAAAAAAAAAAJgCAABk&#10;cnMvZG93bnJldi54bWxQSwUGAAAAAAQABAD1AAAAjQMAAAAA&#10;" filled="f" stroked="f">
                  <v:textbox inset="0,0,0,0">
                    <w:txbxContent>
                      <w:p w:rsidR="00EE13F6" w:rsidRDefault="002E5BC4">
                        <w:r>
                          <w:rPr>
                            <w:color w:val="585858"/>
                            <w:sz w:val="11"/>
                          </w:rPr>
                          <w:t>00</w:t>
                        </w:r>
                      </w:p>
                    </w:txbxContent>
                  </v:textbox>
                </v:rect>
                <v:rect id="Rectangle 204894" o:spid="_x0000_s1535" style="position:absolute;left:2120;top:15269;width:23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8gMgA&#10;AADfAAAADwAAAGRycy9kb3ducmV2LnhtbESPQWvCQBSE7wX/w/IEb3WjSEnSbERsix6rKdjeHtnX&#10;JDT7NmS3JvbXdwXB4zAz3zDZejStOFPvGssKFvMIBHFpdcOVgo/i7TEG4TyyxtYyKbiQg3U+ecgw&#10;1XbgA52PvhIBwi5FBbX3XSqlK2sy6Oa2Iw7et+0N+iD7SuoehwA3rVxG0ZM02HBYqLGjbU3lz/HX&#10;KNjF3eZzb/+Gqn392p3eT8lLkXilZtNx8wzC0+jv4Vt7rxUso1WcrOD6J3wBm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DyAyAAAAN8AAAAPAAAAAAAAAAAAAAAAAJgCAABk&#10;cnMvZG93bnJldi54bWxQSwUGAAAAAAQABAD1AAAAjQMAAAAA&#10;" filled="f" stroked="f">
                  <v:textbox inset="0,0,0,0">
                    <w:txbxContent>
                      <w:p w:rsidR="00EE13F6" w:rsidRDefault="002E5BC4">
                        <w:r>
                          <w:rPr>
                            <w:color w:val="585858"/>
                            <w:sz w:val="11"/>
                          </w:rPr>
                          <w:t>,</w:t>
                        </w:r>
                      </w:p>
                    </w:txbxContent>
                  </v:textbox>
                </v:rect>
                <v:rect id="Rectangle 204892" o:spid="_x0000_s1536" style="position:absolute;left:1734;top:15269;width:46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Bb8gA&#10;AADfAAAADwAAAGRycy9kb3ducmV2LnhtbESPT2vCQBTE74LfYXlCb7ppKCWJriJq0aN/Cra3R/aZ&#10;hGbfhuxq0n56VxB6HGbmN8xs0Zta3Kh1lWUFr5MIBHFudcWFgs/TxzgB4TyyxtoyKfglB4v5cDDD&#10;TNuOD3Q7+kIECLsMFZTeN5mULi/JoJvYhjh4F9sa9EG2hdQtdgFuahlH0bs0WHFYKLGhVUn5z/Fq&#10;FGyTZvm1s39dUW++t+f9OV2fUq/Uy6hfTkF46v1/+NneaQVx9Jak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AQFvyAAAAN8AAAAPAAAAAAAAAAAAAAAAAJgCAABk&#10;cnMvZG93bnJldi54bWxQSwUGAAAAAAQABAD1AAAAjQMAAAAA&#10;" filled="f" stroked="f">
                  <v:textbox inset="0,0,0,0">
                    <w:txbxContent>
                      <w:p w:rsidR="00EE13F6" w:rsidRDefault="002E5BC4">
                        <w:r>
                          <w:rPr>
                            <w:color w:val="585858"/>
                            <w:sz w:val="11"/>
                          </w:rPr>
                          <w:t>5</w:t>
                        </w:r>
                      </w:p>
                    </w:txbxContent>
                  </v:textbox>
                </v:rect>
                <v:rect id="Rectangle 204893" o:spid="_x0000_s1537" style="position:absolute;left:2274;top:15269;width:98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k9MkA&#10;AADfAAAADwAAAGRycy9kb3ducmV2LnhtbESPT2vCQBTE74V+h+UVequbWilJzEakWvTon4L19sg+&#10;k2D2bchuTeyn7woFj8PM/IbJZoNpxIU6V1tW8DqKQBAXVtdcKvjaf77EIJxH1thYJgVXcjDLHx8y&#10;TLXteUuXnS9FgLBLUUHlfZtK6YqKDLqRbYmDd7KdQR9kV0rdYR/gppHjKHqXBmsOCxW29FFRcd79&#10;GAWruJ1/r+1vXzbL4+qwOSSLfeKVen4a5lMQngZ/D/+311rBOJrE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2k9MkAAADfAAAADwAAAAAAAAAAAAAAAACYAgAA&#10;ZHJzL2Rvd25yZXYueG1sUEsFBgAAAAAEAAQA9QAAAI4DAAAAAA==&#10;" filled="f" stroked="f">
                  <v:textbox inset="0,0,0,0">
                    <w:txbxContent>
                      <w:p w:rsidR="00EE13F6" w:rsidRDefault="002E5BC4">
                        <w:r>
                          <w:rPr>
                            <w:color w:val="585858"/>
                            <w:sz w:val="11"/>
                          </w:rPr>
                          <w:t>00</w:t>
                        </w:r>
                      </w:p>
                    </w:txbxContent>
                  </v:textbox>
                </v:rect>
                <v:rect id="Rectangle 204890" o:spid="_x0000_s1538" style="position:absolute;left:2330;top:11559;width:98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6g8UA&#10;AADfAAAADwAAAGRycy9kb3ducmV2LnhtbESPy4rCMBSG98K8QzgD7jRVBmmrUWQu6NIbqLtDc2yL&#10;zUlpMrb69GYhuPz5b3yzRWcqcaPGlZYVjIYRCOLM6pJzBYf93yAG4TyyxsoyKbiTg8X8ozfDVNuW&#10;t3Tb+VyEEXYpKii8r1MpXVaQQTe0NXHwLrYx6INscqkbbMO4qeQ4iibSYMnhocCavgvKrrt/o2AV&#10;18vT2j7avPo9r46bY/KzT7xS/c9uOQXhqfPv8Ku91grG0VecBILAE1h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zqDxQAAAN8AAAAPAAAAAAAAAAAAAAAAAJgCAABkcnMv&#10;ZG93bnJldi54bWxQSwUGAAAAAAQABAD1AAAAigMAAAAA&#10;" filled="f" stroked="f">
                  <v:textbox inset="0,0,0,0">
                    <w:txbxContent>
                      <w:p w:rsidR="00EE13F6" w:rsidRDefault="002E5BC4">
                        <w:r>
                          <w:rPr>
                            <w:color w:val="585858"/>
                            <w:sz w:val="11"/>
                          </w:rPr>
                          <w:t>00</w:t>
                        </w:r>
                      </w:p>
                    </w:txbxContent>
                  </v:textbox>
                </v:rect>
                <v:rect id="Rectangle 204891" o:spid="_x0000_s1539" style="position:absolute;left:2175;top:11559;width:23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fGMgA&#10;AADfAAAADwAAAGRycy9kb3ducmV2LnhtbESPT2vCQBTE7wW/w/IEb3WjSEnSbET8gx5bFbS3R/Y1&#10;Cc2+DdnVxH76bqHQ4zAzv2Gy5WAacafO1ZYVzKYRCOLC6ppLBefT7jkG4TyyxsYyKXiQg2U+esow&#10;1bbnd7offSkChF2KCirv21RKV1Rk0E1tSxy8T9sZ9EF2pdQd9gFuGjmPohdpsOawUGFL64qKr+PN&#10;KNjH7ep6sN992Ww/9pe3S7I5JV6pyXhYvYLwNPj/8F/7oBXMo0WczO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058YyAAAAN8AAAAPAAAAAAAAAAAAAAAAAJgCAABk&#10;cnMvZG93bnJldi54bWxQSwUGAAAAAAQABAD1AAAAjQMAAAAA&#10;" filled="f" stroked="f">
                  <v:textbox inset="0,0,0,0">
                    <w:txbxContent>
                      <w:p w:rsidR="00EE13F6" w:rsidRDefault="002E5BC4">
                        <w:r>
                          <w:rPr>
                            <w:color w:val="585858"/>
                            <w:sz w:val="11"/>
                          </w:rPr>
                          <w:t>,</w:t>
                        </w:r>
                      </w:p>
                    </w:txbxContent>
                  </v:textbox>
                </v:rect>
                <v:rect id="Rectangle 204889" o:spid="_x0000_s1540" style="position:absolute;left:1405;top:11559;width:98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Fw8cA&#10;AADfAAAADwAAAGRycy9kb3ducmV2LnhtbESPQWvCQBSE7wX/w/IEb3WjFEmiq4i26LFVQb09ss8k&#10;mH0bslsT/fXdguBxmJlvmNmiM5W4UeNKywpGwwgEcWZ1ybmCw/7rPQbhPLLGyjIpuJODxbz3NsNU&#10;25Z/6LbzuQgQdikqKLyvUyldVpBBN7Q1cfAutjHog2xyqRtsA9xUchxFE2mw5LBQYE2rgrLr7tco&#10;2MT18rS1jzavPs+b4/cxWe8Tr9Sg3y2nIDx1/hV+trdawTj6iOME/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8BcPHAAAA3wAAAA8AAAAAAAAAAAAAAAAAmAIAAGRy&#10;cy9kb3ducmV2LnhtbFBLBQYAAAAABAAEAPUAAACMAwAAAAA=&#10;" filled="f" stroked="f">
                  <v:textbox inset="0,0,0,0">
                    <w:txbxContent>
                      <w:p w:rsidR="00EE13F6" w:rsidRDefault="002E5BC4">
                        <w:r>
                          <w:rPr>
                            <w:color w:val="585858"/>
                            <w:sz w:val="11"/>
                          </w:rPr>
                          <w:t>10</w:t>
                        </w:r>
                      </w:p>
                    </w:txbxContent>
                  </v:textbox>
                </v:rect>
                <v:rect id="Rectangle 204887" o:spid="_x0000_s1541" style="position:absolute;left:2330;top:7848;width:98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0KsgA&#10;AADfAAAADwAAAGRycy9kb3ducmV2LnhtbESPQWvCQBSE74X+h+UVems2laIxuoq0FT1qLKTeHtnX&#10;JDT7NmRXE/vru4LgcZiZb5j5cjCNOFPnassKXqMYBHFhdc2lgq/D+iUB4TyyxsYyKbiQg+Xi8WGO&#10;qbY97+mc+VIECLsUFVTet6mUrqjIoItsSxy8H9sZ9EF2pdQd9gFuGjmK47E0WHNYqLCl94qK3+xk&#10;FGySdvW9tX992XweN/kun34cpl6p56dhNQPhafD38K291QpG8VuSTO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rzQqyAAAAN8AAAAPAAAAAAAAAAAAAAAAAJgCAABk&#10;cnMvZG93bnJldi54bWxQSwUGAAAAAAQABAD1AAAAjQMAAAAA&#10;" filled="f" stroked="f">
                  <v:textbox inset="0,0,0,0">
                    <w:txbxContent>
                      <w:p w:rsidR="00EE13F6" w:rsidRDefault="002E5BC4">
                        <w:r>
                          <w:rPr>
                            <w:color w:val="585858"/>
                            <w:sz w:val="11"/>
                          </w:rPr>
                          <w:t>00</w:t>
                        </w:r>
                      </w:p>
                    </w:txbxContent>
                  </v:textbox>
                </v:rect>
                <v:rect id="Rectangle 204888" o:spid="_x0000_s1542" style="position:absolute;left:2175;top:7848;width:23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gWMMA&#10;AADfAAAADwAAAGRycy9kb3ducmV2LnhtbERPy4rCMBTdC/5DuII7TUdEasco4gNdOiqou0tzpy3T&#10;3JQm2urXm8WAy8N5zxatKcWDaldYVvA1jEAQp1YXnCk4n7aDGITzyBpLy6TgSQ4W825nhom2Df/Q&#10;4+gzEULYJagg975KpHRpTgbd0FbEgfu1tUEfYJ1JXWMTwk0pR1E0kQYLDg05VrTKKf073o2CXVwt&#10;r3v7arJyc9tdDpfp+jT1SvV77fIbhKfWf8T/7r1WMIrGcRwGhz/hC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gWMMAAADfAAAADwAAAAAAAAAAAAAAAACYAgAAZHJzL2Rv&#10;d25yZXYueG1sUEsFBgAAAAAEAAQA9QAAAIgDAAAAAA==&#10;" filled="f" stroked="f">
                  <v:textbox inset="0,0,0,0">
                    <w:txbxContent>
                      <w:p w:rsidR="00EE13F6" w:rsidRDefault="002E5BC4">
                        <w:r>
                          <w:rPr>
                            <w:color w:val="585858"/>
                            <w:sz w:val="11"/>
                          </w:rPr>
                          <w:t>,</w:t>
                        </w:r>
                      </w:p>
                    </w:txbxContent>
                  </v:textbox>
                </v:rect>
                <v:rect id="Rectangle 204886" o:spid="_x0000_s1543" style="position:absolute;left:1405;top:7848;width:98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sccA&#10;AADfAAAADwAAAGRycy9kb3ducmV2LnhtbESPT4vCMBTE7wv7HcJb8LamKyK1GkVWFz36D9Tbo3m2&#10;xealNFlb/fRGEDwOM/MbZjxtTSmuVLvCsoKfbgSCOLW64EzBfvf3HYNwHlljaZkU3MjBdPL5McZE&#10;24Y3dN36TAQIuwQV5N5XiZQuzcmg69qKOHhnWxv0QdaZ1DU2AW5K2YuigTRYcFjIsaLfnNLL9t8o&#10;WMbV7Liy9yYrF6flYX0YzndDr1Tnq52NQHhq/Tv8aq+0gl7Uj+MB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jkbHHAAAA3wAAAA8AAAAAAAAAAAAAAAAAmAIAAGRy&#10;cy9kb3ducmV2LnhtbFBLBQYAAAAABAAEAPUAAACMAwAAAAA=&#10;" filled="f" stroked="f">
                  <v:textbox inset="0,0,0,0">
                    <w:txbxContent>
                      <w:p w:rsidR="00EE13F6" w:rsidRDefault="002E5BC4">
                        <w:r>
                          <w:rPr>
                            <w:color w:val="585858"/>
                            <w:sz w:val="11"/>
                          </w:rPr>
                          <w:t>15</w:t>
                        </w:r>
                      </w:p>
                    </w:txbxContent>
                  </v:textbox>
                </v:rect>
                <v:rect id="Rectangle 204885" o:spid="_x0000_s1544" style="position:absolute;left:2175;top:4137;width:23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PxsgA&#10;AADfAAAADwAAAGRycy9kb3ducmV2LnhtbESPQWvCQBSE74X+h+UVems2lSoxuoq0FT1qLKTeHtnX&#10;JDT7NmRXE/vru4LgcZiZb5j5cjCNOFPnassKXqMYBHFhdc2lgq/D+iUB4TyyxsYyKbiQg+Xi8WGO&#10;qbY97+mc+VIECLsUFVTet6mUrqjIoItsSxy8H9sZ9EF2pdQd9gFuGjmK44k0WHNYqLCl94qK3+xk&#10;FGySdvW9tX992XweN/kun34cpl6p56dhNQPhafD38K291QpG8VuSjOH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MQ/GyAAAAN8AAAAPAAAAAAAAAAAAAAAAAJgCAABk&#10;cnMvZG93bnJldi54bWxQSwUGAAAAAAQABAD1AAAAjQMAAAAA&#10;" filled="f" stroked="f">
                  <v:textbox inset="0,0,0,0">
                    <w:txbxContent>
                      <w:p w:rsidR="00EE13F6" w:rsidRDefault="002E5BC4">
                        <w:r>
                          <w:rPr>
                            <w:color w:val="585858"/>
                            <w:sz w:val="11"/>
                          </w:rPr>
                          <w:t>,</w:t>
                        </w:r>
                      </w:p>
                    </w:txbxContent>
                  </v:textbox>
                </v:rect>
                <v:rect id="Rectangle 204883" o:spid="_x0000_s1545" style="position:absolute;left:1405;top:4137;width:98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yKcgA&#10;AADfAAAADwAAAGRycy9kb3ducmV2LnhtbESPQWvCQBSE74X+h+UVems2tSIxuoq0FT1qLKTeHtnX&#10;JDT7NmRXE/vru4LgcZiZb5j5cjCNOFPnassKXqMYBHFhdc2lgq/D+iUB4TyyxsYyKbiQg+Xi8WGO&#10;qbY97+mc+VIECLsUFVTet6mUrqjIoItsSxy8H9sZ9EF2pdQd9gFuGjmK44k0WHNYqLCl94qK3+xk&#10;FGySdvW9tX992XweN/kun34cpl6p56dhNQPhafD38K291QpG8ThJ3u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DIpyAAAAN8AAAAPAAAAAAAAAAAAAAAAAJgCAABk&#10;cnMvZG93bnJldi54bWxQSwUGAAAAAAQABAD1AAAAjQMAAAAA&#10;" filled="f" stroked="f">
                  <v:textbox inset="0,0,0,0">
                    <w:txbxContent>
                      <w:p w:rsidR="00EE13F6" w:rsidRDefault="002E5BC4">
                        <w:r>
                          <w:rPr>
                            <w:color w:val="585858"/>
                            <w:sz w:val="11"/>
                          </w:rPr>
                          <w:t>20</w:t>
                        </w:r>
                      </w:p>
                    </w:txbxContent>
                  </v:textbox>
                </v:rect>
                <v:rect id="Rectangle 204884" o:spid="_x0000_s1546" style="position:absolute;left:2330;top:4137;width:98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qXcgA&#10;AADfAAAADwAAAGRycy9kb3ducmV2LnhtbESPQWvCQBSE74X+h+UVvNVNQ5AYXUOoFj1WLVhvj+xr&#10;Epp9G7JbE/31XaHQ4zAz3zDLfDStuFDvGssKXqYRCOLS6oYrBR/Ht+cUhPPIGlvLpOBKDvLV48MS&#10;M20H3tPl4CsRIOwyVFB732VSurImg25qO+LgfdneoA+yr6TucQhw08o4imbSYMNhocaOXmsqvw8/&#10;RsE27YrPnb0NVbs5b0/vp/n6OPdKTZ7GYgHC0+j/w3/tnVYQR0maJnD/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fapdyAAAAN8AAAAPAAAAAAAAAAAAAAAAAJgCAABk&#10;cnMvZG93bnJldi54bWxQSwUGAAAAAAQABAD1AAAAjQMAAAAA&#10;" filled="f" stroked="f">
                  <v:textbox inset="0,0,0,0">
                    <w:txbxContent>
                      <w:p w:rsidR="00EE13F6" w:rsidRDefault="002E5BC4">
                        <w:r>
                          <w:rPr>
                            <w:color w:val="585858"/>
                            <w:sz w:val="11"/>
                          </w:rPr>
                          <w:t>00</w:t>
                        </w:r>
                      </w:p>
                    </w:txbxContent>
                  </v:textbox>
                </v:rect>
                <v:rect id="Rectangle 204878" o:spid="_x0000_s1547" style="position:absolute;left:1405;top:427;width:98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Qf8YA&#10;AADfAAAADwAAAGRycy9kb3ducmV2LnhtbERPTWvCQBC9F/wPywi91U1F2hhdRdQSjzURbG9DdkxC&#10;s7Mhu03S/vruoeDx8b7X29E0oqfO1ZYVPM8iEMSF1TWXCi7521MMwnlkjY1lUvBDDrabycMaE20H&#10;PlOf+VKEEHYJKqi8bxMpXVGRQTezLXHgbrYz6APsSqk7HEK4aeQ8il6kwZpDQ4Ut7SsqvrJvoyCN&#10;293Hyf4OZXP8TK/v1+UhX3qlHqfjbgXC0+jv4n/3SSuYR4v4NQwOf8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XQf8YAAADfAAAADwAAAAAAAAAAAAAAAACYAgAAZHJz&#10;L2Rvd25yZXYueG1sUEsFBgAAAAAEAAQA9QAAAIsDAAAAAA==&#10;" filled="f" stroked="f">
                  <v:textbox inset="0,0,0,0">
                    <w:txbxContent>
                      <w:p w:rsidR="00EE13F6" w:rsidRDefault="002E5BC4">
                        <w:r>
                          <w:rPr>
                            <w:color w:val="585858"/>
                            <w:sz w:val="11"/>
                          </w:rPr>
                          <w:t>25</w:t>
                        </w:r>
                      </w:p>
                    </w:txbxContent>
                  </v:textbox>
                </v:rect>
                <v:rect id="Rectangle 204881" o:spid="_x0000_s1548" style="position:absolute;left:2175;top:427;width:23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JxccA&#10;AADfAAAADwAAAGRycy9kb3ducmV2LnhtbESPT4vCMBTE78J+h/AWvGmqiNRqFNlV9OifBdfbo3nb&#10;lm1eShNt9dMbQfA4zMxvmNmiNaW4Uu0KywoG/QgEcWp1wZmCn+O6F4NwHlljaZkU3MjBYv7RmWGi&#10;bcN7uh58JgKEXYIKcu+rREqX5mTQ9W1FHLw/Wxv0QdaZ1DU2AW5KOYyisTRYcFjIsaKvnNL/w8Uo&#10;2MTV8ndr701Wrs6b0+40+T5OvFLdz3Y5BeGp9e/wq73VCobRKI4H8Pw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KCcXHAAAA3wAAAA8AAAAAAAAAAAAAAAAAmAIAAGRy&#10;cy9kb3ducmV2LnhtbFBLBQYAAAAABAAEAPUAAACMAwAAAAA=&#10;" filled="f" stroked="f">
                  <v:textbox inset="0,0,0,0">
                    <w:txbxContent>
                      <w:p w:rsidR="00EE13F6" w:rsidRDefault="002E5BC4">
                        <w:r>
                          <w:rPr>
                            <w:color w:val="585858"/>
                            <w:sz w:val="11"/>
                          </w:rPr>
                          <w:t>,</w:t>
                        </w:r>
                      </w:p>
                    </w:txbxContent>
                  </v:textbox>
                </v:rect>
                <v:rect id="Rectangle 204879" o:spid="_x0000_s1549" style="position:absolute;left:2330;top:427;width:98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15MkA&#10;AADfAAAADwAAAGRycy9kb3ducmV2LnhtbESPT2vCQBTE74V+h+UVequbSrFJzEakWvTon4L19sg+&#10;k2D2bchuTeyn7woFj8PM/IbJZoNpxIU6V1tW8DqKQBAXVtdcKvjaf77EIJxH1thYJgVXcjDLHx8y&#10;TLXteUuXnS9FgLBLUUHlfZtK6YqKDLqRbYmDd7KdQR9kV0rdYR/gppHjKJpIgzWHhQpb+qioOO9+&#10;jIJV3M6/1/a3L5vlcXXYHJLFPvFKPT8N8ykIT4O/h//ba61gHL3F7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6l15MkAAADfAAAADwAAAAAAAAAAAAAAAACYAgAA&#10;ZHJzL2Rvd25yZXYueG1sUEsFBgAAAAAEAAQA9QAAAI4DAAAAAA==&#10;" filled="f" stroked="f">
                  <v:textbox inset="0,0,0,0">
                    <w:txbxContent>
                      <w:p w:rsidR="00EE13F6" w:rsidRDefault="002E5BC4">
                        <w:r>
                          <w:rPr>
                            <w:color w:val="585858"/>
                            <w:sz w:val="11"/>
                          </w:rPr>
                          <w:t>00</w:t>
                        </w:r>
                      </w:p>
                    </w:txbxContent>
                  </v:textbox>
                </v:rect>
                <v:rect id="Rectangle 204899" o:spid="_x0000_s1550" style="position:absolute;left:6152;top:19846;width:98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THscA&#10;AADfAAAADwAAAGRycy9kb3ducmV2LnhtbESPQWvCQBSE7wX/w/IEb3WjFEmiq4i26LFVQb09ss8k&#10;mH0bslsT/fXdguBxmJlvmNmiM5W4UeNKywpGwwgEcWZ1ybmCw/7rPQbhPLLGyjIpuJODxbz3NsNU&#10;25Z/6LbzuQgQdikqKLyvUyldVpBBN7Q1cfAutjHog2xyqRtsA9xUchxFE2mw5LBQYE2rgrLr7tco&#10;2MT18rS1jzavPs+b4/cxWe8Tr9Sg3y2nIDx1/hV+trdawTj6iJME/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kx7HAAAA3wAAAA8AAAAAAAAAAAAAAAAAmAIAAGRy&#10;cy9kb3ducmV2LnhtbFBLBQYAAAAABAAEAPUAAACMAwAAAAA=&#10;" filled="f" stroked="f">
                  <v:textbox inset="0,0,0,0">
                    <w:txbxContent>
                      <w:p w:rsidR="00EE13F6" w:rsidRDefault="002E5BC4">
                        <w:r>
                          <w:rPr>
                            <w:color w:val="585858"/>
                            <w:sz w:val="11"/>
                          </w:rPr>
                          <w:t>25</w:t>
                        </w:r>
                      </w:p>
                    </w:txbxContent>
                  </v:textbox>
                </v:rect>
                <v:rect id="Rectangle 204900" o:spid="_x0000_s1551" style="position:absolute;left:5998;top:19846;width:23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gmcYA&#10;AADfAAAADwAAAGRycy9kb3ducmV2LnhtbESPzWrCQBSF9wXfYbhCd3VGkWKio4hWdFljQd1dMtck&#10;mLkTMlOT9uk7C6HLw/njW6x6W4sHtb5yrGE8UiCIc2cqLjR8nXZvMxA+IBusHZOGH/KwWg5eFpga&#10;1/GRHlkoRBxhn6KGMoQmldLnJVn0I9cQR+/mWoshyraQpsUujttaTpR6lxYrjg8lNrQpKb9n31bD&#10;ftasLwf32xX1x3V//jwn21MStH4d9us5iEB9+A8/2wejYaKmiYoEkSey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SgmcYAAADfAAAADwAAAAAAAAAAAAAAAACYAgAAZHJz&#10;L2Rvd25yZXYueG1sUEsFBgAAAAAEAAQA9QAAAIsDAAAAAA==&#10;" filled="f" stroked="f">
                  <v:textbox inset="0,0,0,0">
                    <w:txbxContent>
                      <w:p w:rsidR="00EE13F6" w:rsidRDefault="002E5BC4">
                        <w:r>
                          <w:rPr>
                            <w:color w:val="585858"/>
                            <w:sz w:val="11"/>
                          </w:rPr>
                          <w:t>,</w:t>
                        </w:r>
                      </w:p>
                    </w:txbxContent>
                  </v:textbox>
                </v:rect>
                <v:rect id="Rectangle 204898" o:spid="_x0000_s1552" style="position:absolute;left:5613;top:19846;width:467;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2hcMA&#10;AADfAAAADwAAAGRycy9kb3ducmV2LnhtbERPy4rCMBTdC/MP4Q6401QZpK1GkXmgS1+g7i7NtS02&#10;N6XJ2OrXm4Xg8nDes0VnKnGjxpWWFYyGEQjizOqScwWH/d8gBuE8ssbKMim4k4PF/KM3w1Tblrd0&#10;2/lchBB2KSoovK9TKV1WkEE3tDVx4C62MegDbHKpG2xDuKnkOIom0mDJoaHAmr4Lyq67f6NgFdfL&#10;09o+2rz6Pa+Om2Pys0+8Uv3PbjkF4anzb/HLvdYKxtFXnITB4U/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k2hcMAAADfAAAADwAAAAAAAAAAAAAAAACYAgAAZHJzL2Rv&#10;d25yZXYueG1sUEsFBgAAAAAEAAQA9QAAAIgDAAAAAA==&#10;" filled="f" stroked="f">
                  <v:textbox inset="0,0,0,0">
                    <w:txbxContent>
                      <w:p w:rsidR="00EE13F6" w:rsidRDefault="002E5BC4">
                        <w:r>
                          <w:rPr>
                            <w:color w:val="585858"/>
                            <w:sz w:val="11"/>
                          </w:rPr>
                          <w:t>1</w:t>
                        </w:r>
                      </w:p>
                    </w:txbxContent>
                  </v:textbox>
                </v:rect>
                <v:rect id="Rectangle 204902" o:spid="_x0000_s1553" style="position:absolute;left:11409;top:19846;width:98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dccA&#10;AADfAAAADwAAAGRycy9kb3ducmV2LnhtbESPQWvCQBSE70L/w/IKveluQykmuopoix6tCurtkX0m&#10;odm3Ibs1aX+9WxA8DjPzDTOd97YWV2p95VjD60iBIM6dqbjQcNh/DscgfEA2WDsmDb/kYT57Gkwx&#10;M67jL7ruQiEihH2GGsoQmkxKn5dk0Y9cQxy9i2sthijbQpoWuwi3tUyUepcWK44LJTa0LCn/3v1Y&#10;Detxszht3F9X1B/n9XF7TFf7NGj98twvJiAC9eERvrc3RkOi3lKVwP+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m3XHAAAA3wAAAA8AAAAAAAAAAAAAAAAAmAIAAGRy&#10;cy9kb3ducmV2LnhtbFBLBQYAAAAABAAEAPUAAACMAwAAAAA=&#10;" filled="f" stroked="f">
                  <v:textbox inset="0,0,0,0">
                    <w:txbxContent>
                      <w:p w:rsidR="00EE13F6" w:rsidRDefault="002E5BC4">
                        <w:r>
                          <w:rPr>
                            <w:color w:val="585858"/>
                            <w:sz w:val="11"/>
                          </w:rPr>
                          <w:t>43</w:t>
                        </w:r>
                      </w:p>
                    </w:txbxContent>
                  </v:textbox>
                </v:rect>
                <v:rect id="Rectangle 204903" o:spid="_x0000_s1554" style="position:absolute;left:11255;top:19846;width:23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7sgA&#10;AADfAAAADwAAAGRycy9kb3ducmV2LnhtbESPW2vCQBSE34X+h+UIfdNdrRQTXUV6QR+9FKxvh+xp&#10;Epo9G7JbE/31rlDwcZiZb5j5srOVOFPjS8caRkMFgjhzpuRcw9fhczAF4QOywcoxabiQh+XiqTfH&#10;1LiWd3Teh1xECPsUNRQh1KmUPivIoh+6mjh6P66xGKJscmkabCPcVnKs1Ku0WHJcKLCmt4Ky3/2f&#10;1bCe1qvvjbu2efVxWh+3x+T9kAStn/vdagYiUBce4f/2xmgYq0miXuD+J3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j7uyAAAAN8AAAAPAAAAAAAAAAAAAAAAAJgCAABk&#10;cnMvZG93bnJldi54bWxQSwUGAAAAAAQABAD1AAAAjQMAAAAA&#10;" filled="f" stroked="f">
                  <v:textbox inset="0,0,0,0">
                    <w:txbxContent>
                      <w:p w:rsidR="00EE13F6" w:rsidRDefault="002E5BC4">
                        <w:r>
                          <w:rPr>
                            <w:color w:val="585858"/>
                            <w:sz w:val="11"/>
                          </w:rPr>
                          <w:t>,</w:t>
                        </w:r>
                      </w:p>
                    </w:txbxContent>
                  </v:textbox>
                </v:rect>
                <v:rect id="Rectangle 204901" o:spid="_x0000_s1555" style="position:absolute;left:10869;top:19846;width:46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FAscA&#10;AADfAAAADwAAAGRycy9kb3ducmV2LnhtbESPQWvCQBSE7wX/w/IEb3VXKWKiq4i26NFqwXp7ZF+T&#10;0OzbkN2a6K93C4LHYWa+YebLzlbiQo0vHWsYDRUI4syZknMNX8eP1ykIH5ANVo5Jw5U8LBe9lzmm&#10;xrX8SZdDyEWEsE9RQxFCnUrps4Is+qGriaP34xqLIcoml6bBNsJtJcdKTaTFkuNCgTWtC8p+D39W&#10;w3Zar7537tbm1ft5e9qfks0xCVoP+t1qBiJQF57hR3tnNIzVW6JG8P8nf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4BQLHAAAA3wAAAA8AAAAAAAAAAAAAAAAAmAIAAGRy&#10;cy9kb3ducmV2LnhtbFBLBQYAAAAABAAEAPUAAACMAwAAAAA=&#10;" filled="f" stroked="f">
                  <v:textbox inset="0,0,0,0">
                    <w:txbxContent>
                      <w:p w:rsidR="00EE13F6" w:rsidRDefault="002E5BC4">
                        <w:r>
                          <w:rPr>
                            <w:color w:val="585858"/>
                            <w:sz w:val="11"/>
                          </w:rPr>
                          <w:t>1</w:t>
                        </w:r>
                      </w:p>
                    </w:txbxContent>
                  </v:textbox>
                </v:rect>
                <v:rect id="Rectangle 204905" o:spid="_x0000_s1556" style="position:absolute;left:16666;top:19846;width:98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DAcgA&#10;AADfAAAADwAAAGRycy9kb3ducmV2LnhtbESPW2vCQBSE34X+h+UIfdNdpRYTXUV6QR+9FKxvh+xp&#10;Epo9G7JbE/31rlDwcZiZb5j5srOVOFPjS8caRkMFgjhzpuRcw9fhczAF4QOywcoxabiQh+XiqTfH&#10;1LiWd3Teh1xECPsUNRQh1KmUPivIoh+6mjh6P66xGKJscmkabCPcVnKs1Ku0WHJcKLCmt4Ky3/2f&#10;1bCe1qvvjbu2efVxWh+3x+T9kAStn/vdagYiUBce4f/2xmgYq5dETeD+J3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AwMByAAAAN8AAAAPAAAAAAAAAAAAAAAAAJgCAABk&#10;cnMvZG93bnJldi54bWxQSwUGAAAAAAQABAD1AAAAjQMAAAAA&#10;" filled="f" stroked="f">
                  <v:textbox inset="0,0,0,0">
                    <w:txbxContent>
                      <w:p w:rsidR="00EE13F6" w:rsidRDefault="002E5BC4">
                        <w:r>
                          <w:rPr>
                            <w:color w:val="585858"/>
                            <w:sz w:val="11"/>
                          </w:rPr>
                          <w:t>67</w:t>
                        </w:r>
                      </w:p>
                    </w:txbxContent>
                  </v:textbox>
                </v:rect>
                <v:rect id="Rectangle 204906" o:spid="_x0000_s1557" style="position:absolute;left:16511;top:19846;width:23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ddscA&#10;AADfAAAADwAAAGRycy9kb3ducmV2LnhtbESPQWvCQBSE74L/YXlCb7qrFDHRVcRW9NiqoN4e2WcS&#10;zL4N2dWk/fXdQqHHYWa+YRarzlbiSY0vHWsYjxQI4syZknMNp+N2OAPhA7LByjFp+CIPq2W/t8DU&#10;uJY/6XkIuYgQ9ilqKEKoUyl9VpBFP3I1cfRurrEYomxyaRpsI9xWcqLUVFosOS4UWNOmoOx+eFgN&#10;u1m9vuzdd5tX79fd+eOcvB2ToPXLoFvPQQTqwn/4r703GibqNVFT+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RnXbHAAAA3wAAAA8AAAAAAAAAAAAAAAAAmAIAAGRy&#10;cy9kb3ducmV2LnhtbFBLBQYAAAAABAAEAPUAAACMAwAAAAA=&#10;" filled="f" stroked="f">
                  <v:textbox inset="0,0,0,0">
                    <w:txbxContent>
                      <w:p w:rsidR="00EE13F6" w:rsidRDefault="002E5BC4">
                        <w:r>
                          <w:rPr>
                            <w:color w:val="585858"/>
                            <w:sz w:val="11"/>
                          </w:rPr>
                          <w:t>,</w:t>
                        </w:r>
                      </w:p>
                    </w:txbxContent>
                  </v:textbox>
                </v:rect>
                <v:rect id="Rectangle 204904" o:spid="_x0000_s1558" style="position:absolute;left:16126;top:19846;width:46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mscA&#10;AADfAAAADwAAAGRycy9kb3ducmV2LnhtbESPQWvCQBSE7wX/w/KE3uquImKiq4it6LFVQb09ss8k&#10;mH0bsqtJ/fXdQqHHYWa+YebLzlbiQY0vHWsYDhQI4syZknMNx8PmbQrCB2SDlWPS8E0eloveyxxT&#10;41r+osc+5CJC2KeooQihTqX0WUEW/cDVxNG7usZiiLLJpWmwjXBbyZFSE2mx5LhQYE3rgrLb/m41&#10;bKf16rxzzzavPi7b0+cpeT8kQevXfreagQjUhf/wX3tnNIzUOFFj+P0Tv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PpprHAAAA3wAAAA8AAAAAAAAAAAAAAAAAmAIAAGRy&#10;cy9kb3ducmV2LnhtbFBLBQYAAAAABAAEAPUAAACMAwAAAAA=&#10;" filled="f" stroked="f">
                  <v:textbox inset="0,0,0,0">
                    <w:txbxContent>
                      <w:p w:rsidR="00EE13F6" w:rsidRDefault="002E5BC4">
                        <w:r>
                          <w:rPr>
                            <w:color w:val="585858"/>
                            <w:sz w:val="11"/>
                          </w:rPr>
                          <w:t>1</w:t>
                        </w:r>
                      </w:p>
                    </w:txbxContent>
                  </v:textbox>
                </v:rect>
                <v:rect id="Rectangle 204910" o:spid="_x0000_s1559" style="position:absolute;left:21768;top:19846;width:23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2RMYA&#10;AADfAAAADwAAAGRycy9kb3ducmV2LnhtbESPzYrCMBSF98K8Q7gD7jRVRGw1iswoutQ64Li7NHfa&#10;Ms1NaaKtPr1ZCC4P549vsepMJW7UuNKygtEwAkGcWV1yruDntB3MQDiPrLGyTAru5GC1/OgtMNG2&#10;5SPdUp+LMMIuQQWF93UipcsKMuiGtiYO3p9tDPogm1zqBtswbio5jqKpNFhyeCiwpq+Csv/0ahTs&#10;ZvX6d28fbV5tLrvz4Rx/n2KvVP+zW89BeOr8O/xq77WCcTSJR4Eg8AQW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02RMYAAADfAAAADwAAAAAAAAAAAAAAAACYAgAAZHJz&#10;L2Rvd25yZXYueG1sUEsFBgAAAAAEAAQA9QAAAIsDAAAAAA==&#10;" filled="f" stroked="f">
                  <v:textbox inset="0,0,0,0">
                    <w:txbxContent>
                      <w:p w:rsidR="00EE13F6" w:rsidRDefault="002E5BC4">
                        <w:r>
                          <w:rPr>
                            <w:color w:val="585858"/>
                            <w:sz w:val="11"/>
                          </w:rPr>
                          <w:t>,</w:t>
                        </w:r>
                      </w:p>
                    </w:txbxContent>
                  </v:textbox>
                </v:rect>
                <v:rect id="Rectangle 204909" o:spid="_x0000_s1560" style="position:absolute;left:21923;top:19846;width:98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JBMcA&#10;AADfAAAADwAAAGRycy9kb3ducmV2LnhtbESPW4vCMBSE3wX/QzjCvmmysoitRpG9oI/ewN23Q3Ns&#10;yzYnpcnarr/eCIKPw8x8w8yXna3EhRpfOtbwOlIgiDNnSs41HA9fwykIH5ANVo5Jwz95WC76vTmm&#10;xrW8o8s+5CJC2KeooQihTqX0WUEW/cjVxNE7u8ZiiLLJpWmwjXBbybFSE2mx5LhQYE3vBWW/+z+r&#10;YT2tV98bd23z6vNnfdqeko9DErR+GXSrGYhAXXiGH+2N0TBWb4lK4P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OCQTHAAAA3wAAAA8AAAAAAAAAAAAAAAAAmAIAAGRy&#10;cy9kb3ducmV2LnhtbFBLBQYAAAAABAAEAPUAAACMAwAAAAA=&#10;" filled="f" stroked="f">
                  <v:textbox inset="0,0,0,0">
                    <w:txbxContent>
                      <w:p w:rsidR="00EE13F6" w:rsidRDefault="002E5BC4">
                        <w:r>
                          <w:rPr>
                            <w:color w:val="585858"/>
                            <w:sz w:val="11"/>
                          </w:rPr>
                          <w:t>00</w:t>
                        </w:r>
                      </w:p>
                    </w:txbxContent>
                  </v:textbox>
                </v:rect>
                <v:rect id="Rectangle 204908" o:spid="_x0000_s1561" style="position:absolute;left:21383;top:19846;width:46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sn8QA&#10;AADfAAAADwAAAGRycy9kb3ducmV2LnhtbERPz2vCMBS+D/wfwhN2m4kiw1ajiE70OOtAvT2aZ1ts&#10;XkqT2W5//XIQdvz4fi9Wva3Fg1pfOdYwHikQxLkzFRcavk67txkIH5AN1o5Jww95WC0HLwtMjev4&#10;SI8sFCKGsE9RQxlCk0rp85Is+pFriCN3c63FEGFbSNNiF8NtLSdKvUuLFceGEhvalJTfs2+rYT9r&#10;1peD++2K+uO6P3+ek+0pCVq/Dvv1HESgPvyLn+6D0TBR00TFwfF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CrJ/EAAAA3wAAAA8AAAAAAAAAAAAAAAAAmAIAAGRycy9k&#10;b3ducmV2LnhtbFBLBQYAAAAABAAEAPUAAACJAwAAAAA=&#10;" filled="f" stroked="f">
                  <v:textbox inset="0,0,0,0">
                    <w:txbxContent>
                      <w:p w:rsidR="00EE13F6" w:rsidRDefault="002E5BC4">
                        <w:r>
                          <w:rPr>
                            <w:color w:val="585858"/>
                            <w:sz w:val="11"/>
                          </w:rPr>
                          <w:t>2</w:t>
                        </w:r>
                      </w:p>
                    </w:txbxContent>
                  </v:textbox>
                </v:rect>
                <v:rect id="Rectangle 204912" o:spid="_x0000_s1562" style="position:absolute;left:27179;top:19846;width:98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NqMgA&#10;AADfAAAADwAAAGRycy9kb3ducmV2LnhtbESPQWvCQBSE74X+h+UVvNWNoYiJWUVaix5bFdTbI/ua&#10;hGbfhuyaRH99tyB4HGbmGyZbDqYWHbWusqxgMo5AEOdWV1woOOw/X2cgnEfWWFsmBVdysFw8P2WY&#10;atvzN3U7X4gAYZeigtL7JpXS5SUZdGPbEAfvx7YGfZBtIXWLfYCbWsZRNJUGKw4LJTb0XlL+u7sY&#10;BZtZszpt7a0v6vV5c/w6Jh/7xCs1ehlWcxCeBv8I39tbrSCO3pJJDP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Mw2oyAAAAN8AAAAPAAAAAAAAAAAAAAAAAJgCAABk&#10;cnMvZG93bnJldi54bWxQSwUGAAAAAAQABAD1AAAAjQMAAAAA&#10;" filled="f" stroked="f">
                  <v:textbox inset="0,0,0,0">
                    <w:txbxContent>
                      <w:p w:rsidR="00EE13F6" w:rsidRDefault="002E5BC4">
                        <w:r>
                          <w:rPr>
                            <w:color w:val="585858"/>
                            <w:sz w:val="11"/>
                          </w:rPr>
                          <w:t>50</w:t>
                        </w:r>
                      </w:p>
                    </w:txbxContent>
                  </v:textbox>
                </v:rect>
                <v:rect id="Rectangle 204913" o:spid="_x0000_s1563" style="position:absolute;left:27025;top:19846;width:23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M8gA&#10;AADfAAAADwAAAGRycy9kb3ducmV2LnhtbESPQWvCQBSE70L/w/IK3nSjFjHRTZC2oseqBfX2yD6T&#10;0OzbkF1N2l/fLQg9DjPzDbPKelOLO7WusqxgMo5AEOdWV1wo+DxuRgsQziNrrC2Tgm9ykKVPgxUm&#10;2na8p/vBFyJA2CWooPS+SaR0eUkG3dg2xMG72tagD7ItpG6xC3BTy2kUzaXBisNCiQ29lpR/HW5G&#10;wXbRrM87+9MV9ftle/o4xW/H2Cs1fO7XSxCeev8ffrR3WsE0eoknM/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f6gzyAAAAN8AAAAPAAAAAAAAAAAAAAAAAJgCAABk&#10;cnMvZG93bnJldi54bWxQSwUGAAAAAAQABAD1AAAAjQMAAAAA&#10;" filled="f" stroked="f">
                  <v:textbox inset="0,0,0,0">
                    <w:txbxContent>
                      <w:p w:rsidR="00EE13F6" w:rsidRDefault="002E5BC4">
                        <w:r>
                          <w:rPr>
                            <w:color w:val="585858"/>
                            <w:sz w:val="11"/>
                          </w:rPr>
                          <w:t>,</w:t>
                        </w:r>
                      </w:p>
                    </w:txbxContent>
                  </v:textbox>
                </v:rect>
                <v:rect id="Rectangle 204911" o:spid="_x0000_s1564" style="position:absolute;left:26639;top:19846;width:46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T38gA&#10;AADfAAAADwAAAGRycy9kb3ducmV2LnhtbESPT2vCQBTE7wW/w/IEb3UTkWLSrCL+QY+tFmxvj+wz&#10;CWbfhuyaxH76bqHQ4zAzv2Gy1WBq0VHrKssK4mkEgji3uuJCwcd5/7wA4TyyxtoyKXiQg9Vy9JRh&#10;qm3P79SdfCEChF2KCkrvm1RKl5dk0E1tQxy8q20N+iDbQuoW+wA3tZxF0Ys0WHFYKLGhTUn57XQ3&#10;Cg6LZv15tN99Ue++Dpe3S7I9J16pyXhYv4LwNPj/8F/7qBXMonkSx/D7J3w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4ZPfyAAAAN8AAAAPAAAAAAAAAAAAAAAAAJgCAABk&#10;cnMvZG93bnJldi54bWxQSwUGAAAAAAQABAD1AAAAjQMAAAAA&#10;" filled="f" stroked="f">
                  <v:textbox inset="0,0,0,0">
                    <w:txbxContent>
                      <w:p w:rsidR="00EE13F6" w:rsidRDefault="002E5BC4">
                        <w:r>
                          <w:rPr>
                            <w:color w:val="585858"/>
                            <w:sz w:val="11"/>
                          </w:rPr>
                          <w:t>2</w:t>
                        </w:r>
                      </w:p>
                    </w:txbxContent>
                  </v:textbox>
                </v:rect>
                <v:rect id="Rectangle 204915" o:spid="_x0000_s1565" style="position:absolute;left:32436;top:19846;width:98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V3MgA&#10;AADfAAAADwAAAGRycy9kb3ducmV2LnhtbESPQWvCQBSE70L/w/IK3nSjWDHRTZC2oseqBfX2yD6T&#10;0OzbkF1N2l/fLQg9DjPzDbPKelOLO7WusqxgMo5AEOdWV1wo+DxuRgsQziNrrC2Tgm9ykKVPgxUm&#10;2na8p/vBFyJA2CWooPS+SaR0eUkG3dg2xMG72tagD7ItpG6xC3BTy2kUzaXBisNCiQ29lpR/HW5G&#10;wXbRrM87+9MV9ftle/o4xW/H2Cs1fO7XSxCeev8ffrR3WsE0msWTF/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2pXcyAAAAN8AAAAPAAAAAAAAAAAAAAAAAJgCAABk&#10;cnMvZG93bnJldi54bWxQSwUGAAAAAAQABAD1AAAAjQMAAAAA&#10;" filled="f" stroked="f">
                  <v:textbox inset="0,0,0,0">
                    <w:txbxContent>
                      <w:p w:rsidR="00EE13F6" w:rsidRDefault="002E5BC4">
                        <w:r>
                          <w:rPr>
                            <w:color w:val="585858"/>
                            <w:sz w:val="11"/>
                          </w:rPr>
                          <w:t>33</w:t>
                        </w:r>
                      </w:p>
                    </w:txbxContent>
                  </v:textbox>
                </v:rect>
                <v:rect id="Rectangle 204917" o:spid="_x0000_s1566" style="position:absolute;left:32282;top:19846;width:23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uMMgA&#10;AADfAAAADwAAAGRycy9kb3ducmV2LnhtbESPQWvCQBSE70L/w/IK3nSjSDXRTZC2oseqBfX2yD6T&#10;0OzbkF1N2l/fLQg9DjPzDbPKelOLO7WusqxgMo5AEOdWV1wo+DxuRgsQziNrrC2Tgm9ykKVPgxUm&#10;2na8p/vBFyJA2CWooPS+SaR0eUkG3dg2xMG72tagD7ItpG6xC3BTy2kUvUiDFYeFEht6LSn/OtyM&#10;gu2iWZ939qcr6vfL9vRxit+OsVdq+NyvlyA89f4//GjvtIJpNIsnc/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RK4wyAAAAN8AAAAPAAAAAAAAAAAAAAAAAJgCAABk&#10;cnMvZG93bnJldi54bWxQSwUGAAAAAAQABAD1AAAAjQMAAAAA&#10;" filled="f" stroked="f">
                  <v:textbox inset="0,0,0,0">
                    <w:txbxContent>
                      <w:p w:rsidR="00EE13F6" w:rsidRDefault="002E5BC4">
                        <w:r>
                          <w:rPr>
                            <w:color w:val="585858"/>
                            <w:sz w:val="11"/>
                          </w:rPr>
                          <w:t>,</w:t>
                        </w:r>
                      </w:p>
                    </w:txbxContent>
                  </v:textbox>
                </v:rect>
                <v:rect id="Rectangle 204914" o:spid="_x0000_s1567" style="position:absolute;left:31896;top:19846;width:46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wR8cA&#10;AADfAAAADwAAAGRycy9kb3ducmV2LnhtbESPT4vCMBTE78J+h/AWvGmqiNhqFFld9OifBfX2aJ5t&#10;2ealNFlb/fRGEPY4zMxvmNmiNaW4Ue0KywoG/QgEcWp1wZmCn+N3bwLCeWSNpWVScCcHi/lHZ4aJ&#10;tg3v6XbwmQgQdgkqyL2vEildmpNB17cVcfCutjbog6wzqWtsAtyUchhFY2mw4LCQY0VfOaW/hz+j&#10;YDOpluetfTRZub5sTrtTvDrGXqnuZ7ucgvDU+v/wu73VCobRKB6M4PUnf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WMEfHAAAA3wAAAA8AAAAAAAAAAAAAAAAAmAIAAGRy&#10;cy9kb3ducmV2LnhtbFBLBQYAAAAABAAEAPUAAACMAwAAAAA=&#10;" filled="f" stroked="f">
                  <v:textbox inset="0,0,0,0">
                    <w:txbxContent>
                      <w:p w:rsidR="00EE13F6" w:rsidRDefault="002E5BC4">
                        <w:r>
                          <w:rPr>
                            <w:color w:val="585858"/>
                            <w:sz w:val="11"/>
                          </w:rPr>
                          <w:t>3</w:t>
                        </w:r>
                      </w:p>
                    </w:txbxContent>
                  </v:textbox>
                </v:rect>
                <v:rect id="Rectangle 204918" o:spid="_x0000_s1568" style="position:absolute;left:37153;top:19846;width:46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6QsQA&#10;AADfAAAADwAAAGRycy9kb3ducmV2LnhtbERPTYvCMBC9C/sfwix401QRsdUosqvoUeuC621oZtuy&#10;zaQ00VZ/vTkIHh/ve7HqTCVu1LjSsoLRMAJBnFldcq7g57QdzEA4j6yxskwK7uRgtfzoLTDRtuUj&#10;3VKfixDCLkEFhfd1IqXLCjLohrYmDtyfbQz6AJtc6gbbEG4qOY6iqTRYcmgosKavgrL/9GoU7Gb1&#10;+ndvH21ebS678+Ecf59ir1T/s1vPQXjq/Fv8cu+1gnE0iUdhcPgTv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OkLEAAAA3wAAAA8AAAAAAAAAAAAAAAAAmAIAAGRycy9k&#10;b3ducmV2LnhtbFBLBQYAAAAABAAEAPUAAACJAwAAAAA=&#10;" filled="f" stroked="f">
                  <v:textbox inset="0,0,0,0">
                    <w:txbxContent>
                      <w:p w:rsidR="00EE13F6" w:rsidRDefault="002E5BC4">
                        <w:r>
                          <w:rPr>
                            <w:color w:val="585858"/>
                            <w:sz w:val="11"/>
                          </w:rPr>
                          <w:t>4</w:t>
                        </w:r>
                      </w:p>
                    </w:txbxContent>
                  </v:textbox>
                </v:rect>
                <v:rect id="Rectangle 204920" o:spid="_x0000_s1569" style="position:absolute;left:37538;top:19846;width:23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8+ccA&#10;AADfAAAADwAAAGRycy9kb3ducmV2LnhtbESPzWrCQBSF9wXfYbiCu2bSIMVERxGtxGWrhbS7S+aa&#10;hGbuhMw0iX36zqLQ5eH88W12k2nFQL1rLCt4imIQxKXVDVcK3q+nxxUI55E1tpZJwZ0c7Lazhw1m&#10;2o78RsPFVyKMsMtQQe19l0npypoMush2xMG72d6gD7KvpO5xDOOmlUkcP0uDDYeHGjs61FR+Xb6N&#10;gnzV7T/O9mes2pfPvHgt0uM19Uot5tN+DcLT5P/Df+2zVpDEyzQJ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B/PnHAAAA3wAAAA8AAAAAAAAAAAAAAAAAmAIAAGRy&#10;cy9kb3ducmV2LnhtbFBLBQYAAAAABAAEAPUAAACMAwAAAAA=&#10;" filled="f" stroked="f">
                  <v:textbox inset="0,0,0,0">
                    <w:txbxContent>
                      <w:p w:rsidR="00EE13F6" w:rsidRDefault="002E5BC4">
                        <w:r>
                          <w:rPr>
                            <w:color w:val="585858"/>
                            <w:sz w:val="11"/>
                          </w:rPr>
                          <w:t>,</w:t>
                        </w:r>
                      </w:p>
                    </w:txbxContent>
                  </v:textbox>
                </v:rect>
                <v:rect id="Rectangle 204919" o:spid="_x0000_s1570" style="position:absolute;left:37693;top:19846;width:98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f2cgA&#10;AADfAAAADwAAAGRycy9kb3ducmV2LnhtbESPQWvCQBSE7wX/w/KE3uomoRQTXUPQFj22Kqi3R/aZ&#10;BLNvQ3Zr0v76bqHQ4zAz3zDLfDStuFPvGssK4lkEgri0uuFKwfHw9jQH4TyyxtYyKfgiB/lq8rDE&#10;TNuBP+i+95UIEHYZKqi97zIpXVmTQTezHXHwrrY36IPsK6l7HALctDKJohdpsOGwUGNH65rK2/7T&#10;KNjOu+K8s99D1b5etqf3U7o5pF6px+lYLEB4Gv1/+K+90wqS6DmNU/j9E7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l5/ZyAAAAN8AAAAPAAAAAAAAAAAAAAAAAJgCAABk&#10;cnMvZG93bnJldi54bWxQSwUGAAAAAAQABAD1AAAAjQMAAAAA&#10;" filled="f" stroked="f">
                  <v:textbox inset="0,0,0,0">
                    <w:txbxContent>
                      <w:p w:rsidR="00EE13F6" w:rsidRDefault="002E5BC4">
                        <w:r>
                          <w:rPr>
                            <w:color w:val="585858"/>
                            <w:sz w:val="11"/>
                          </w:rPr>
                          <w:t>00</w:t>
                        </w:r>
                      </w:p>
                    </w:txbxContent>
                  </v:textbox>
                </v:rect>
                <v:rect id="Rectangle 21422" o:spid="_x0000_s1571" style="position:absolute;left:42872;top:19846;width:46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AKMYA&#10;AADeAAAADwAAAGRycy9kb3ducmV2LnhtbESPT4vCMBTE78J+h/AWvGlqEdFqFNlV9OifBdfbo3nb&#10;lm1eShNt9dMbQfA4zMxvmNmiNaW4Uu0KywoG/QgEcWp1wZmCn+O6NwbhPLLG0jIpuJGDxfyjM8NE&#10;24b3dD34TAQIuwQV5N5XiZQuzcmg69uKOHh/tjbog6wzqWtsAtyUMo6ikTRYcFjIsaKvnNL/w8Uo&#10;2Iyr5e/W3pusXJ03p91p8n2ceKW6n+1yCsJT69/hV3urFcSDY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JAKMYAAADeAAAADwAAAAAAAAAAAAAAAACYAgAAZHJz&#10;L2Rvd25yZXYueG1sUEsFBgAAAAAEAAQA9QAAAIsDAAAAAA==&#10;" filled="f" stroked="f">
                  <v:textbox inset="0,0,0,0">
                    <w:txbxContent>
                      <w:p w:rsidR="00EE13F6" w:rsidRDefault="002E5BC4">
                        <w:r>
                          <w:rPr>
                            <w:color w:val="585858"/>
                            <w:sz w:val="11"/>
                          </w:rPr>
                          <w:t>5</w:t>
                        </w:r>
                      </w:p>
                    </w:txbxContent>
                  </v:textbox>
                </v:rect>
                <v:rect id="Rectangle 204921" o:spid="_x0000_s1572" style="position:absolute;left:47666;top:19846;width:46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1ZYsgA&#10;AADfAAAADwAAAGRycy9kb3ducmV2LnhtbESPQWvCQBSE74X+h+UVvNWNoYiJWUVaix5bFdTbI/ua&#10;hGbfhuyaRH99tyB4HGbmGyZbDqYWHbWusqxgMo5AEOdWV1woOOw/X2cgnEfWWFsmBVdysFw8P2WY&#10;atvzN3U7X4gAYZeigtL7JpXS5SUZdGPbEAfvx7YGfZBtIXWLfYCbWsZRNJUGKw4LJTb0XlL+u7sY&#10;BZtZszpt7a0v6vV5c/w6Jh/7xCs1ehlWcxCeBv8I39tbrSCO3pJ4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VliyAAAAN8AAAAPAAAAAAAAAAAAAAAAAJgCAABk&#10;cnMvZG93bnJldi54bWxQSwUGAAAAAAQABAD1AAAAjQMAAAAA&#10;" filled="f" stroked="f">
                  <v:textbox inset="0,0,0,0">
                    <w:txbxContent>
                      <w:p w:rsidR="00EE13F6" w:rsidRDefault="002E5BC4">
                        <w:r>
                          <w:rPr>
                            <w:color w:val="585858"/>
                            <w:sz w:val="11"/>
                          </w:rPr>
                          <w:t>6</w:t>
                        </w:r>
                      </w:p>
                    </w:txbxContent>
                  </v:textbox>
                </v:rect>
                <v:rect id="Rectangle 204922" o:spid="_x0000_s1573" style="position:absolute;left:48206;top:19846;width:98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FcgA&#10;AADfAAAADwAAAGRycy9kb3ducmV2LnhtbESPQWvCQBSE74X+h+UVvNVNgxQTsxFpK3qspqDeHtln&#10;Epp9G7JbE/vru4LQ4zAz3zDZcjStuFDvGssKXqYRCOLS6oYrBV/F+nkOwnlkja1lUnAlB8v88SHD&#10;VNuBd3TZ+0oECLsUFdTed6mUrqzJoJvajjh4Z9sb9EH2ldQ9DgFuWhlH0as02HBYqLGjt5rK7/2P&#10;UbCZd6vj1v4OVftx2hw+D8l7kXilJk/jagHC0+j/w/f2ViuIo1kSx3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8cVyAAAAN8AAAAPAAAAAAAAAAAAAAAAAJgCAABk&#10;cnMvZG93bnJldi54bWxQSwUGAAAAAAQABAD1AAAAjQMAAAAA&#10;" filled="f" stroked="f">
                  <v:textbox inset="0,0,0,0">
                    <w:txbxContent>
                      <w:p w:rsidR="00EE13F6" w:rsidRDefault="002E5BC4">
                        <w:r>
                          <w:rPr>
                            <w:color w:val="585858"/>
                            <w:sz w:val="11"/>
                          </w:rPr>
                          <w:t>67</w:t>
                        </w:r>
                      </w:p>
                    </w:txbxContent>
                  </v:textbox>
                </v:rect>
                <v:rect id="Rectangle 204923" o:spid="_x0000_s1574" style="position:absolute;left:48052;top:19846;width:23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ijscA&#10;AADfAAAADwAAAGRycy9kb3ducmV2LnhtbESPQWvCQBSE7wX/w/IEb3VjLMVEVxFb0WOrgnp7ZJ9J&#10;MPs2ZFeT+uvdQqHHYWa+YWaLzlTiTo0rLSsYDSMQxJnVJecKDvv16wSE88gaK8uk4IccLOa9lxmm&#10;2rb8Tfedz0WAsEtRQeF9nUrpsoIMuqGtiYN3sY1BH2STS91gG+CmknEUvUuDJYeFAmtaFZRddzej&#10;YDOpl6etfbR59XneHL+Oycc+8UoN+t1yCsJT5//Df+2tVhBHb0k8ht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TYo7HAAAA3wAAAA8AAAAAAAAAAAAAAAAAmAIAAGRy&#10;cy9kb3ducmV2LnhtbFBLBQYAAAAABAAEAPUAAACMAwAAAAA=&#10;" filled="f" stroked="f">
                  <v:textbox inset="0,0,0,0">
                    <w:txbxContent>
                      <w:p w:rsidR="00EE13F6" w:rsidRDefault="002E5BC4">
                        <w:r>
                          <w:rPr>
                            <w:color w:val="585858"/>
                            <w:sz w:val="11"/>
                          </w:rPr>
                          <w:t>,</w:t>
                        </w:r>
                      </w:p>
                    </w:txbxContent>
                  </v:textbox>
                </v:rect>
                <v:shape id="Shape 21424" o:spid="_x0000_s1575" style="position:absolute;left:11529;top:32495;width:1465;height:0;visibility:visible;mso-wrap-style:square;v-text-anchor:top" coordsize="146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qZ8kA&#10;AADeAAAADwAAAGRycy9kb3ducmV2LnhtbESP3UrDQBSE74W+w3IK3tlNY5USuy0qLSiC0l/w7pA9&#10;TVKzZ8Pu2qR9ercg9HKYmW+YyawztTiS85VlBcNBAoI4t7riQsFmvbgbg/ABWWNtmRScyMNs2ruZ&#10;YKZty0s6rkIhIoR9hgrKEJpMSp+XZNAPbEMcvb11BkOUrpDaYRvhppZpkjxKgxXHhRIbei0p/1n9&#10;GgXnl8+de98W3/ftnD8e5uMvd0ikUrf97vkJRKAuXMP/7TetIB2O0hFc7sQr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xqZ8kAAADeAAAADwAAAAAAAAAAAAAAAACYAgAA&#10;ZHJzL2Rvd25yZXYueG1sUEsFBgAAAAAEAAQA9QAAAI4DAAAAAA==&#10;" path="m,l146459,1e" filled="f" strokecolor="#5e5e5e" strokeweight=".42825mm">
                  <v:stroke endcap="round"/>
                  <v:path arrowok="t" textboxrect="0,0,146459,1"/>
                </v:shape>
                <v:rect id="Rectangle 21425" o:spid="_x0000_s1576" style="position:absolute;left:13156;top:32070;width:394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YXMcA&#10;AADeAAAADwAAAGRycy9kb3ducmV2LnhtbESPT2vCQBTE70K/w/IK3nRjUNHoKtJW9Oifgnp7ZJ9J&#10;aPZtyK4m9tN3BaHHYWZ+w8yXrSnFnWpXWFYw6EcgiFOrC84UfB/XvQkI55E1lpZJwYMcLBdvnTkm&#10;2ja8p/vBZyJA2CWoIPe+SqR0aU4GXd9WxMG72tqgD7LOpK6xCXBTyjiKxtJgwWEhx4o+ckp/Djej&#10;YDOpVuet/W2y8uuyOe1O08/j1CvVfW9XMxCeWv8ffrW3WkE8GMY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L2FzHAAAA3gAAAA8AAAAAAAAAAAAAAAAAmAIAAGRy&#10;cy9kb3ducmV2LnhtbFBLBQYAAAAABAAEAPUAAACMAwAAAAA=&#10;" filled="f" stroked="f">
                  <v:textbox inset="0,0,0,0">
                    <w:txbxContent>
                      <w:p w:rsidR="00EE13F6" w:rsidRDefault="002E5BC4">
                        <w:r>
                          <w:rPr>
                            <w:color w:val="585858"/>
                            <w:sz w:val="11"/>
                          </w:rPr>
                          <w:t>spread</w:t>
                        </w:r>
                        <w:r>
                          <w:rPr>
                            <w:color w:val="585858"/>
                            <w:sz w:val="11"/>
                          </w:rPr>
                          <w:tab/>
                          <w:t>1%</w:t>
                        </w:r>
                      </w:p>
                    </w:txbxContent>
                  </v:textbox>
                </v:rect>
                <v:shape id="Shape 21426" o:spid="_x0000_s1577" style="position:absolute;left:17156;top:32495;width:1465;height:0;visibility:visible;mso-wrap-style:square;v-text-anchor:top" coordsize="146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BesgA&#10;AADeAAAADwAAAGRycy9kb3ducmV2LnhtbESPQWvCQBSE7wX/w/KE3urGtIQaXaUorYVgwSiIt0f2&#10;mYRm34bsVmN/vSsUehxm5htmtuhNI87UudqygvEoAkFcWF1zqWC/e396BeE8ssbGMim4koPFfPAw&#10;w1TbC2/pnPtSBAi7FBVU3replK6oyKAb2ZY4eCfbGfRBdqXUHV4C3DQyjqJEGqw5LFTY0rKi4jv/&#10;MQoyTDbr7LiS199s8my+8nVUfxyUehz2b1MQnnr/H/5rf2oF8fglTuB+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x8F6yAAAAN4AAAAPAAAAAAAAAAAAAAAAAJgCAABk&#10;cnMvZG93bnJldi54bWxQSwUGAAAAAAQABAD1AAAAjQMAAAAA&#10;" path="m,l146459,1e" filled="f" strokecolor="#b3b3b3" strokeweight=".42825mm">
                  <v:stroke endcap="round"/>
                  <v:path arrowok="t" textboxrect="0,0,146459,1"/>
                </v:shape>
                <v:rect id="Rectangle 21427" o:spid="_x0000_s1578" style="position:absolute;left:18767;top:32070;width:4863;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jsMcA&#10;AADeAAAADwAAAGRycy9kb3ducmV2LnhtbESPW2vCQBSE34X+h+UUfNONQbxEV5G2oo9eCurbIXtM&#10;QrNnQ3Y1sb++Kwh9HGbmG2a+bE0p7lS7wrKCQT8CQZxaXXCm4Pu47k1AOI+ssbRMCh7kYLl468wx&#10;0bbhPd0PPhMBwi5BBbn3VSKlS3My6Pq2Ig7e1dYGfZB1JnWNTYCbUsZRNJIGCw4LOVb0kVP6c7gZ&#10;BZtJtTpv7W+TlV+XzWl3mn4ep16p7nu7moHw1Pr/8Ku91QriwTA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V47DHAAAA3gAAAA8AAAAAAAAAAAAAAAAAmAIAAGRy&#10;cy9kb3ducmV2LnhtbFBLBQYAAAAABAAEAPUAAACMAwAAAAA=&#10;" filled="f" stroked="f">
                  <v:textbox inset="0,0,0,0">
                    <w:txbxContent>
                      <w:p w:rsidR="00EE13F6" w:rsidRDefault="002E5BC4">
                        <w:r>
                          <w:rPr>
                            <w:color w:val="585858"/>
                            <w:sz w:val="11"/>
                          </w:rPr>
                          <w:t>spread</w:t>
                        </w:r>
                        <w:r>
                          <w:rPr>
                            <w:color w:val="585858"/>
                            <w:sz w:val="11"/>
                          </w:rPr>
                          <w:tab/>
                        </w:r>
                        <w:r>
                          <w:rPr>
                            <w:color w:val="585858"/>
                            <w:sz w:val="11"/>
                          </w:rPr>
                          <w:tab/>
                          <w:t>1.5%</w:t>
                        </w:r>
                      </w:p>
                    </w:txbxContent>
                  </v:textbox>
                </v:rect>
                <v:shape id="Shape 21428" o:spid="_x0000_s1579" style="position:absolute;left:23400;top:32495;width:1542;height:0;visibility:visible;mso-wrap-style:square;v-text-anchor:top" coordsize="154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zE8IA&#10;AADeAAAADwAAAGRycy9kb3ducmV2LnhtbERPTYvCMBC9L/gfwgje1tRSZOkaRRRBEJVV1/PYjG2x&#10;mZQkav335rCwx8f7nsw604gHOV9bVjAaJiCIC6trLhWcjqvPLxA+IGtsLJOCF3mYTXsfE8y1ffIP&#10;PQ6hFDGEfY4KqhDaXEpfVGTQD21LHLmrdQZDhK6U2uEzhptGpkkylgZrjg0VtrSoqLgd7kbB0mT3&#10;zZ4vx1+3XZ53rrEn7jKlBv1u/g0iUBf+xX/utVaQjrI07o134hW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MTwgAAAN4AAAAPAAAAAAAAAAAAAAAAAJgCAABkcnMvZG93&#10;bnJldi54bWxQSwUGAAAAAAQABAD1AAAAhwMAAAAA&#10;" path="m,l154167,1e" filled="f" strokecolor="#898989" strokeweight=".42825mm">
                  <v:stroke endcap="round"/>
                  <v:path arrowok="t" textboxrect="0,0,154167,1"/>
                </v:shape>
                <v:rect id="Rectangle 21429" o:spid="_x0000_s1580" style="position:absolute;left:25061;top:32070;width:394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SWccA&#10;AADeAAAADwAAAGRycy9kb3ducmV2LnhtbESPQWvCQBSE7wX/w/IEb3VjEDFpVhGt6LHVgu3tkX0m&#10;wezbkN0m0V/fLRR6HGbmGyZbD6YWHbWusqxgNo1AEOdWV1wo+Djvn5cgnEfWWFsmBXdysF6NnjJM&#10;te35nbqTL0SAsEtRQel9k0rp8pIMuqltiIN3ta1BH2RbSN1iH+CmlnEULaTBisNCiQ1tS8pvp2+j&#10;4LBsNp9H++iL+vXrcHm7JLtz4pWajIfNCwhPg/8P/7WPWkE8m8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G0lnHAAAA3gAAAA8AAAAAAAAAAAAAAAAAmAIAAGRy&#10;cy9kb3ducmV2LnhtbFBLBQYAAAAABAAEAPUAAACMAwAAAAA=&#10;" filled="f" stroked="f">
                  <v:textbox inset="0,0,0,0">
                    <w:txbxContent>
                      <w:p w:rsidR="00EE13F6" w:rsidRDefault="002E5BC4">
                        <w:r>
                          <w:rPr>
                            <w:color w:val="585858"/>
                            <w:sz w:val="11"/>
                          </w:rPr>
                          <w:t>spread</w:t>
                        </w:r>
                        <w:r>
                          <w:rPr>
                            <w:color w:val="585858"/>
                            <w:sz w:val="11"/>
                          </w:rPr>
                          <w:tab/>
                          <w:t>2%</w:t>
                        </w:r>
                      </w:p>
                    </w:txbxContent>
                  </v:textbox>
                </v:rect>
                <v:shape id="Shape 21430" o:spid="_x0000_s1581" style="position:absolute;left:29027;top:32495;width:1465;height:0;visibility:visible;mso-wrap-style:square;v-text-anchor:top" coordsize="146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5W8UA&#10;AADeAAAADwAAAGRycy9kb3ducmV2LnhtbESP3WrCQBCF7wu+wzKCN0U3WqmSukoRChZpS9UHGLJj&#10;NjQ7G7IbE9++c1Ho5eH88W12g6/VjdpYBTYwn2WgiItgKy4NXM5v0zWomJAt1oHJwJ0i7Lajhw3m&#10;NvT8TbdTKpWMcMzRgEupybWOhSOPcRYaYvGuofWYRLalti32Mu5rvciyZ+2xYnlw2NDeUfFz6ryB&#10;xeG6/CDXfX69r7Oj21O3OvaPxkzGw+sLqERD+g//tQ9WevPlkwAIjqC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lbxQAAAN4AAAAPAAAAAAAAAAAAAAAAAJgCAABkcnMv&#10;ZG93bnJldi54bWxQSwUGAAAAAAQABAD1AAAAigMAAAAA&#10;" path="m,l146459,1e" filled="f" strokecolor="#212121" strokeweight=".42825mm">
                  <v:stroke endcap="round"/>
                  <v:path arrowok="t" textboxrect="0,0,146459,1"/>
                </v:shape>
                <v:rect id="Rectangle 21431" o:spid="_x0000_s1582" style="position:absolute;left:30672;top:32070;width:4657;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IgscA&#10;AADeAAAADwAAAGRycy9kb3ducmV2LnhtbESPT2vCQBTE70K/w/IK3nQTFYmpq0hV9Oifgu3tkX1N&#10;QrNvQ3Y1sZ++Kwg9DjPzG2a+7EwlbtS40rKCeBiBIM6sLjlX8HHeDhIQziNrrCyTgjs5WC5eenNM&#10;tW35SLeTz0WAsEtRQeF9nUrpsoIMuqGtiYP3bRuDPsgml7rBNsBNJUdRNJUGSw4LBdb0XlD2c7oa&#10;BbukXn3u7W+bV5uv3eVwma3PM69U/7VbvYHw1Pn/8LO91wpG8W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pSILHAAAA3gAAAA8AAAAAAAAAAAAAAAAAmAIAAGRy&#10;cy9kb3ducmV2LnhtbFBLBQYAAAAABAAEAPUAAACMAwAAAAA=&#10;" filled="f" stroked="f">
                  <v:textbox inset="0,0,0,0">
                    <w:txbxContent>
                      <w:p w:rsidR="00EE13F6" w:rsidRDefault="002E5BC4">
                        <w:r>
                          <w:rPr>
                            <w:color w:val="585858"/>
                            <w:sz w:val="11"/>
                          </w:rPr>
                          <w:t>spread</w:t>
                        </w:r>
                        <w:r>
                          <w:rPr>
                            <w:color w:val="585858"/>
                            <w:sz w:val="11"/>
                          </w:rPr>
                          <w:tab/>
                          <w:t>2.5%</w:t>
                        </w:r>
                      </w:p>
                    </w:txbxContent>
                  </v:textbox>
                </v:rect>
                <v:shape id="Shape 21432" o:spid="_x0000_s1583" style="position:absolute;left:35194;top:32495;width:1465;height:0;visibility:visible;mso-wrap-style:square;v-text-anchor:top" coordsize="146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cNskA&#10;AADeAAAADwAAAGRycy9kb3ducmV2LnhtbESPT2vCQBTE74V+h+UVehHdmKpo6iqlrSA9KP45eHxm&#10;X5Nts29Ddhvjt+8KhR6HmfkNM192thItNd44VjAcJCCIc6cNFwqOh1V/CsIHZI2VY1JwJQ/Lxf3d&#10;HDPtLryjdh8KESHsM1RQhlBnUvq8JIt+4Gri6H26xmKIsimkbvAS4baSaZJMpEXDcaHEml5Lyr/3&#10;P1aB2YzPb+uP9iudmNX2nbrNTJ96Sj0+dC/PIAJ14T/8115rBelw9JTC7U6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CcNskAAADeAAAADwAAAAAAAAAAAAAAAACYAgAA&#10;ZHJzL2Rvd25yZXYueG1sUEsFBgAAAAAEAAQA9QAAAI4DAAAAAA==&#10;" path="m,l146459,1e" filled="f" strokecolor="#dadada" strokeweight=".42825mm">
                  <v:stroke endcap="round"/>
                  <v:path arrowok="t" textboxrect="0,0,146459,1"/>
                </v:shape>
                <v:rect id="Rectangle 21433" o:spid="_x0000_s1584" style="position:absolute;left:36809;top:32070;width:3940;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zbscA&#10;AADeAAAADwAAAGRycy9kb3ducmV2LnhtbESPT4vCMBTE74LfITzBm6bqsmg1iqiLHtc/oN4ezbMt&#10;Ni+lydqun94sLHgcZuY3zGzRmEI8qHK5ZQWDfgSCOLE651TB6fjVG4NwHlljYZkU/JKDxbzdmmGs&#10;bc17ehx8KgKEXYwKMu/LWEqXZGTQ9W1JHLybrQz6IKtU6grrADeFHEbRpzSYc1jIsKRVRsn98GMU&#10;bMfl8rKzzzotNtft+fs8WR8nXqlup1lOQXhq/Dv8395pBcPBx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3c27HAAAA3gAAAA8AAAAAAAAAAAAAAAAAmAIAAGRy&#10;cy9kb3ducmV2LnhtbFBLBQYAAAAABAAEAPUAAACMAwAAAAA=&#10;" filled="f" stroked="f">
                  <v:textbox inset="0,0,0,0">
                    <w:txbxContent>
                      <w:p w:rsidR="00EE13F6" w:rsidRDefault="002E5BC4">
                        <w:r>
                          <w:rPr>
                            <w:color w:val="585858"/>
                            <w:sz w:val="11"/>
                          </w:rPr>
                          <w:t>spread</w:t>
                        </w:r>
                        <w:r>
                          <w:rPr>
                            <w:color w:val="585858"/>
                            <w:sz w:val="11"/>
                          </w:rPr>
                          <w:tab/>
                          <w:t>3%</w:t>
                        </w:r>
                      </w:p>
                    </w:txbxContent>
                  </v:textbox>
                </v:rect>
                <v:shape id="Shape 21434" o:spid="_x0000_s1585" style="position:absolute;left:5;width:49498;height:33770;visibility:visible;mso-wrap-style:square;v-text-anchor:top" coordsize="4949742,337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HdcgA&#10;AADeAAAADwAAAGRycy9kb3ducmV2LnhtbESPzWrDMBCE74W+g9hCLyWR44aSOJZDCQR6ScFxfq4b&#10;a2ObWitjKY779lWh0OMwM98w6Xo0rRiod41lBbNpBIK4tLrhSsGh2E4WIJxH1thaJgXf5GCdPT6k&#10;mGh755yGva9EgLBLUEHtfZdI6cqaDLqp7YiDd7W9QR9kX0nd4z3ATSvjKHqTBhsOCzV2tKmp/Nrf&#10;jILbuciP5c5c8pPHz5ezXDandqfU89P4vgLhafT/4b/2h1YQz+avc/i9E66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GUd1yAAAAN4AAAAPAAAAAAAAAAAAAAAAAJgCAABk&#10;cnMvZG93bnJldi54bWxQSwUGAAAAAAQABAD1AAAAjQMAAAAA&#10;" path="m4949742,3377043l,3377043,,,4949742,e" filled="f" strokecolor="#d9d9d9" strokeweight=".21411mm">
                  <v:path arrowok="t" textboxrect="0,0,4949742,3377043"/>
                </v:shape>
                <v:rect id="Rectangle 21435" o:spid="_x0000_s1586" style="position:absolute;left:7119;top:241;width:52633;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Ogc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MHob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ToHHAAAA3gAAAA8AAAAAAAAAAAAAAAAAmAIAAGRy&#10;cy9kb3ducmV2LnhtbFBLBQYAAAAABAAEAPUAAACMAwAAAAA=&#10;" filled="f" stroked="f">
                  <v:textbox inset="0,0,0,0">
                    <w:txbxContent>
                      <w:p w:rsidR="00EE13F6" w:rsidRDefault="002E5BC4">
                        <w:r>
                          <w:rPr>
                            <w:b/>
                            <w:sz w:val="13"/>
                          </w:rPr>
                          <w:t>Long</w:t>
                        </w:r>
                        <w:r>
                          <w:rPr>
                            <w:b/>
                            <w:sz w:val="13"/>
                          </w:rPr>
                          <w:tab/>
                          <w:t>term</w:t>
                        </w:r>
                        <w:r>
                          <w:rPr>
                            <w:b/>
                            <w:sz w:val="13"/>
                          </w:rPr>
                          <w:tab/>
                          <w:t>Equity</w:t>
                        </w:r>
                        <w:r>
                          <w:rPr>
                            <w:b/>
                            <w:sz w:val="13"/>
                          </w:rPr>
                          <w:tab/>
                          <w:t>price</w:t>
                        </w:r>
                        <w:r>
                          <w:rPr>
                            <w:b/>
                            <w:sz w:val="13"/>
                          </w:rPr>
                          <w:tab/>
                          <w:t>variation</w:t>
                        </w:r>
                        <w:r>
                          <w:rPr>
                            <w:b/>
                            <w:sz w:val="13"/>
                          </w:rPr>
                          <w:tab/>
                          <w:t>following</w:t>
                        </w:r>
                        <w:r>
                          <w:rPr>
                            <w:b/>
                            <w:sz w:val="13"/>
                          </w:rPr>
                          <w:tab/>
                          <w:t>the</w:t>
                        </w:r>
                        <w:r>
                          <w:rPr>
                            <w:b/>
                            <w:sz w:val="13"/>
                          </w:rPr>
                          <w:tab/>
                          <w:t>Introduction</w:t>
                        </w:r>
                        <w:r>
                          <w:rPr>
                            <w:b/>
                            <w:sz w:val="13"/>
                          </w:rPr>
                          <w:tab/>
                          <w:t>of</w:t>
                        </w:r>
                        <w:r>
                          <w:rPr>
                            <w:b/>
                            <w:sz w:val="13"/>
                          </w:rPr>
                          <w:tab/>
                          <w:t>the</w:t>
                        </w:r>
                        <w:r>
                          <w:rPr>
                            <w:b/>
                            <w:sz w:val="13"/>
                          </w:rPr>
                          <w:tab/>
                          <w:t>FTT</w:t>
                        </w:r>
                        <w:r>
                          <w:rPr>
                            <w:b/>
                            <w:sz w:val="13"/>
                          </w:rPr>
                          <w:tab/>
                          <w:t>for</w:t>
                        </w:r>
                        <w:r>
                          <w:rPr>
                            <w:b/>
                            <w:sz w:val="13"/>
                          </w:rPr>
                          <w:tab/>
                          <w:t>a</w:t>
                        </w:r>
                        <w:r>
                          <w:rPr>
                            <w:b/>
                            <w:sz w:val="13"/>
                          </w:rPr>
                          <w:tab/>
                          <w:t>firm</w:t>
                        </w:r>
                        <w:r>
                          <w:rPr>
                            <w:b/>
                            <w:sz w:val="13"/>
                          </w:rPr>
                          <w:tab/>
                          <w:t>funded</w:t>
                        </w:r>
                        <w:r>
                          <w:rPr>
                            <w:b/>
                            <w:sz w:val="13"/>
                          </w:rPr>
                          <w:tab/>
                          <w:t>through</w:t>
                        </w:r>
                        <w:r>
                          <w:rPr>
                            <w:b/>
                            <w:sz w:val="13"/>
                          </w:rPr>
                          <w:tab/>
                          <w:t>fixed</w:t>
                        </w:r>
                        <w:r>
                          <w:rPr>
                            <w:b/>
                            <w:sz w:val="13"/>
                          </w:rPr>
                          <w:tab/>
                          <w:t>term</w:t>
                        </w:r>
                        <w:r>
                          <w:rPr>
                            <w:b/>
                            <w:sz w:val="13"/>
                          </w:rPr>
                          <w:tab/>
                          <w:t>debt</w:t>
                        </w:r>
                        <w:r>
                          <w:rPr>
                            <w:b/>
                            <w:sz w:val="13"/>
                          </w:rPr>
                          <w:tab/>
                        </w:r>
                      </w:p>
                    </w:txbxContent>
                  </v:textbox>
                </v:rect>
                <v:rect id="Rectangle 21436" o:spid="_x0000_s1587" style="position:absolute;left:9740;top:1323;width:45541;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Q9sYA&#10;AADeAAAADwAAAGRycy9kb3ducmV2LnhtbESPQYvCMBSE7wv+h/AEb2uqLqLVKKIuetxVQb09mmdb&#10;bF5KE2311xthYY/DzHzDTOeNKcSdKpdbVtDrRiCIE6tzThUc9t+fIxDOI2ssLJOCBzmYz1ofU4y1&#10;rfmX7jufigBhF6OCzPsyltIlGRl0XVsSB+9iK4M+yCqVusI6wE0h+1E0lAZzDgsZlrTMKLnubkbB&#10;ZlQuTlv7rNNifd4cf47j1X7sleq0m8UEhKfG/4f/2lutoN/7Gg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DQ9sYAAADeAAAADwAAAAAAAAAAAAAAAACYAgAAZHJz&#10;L2Rvd25yZXYueG1sUEsFBgAAAAAEAAQA9QAAAIsDAAAAAA==&#10;" filled="f" stroked="f">
                  <v:textbox inset="0,0,0,0">
                    <w:txbxContent>
                      <w:p w:rsidR="00EE13F6" w:rsidRDefault="002E5BC4">
                        <w:r>
                          <w:rPr>
                            <w:b/>
                            <w:sz w:val="13"/>
                          </w:rPr>
                          <w:t>maturity</w:t>
                        </w:r>
                        <w:r>
                          <w:rPr>
                            <w:b/>
                            <w:sz w:val="13"/>
                          </w:rPr>
                          <w:tab/>
                          <w:t>and</w:t>
                        </w:r>
                        <w:r>
                          <w:rPr>
                            <w:b/>
                            <w:sz w:val="13"/>
                          </w:rPr>
                          <w:tab/>
                          <w:t>equity(T=5</w:t>
                        </w:r>
                        <w:r>
                          <w:rPr>
                            <w:b/>
                            <w:sz w:val="13"/>
                          </w:rPr>
                          <w:tab/>
                          <w:t>years;ROA=3%;r=1%;sigma=20%;Tax</w:t>
                        </w:r>
                        <w:r>
                          <w:rPr>
                            <w:b/>
                            <w:sz w:val="13"/>
                          </w:rPr>
                          <w:tab/>
                          <w:t>rate=35%;FTT</w:t>
                        </w:r>
                        <w:r>
                          <w:rPr>
                            <w:b/>
                            <w:sz w:val="13"/>
                          </w:rPr>
                          <w:tab/>
                          <w:t>roundtrip</w:t>
                        </w:r>
                        <w:r>
                          <w:rPr>
                            <w:b/>
                            <w:sz w:val="13"/>
                          </w:rPr>
                          <w:tab/>
                          <w:t>rate=0,2%)</w:t>
                        </w:r>
                      </w:p>
                    </w:txbxContent>
                  </v:textbox>
                </v:rect>
                <v:rect id="Rectangle 21437" o:spid="_x0000_s1588" style="position:absolute;left:22122;top:28864;width:7128;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1bc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GL29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dW3HAAAA3gAAAA8AAAAAAAAAAAAAAAAAmAIAAGRy&#10;cy9kb3ducmV2LnhtbFBLBQYAAAAABAAEAPUAAACMAwAAAAA=&#10;" filled="f" stroked="f">
                  <v:textbox inset="0,0,0,0">
                    <w:txbxContent>
                      <w:p w:rsidR="00EE13F6" w:rsidRDefault="002E5BC4">
                        <w:r>
                          <w:rPr>
                            <w:b/>
                            <w:sz w:val="13"/>
                          </w:rPr>
                          <w:t>Firm's</w:t>
                        </w:r>
                        <w:r>
                          <w:rPr>
                            <w:b/>
                            <w:sz w:val="13"/>
                          </w:rPr>
                          <w:tab/>
                          <w:t>leverage</w:t>
                        </w:r>
                      </w:p>
                    </w:txbxContent>
                  </v:textbox>
                </v:rect>
                <v:rect id="Rectangle 21439" o:spid="_x0000_s1589" style="position:absolute;left:19873;top:46385;width:838;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EhMgA&#10;AADeAAAADwAAAGRycy9kb3ducmV2LnhtbESPT2vCQBTE7wW/w/KE3upGW4qJboLYFj3WP6DeHtln&#10;Esy+DdmtSf30bqHgcZiZ3zDzrDe1uFLrKssKxqMIBHFudcWFgv3u62UKwnlkjbVlUvBLDrJ08DTH&#10;RNuON3Td+kIECLsEFZTeN4mULi/JoBvZhjh4Z9sa9EG2hdQtdgFuajmJondpsOKwUGJDy5Lyy/bH&#10;KFhNm8VxbW9dUX+eVofvQ/yxi71Sz8N+MQPhqfeP8H97rRVMxm+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n0SEyAAAAN4AAAAPAAAAAAAAAAAAAAAAAJgCAABk&#10;cnMvZG93bnJldi54bWxQSwUGAAAAAAQABAD1AAAAjQMAAAAA&#10;" filled="f" stroked="f">
                  <v:textbox inset="0,0,0,0">
                    <w:txbxContent>
                      <w:p w:rsidR="00EE13F6" w:rsidRDefault="002E5BC4">
                        <w:r>
                          <w:rPr>
                            <w:rFonts w:ascii="Arial" w:eastAsia="Arial" w:hAnsi="Arial" w:cs="Arial"/>
                            <w:b/>
                            <w:sz w:val="16"/>
                          </w:rPr>
                          <w:t>F</w:t>
                        </w:r>
                      </w:p>
                    </w:txbxContent>
                  </v:textbox>
                </v:rect>
                <v:rect id="Rectangle 21440" o:spid="_x0000_s1590" style="position:absolute;left:20503;top:46385;width:38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eZMcA&#10;AADeAAAADwAAAGRycy9kb3ducmV2LnhtbESPzWrCQBSF9wXfYbiF7uokIkXTTETUkiyrFtTdJXOb&#10;hGbuhMw0Sfv0nYXQ5eH88aWbybRioN41lhXE8wgEcWl1w5WCj/Pb8wqE88gaW8uk4IccbLLZQ4qJ&#10;tiMfaTj5SoQRdgkqqL3vEildWZNBN7cdcfA+bW/QB9lXUvc4hnHTykUUvUiDDYeHGjva1VR+nb6N&#10;gnzVba+F/R2r9nDLL++X9f689ko9PU7bVxCeJv8fvrcLrWARL5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nmTHAAAA3gAAAA8AAAAAAAAAAAAAAAAAmAIAAGRy&#10;cy9kb3ducmV2LnhtbFBLBQYAAAAABAAEAPUAAACMAwAAAAA=&#10;" filled="f" stroked="f">
                  <v:textbox inset="0,0,0,0">
                    <w:txbxContent>
                      <w:p w:rsidR="00EE13F6" w:rsidRDefault="002E5BC4">
                        <w:r>
                          <w:rPr>
                            <w:rFonts w:ascii="Arial" w:eastAsia="Arial" w:hAnsi="Arial" w:cs="Arial"/>
                            <w:b/>
                            <w:sz w:val="16"/>
                          </w:rPr>
                          <w:t>i</w:t>
                        </w:r>
                      </w:p>
                    </w:txbxContent>
                  </v:textbox>
                </v:rect>
                <v:rect id="Rectangle 21441" o:spid="_x0000_s1591" style="position:absolute;left:20790;top:46385;width:837;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7/8cA&#10;AADeAAAADwAAAGRycy9kb3ducmV2LnhtbESPQWvCQBSE74L/YXlCb7qJSDGpq4ht0WMbBdvbI/ua&#10;BHffhuzWpP313YLgcZiZb5jVZrBGXKnzjWMF6SwBQVw63XCl4HR8nS5B+ICs0TgmBT/kYbMej1aY&#10;a9fzO12LUIkIYZ+jgjqENpfSlzVZ9DPXEkfvy3UWQ5RdJXWHfYRbI+dJ8igtNhwXamxpV1N5Kb6t&#10;gv2y3X4c3G9fmZfP/fntnD0fs6DUw2TYPoEINIR7+NY+aAXzdLFI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O//HAAAA3gAAAA8AAAAAAAAAAAAAAAAAmAIAAGRy&#10;cy9kb3ducmV2LnhtbFBLBQYAAAAABAAEAPUAAACMAwAAAAA=&#10;" filled="f" stroked="f">
                  <v:textbox inset="0,0,0,0">
                    <w:txbxContent>
                      <w:p w:rsidR="00EE13F6" w:rsidRDefault="002E5BC4">
                        <w:r>
                          <w:rPr>
                            <w:rFonts w:ascii="Arial" w:eastAsia="Arial" w:hAnsi="Arial" w:cs="Arial"/>
                            <w:b/>
                            <w:sz w:val="16"/>
                          </w:rPr>
                          <w:t>g</w:t>
                        </w:r>
                      </w:p>
                    </w:txbxContent>
                  </v:textbox>
                </v:rect>
                <v:rect id="Rectangle 21442" o:spid="_x0000_s1592" style="position:absolute;left:21419;top:46385;width:38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liMYA&#10;AADeAAAADwAAAGRycy9kb3ducmV2LnhtbESPT4vCMBTE7wv7HcJb8LamFhGtRpFV0aN/FtTbo3m2&#10;ZZuX0kRb/fRGEPY4zMxvmMmsNaW4Ue0Kywp63QgEcWp1wZmC38PqewjCeWSNpWVScCcHs+nnxwQT&#10;bRve0W3vMxEg7BJUkHtfJVK6NCeDrmsr4uBdbG3QB1lnUtfYBLgpZRxFA2mw4LCQY0U/OaV/+6tR&#10;sB5W89PGPpqsXJ7Xx+1xtDiMvFKdr3Y+BuGp9f/hd3ujFcS9fj+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2liMYAAADeAAAADwAAAAAAAAAAAAAAAACYAgAAZHJz&#10;L2Rvd25yZXYueG1sUEsFBgAAAAAEAAQA9QAAAIsDAAAAAA==&#10;" filled="f" stroked="f">
                  <v:textbox inset="0,0,0,0">
                    <w:txbxContent>
                      <w:p w:rsidR="00EE13F6" w:rsidRDefault="002E5BC4">
                        <w:r>
                          <w:rPr>
                            <w:rFonts w:ascii="Arial" w:eastAsia="Arial" w:hAnsi="Arial" w:cs="Arial"/>
                            <w:b/>
                            <w:sz w:val="16"/>
                          </w:rPr>
                          <w:t>.</w:t>
                        </w:r>
                      </w:p>
                    </w:txbxContent>
                  </v:textbox>
                </v:rect>
                <v:rect id="Rectangle 21443" o:spid="_x0000_s1593" style="position:absolute;left:21706;top:46385;width:762;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AE8gA&#10;AADeAAAADwAAAGRycy9kb3ducmV2LnhtbESPQWvCQBSE70L/w/IKvenGKEWjq4TWEo+tCurtkX0m&#10;wezbkN0maX99t1DocZiZb5j1djC16Kh1lWUF00kEgji3uuJCwen4Nl6AcB5ZY22ZFHyRg+3mYbTG&#10;RNueP6g7+EIECLsEFZTeN4mULi/JoJvYhjh4N9sa9EG2hdQt9gFuahlH0bM0WHFYKLGhl5Ly++HT&#10;KMgWTXrZ2+++qHfX7Px+Xr4el16pp8chXYHwNPj/8F97rxXE0/l8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QATyAAAAN4AAAAPAAAAAAAAAAAAAAAAAJgCAABk&#10;cnMvZG93bnJldi54bWxQSwUGAAAAAAQABAD1AAAAjQMAAAAA&#10;" filled="f" stroked="f">
                  <v:textbox inset="0,0,0,0">
                    <w:txbxContent>
                      <w:p w:rsidR="00EE13F6" w:rsidRDefault="002E5BC4">
                        <w:r>
                          <w:rPr>
                            <w:rFonts w:ascii="Arial" w:eastAsia="Arial" w:hAnsi="Arial" w:cs="Arial"/>
                            <w:b/>
                            <w:sz w:val="16"/>
                          </w:rPr>
                          <w:t>9</w:t>
                        </w:r>
                      </w:p>
                    </w:txbxContent>
                  </v:textbox>
                </v:rect>
                <v:shape id="Shape 21447" o:spid="_x0000_s1594" style="position:absolute;left:2846;top:62143;width:45319;height:0;visibility:visible;mso-wrap-style:square;v-text-anchor:top" coordsize="4531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uzscA&#10;AADeAAAADwAAAGRycy9kb3ducmV2LnhtbESPQYvCMBSE7wv7H8Jb2ItoqohKNcrSRVxED1YPHh/N&#10;sy02L6WJWv31RhD2OMzMN8xs0ZpKXKlxpWUF/V4EgjizuuRcwWG/7E5AOI+ssbJMCu7kYDH//Jhh&#10;rO2Nd3RNfS4ChF2MCgrv61hKlxVk0PVsTRy8k20M+iCbXOoGbwFuKjmIopE0WHJYKLCmpKDsnF6M&#10;gu0qO45OyYGx87tKxxubPNbru1LfX+3PFISn1v+H3+0/rWDQHw7H8LoTr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eLs7HAAAA3gAAAA8AAAAAAAAAAAAAAAAAmAIAAGRy&#10;cy9kb3ducmV2LnhtbFBLBQYAAAAABAAEAPUAAACMAwAAAAA=&#10;" path="m,l4531903,e" filled="f" strokecolor="#d9d9d9" strokeweight=".17081mm">
                  <v:path arrowok="t" textboxrect="0,0,4531903,0"/>
                </v:shape>
                <v:shape id="Shape 21448" o:spid="_x0000_s1595" style="position:absolute;left:2846;top:57777;width:45319;height:0;visibility:visible;mso-wrap-style:square;v-text-anchor:top" coordsize="4531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6vMQA&#10;AADeAAAADwAAAGRycy9kb3ducmV2LnhtbERPTYvCMBC9C/sfwgh7EU0VcaUaZaksLqIHux48Ds3Y&#10;FptJaWKt++vNQfD4eN/LdWcq0VLjSssKxqMIBHFmdcm5gtPfz3AOwnlkjZVlUvAgB+vVR2+JsbZ3&#10;PlKb+lyEEHYxKii8r2MpXVaQQTeyNXHgLrYx6ANscqkbvIdwU8lJFM2kwZJDQ4E1JQVl1/RmFBy2&#10;2Xl2SU6Mg802/drb5H+3eyj12e++FyA8df4tfrl/tYLJeDoNe8Odc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urzEAAAA3gAAAA8AAAAAAAAAAAAAAAAAmAIAAGRycy9k&#10;b3ducmV2LnhtbFBLBQYAAAAABAAEAPUAAACJAwAAAAA=&#10;" path="m,l4531903,e" filled="f" strokecolor="#d9d9d9" strokeweight=".17081mm">
                  <v:path arrowok="t" textboxrect="0,0,4531903,0"/>
                </v:shape>
                <v:shape id="Shape 21449" o:spid="_x0000_s1596" style="position:absolute;left:2846;top:53472;width:45319;height:0;visibility:visible;mso-wrap-style:square;v-text-anchor:top" coordsize="4531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fJ8kA&#10;AADeAAAADwAAAGRycy9kb3ducmV2LnhtbESPT2vCQBTE74LfYXlCL6VulKBtmlUkpVhED6Yeenxk&#10;X/5g9m3IbjX203cLBY/DzPyGSdeDacWFetdYVjCbRiCIC6sbrhScPt+fnkE4j6yxtUwKbuRgvRqP&#10;Uky0vfKRLrmvRICwS1BB7X2XSOmKmgy6qe2Ig1fa3qAPsq+k7vEa4KaV8yhaSIMNh4UaO8pqKs75&#10;t1Fw2BZfizI7MT6+bfPl3mY/u91NqYfJsHkF4Wnw9/B/+0MrmM/i+AX+7oQr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0fJ8kAAADeAAAADwAAAAAAAAAAAAAAAACYAgAA&#10;ZHJzL2Rvd25yZXYueG1sUEsFBgAAAAAEAAQA9QAAAI4DAAAAAA==&#10;" path="m,l4531903,e" filled="f" strokecolor="#d9d9d9" strokeweight=".17081mm">
                  <v:path arrowok="t" textboxrect="0,0,4531903,0"/>
                </v:shape>
                <v:shape id="Shape 21450" o:spid="_x0000_s1597" style="position:absolute;left:2846;top:49106;width:45319;height:0;visibility:visible;mso-wrap-style:square;v-text-anchor:top" coordsize="4531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gZ8YA&#10;AADeAAAADwAAAGRycy9kb3ducmV2LnhtbESPy4rCMBSG9wO+QzjCbERTZbxQjSKVQZGZhdWFy0Nz&#10;bIvNSWkyWn16sxBm+fPf+Bar1lTiRo0rLSsYDiIQxJnVJecKTsfv/gyE88gaK8uk4EEOVsvOxwJj&#10;be98oFvqcxFG2MWooPC+jqV0WUEG3cDWxMG72MagD7LJpW7wHsZNJUdRNJEGSw4PBdaUFJRd0z+j&#10;4HebnSeX5MTY22zT6Y9Nnvv9Q6nPbrueg/DU+v/wu73TCkbDr3EACDgBBe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4gZ8YAAADeAAAADwAAAAAAAAAAAAAAAACYAgAAZHJz&#10;L2Rvd25yZXYueG1sUEsFBgAAAAAEAAQA9QAAAIsDAAAAAA==&#10;" path="m,l4531903,e" filled="f" strokecolor="#d9d9d9" strokeweight=".17081mm">
                  <v:path arrowok="t" textboxrect="0,0,4531903,0"/>
                </v:shape>
                <v:shape id="Shape 21451" o:spid="_x0000_s1598" style="position:absolute;left:2846;top:44801;width:45319;height:0;visibility:visible;mso-wrap-style:square;v-text-anchor:top" coordsize="4531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F/MgA&#10;AADeAAAADwAAAGRycy9kb3ducmV2LnhtbESPQWvCQBSE70L/w/IKvYhuItZKdJWSIhbRQ6MHj4/s&#10;Mwlm34bsVmN/vSsUPA4z8w0zX3amFhdqXWVZQTyMQBDnVldcKDjsV4MpCOeRNdaWScGNHCwXL705&#10;Jtpe+YcumS9EgLBLUEHpfZNI6fKSDLqhbYiDd7KtQR9kW0jd4jXATS1HUTSRBisOCyU2lJaUn7Nf&#10;o2C3zo+TU3pg7H+ts4+tTf82m5tSb6/d5wyEp84/w//tb61gFI/fY3jcC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oX8yAAAAN4AAAAPAAAAAAAAAAAAAAAAAJgCAABk&#10;cnMvZG93bnJldi54bWxQSwUGAAAAAAQABAD1AAAAjQMAAAAA&#10;" path="m,l4531903,e" filled="f" strokecolor="#d9d9d9" strokeweight=".17081mm">
                  <v:path arrowok="t" textboxrect="0,0,4531903,0"/>
                </v:shape>
                <v:shape id="Shape 21452" o:spid="_x0000_s1599" style="position:absolute;left:7415;top:40435;width:0;height:21708;visibility:visible;mso-wrap-style:square;v-text-anchor:top" coordsize="0,217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7kksYA&#10;AADeAAAADwAAAGRycy9kb3ducmV2LnhtbESP3WrCQBSE7wt9h+UUelN0Y2xFUlcpiqAoFf/uT7On&#10;2dDs2ZBdTXx7t1Do5TAz3zCTWWcrcaXGl44VDPoJCOLc6ZILBafjsjcG4QOyxsoxKbiRh9n08WGC&#10;mXYt7+l6CIWIEPYZKjAh1JmUPjdk0fddTRy9b9dYDFE2hdQNthFuK5kmyUhaLDkuGKxpbij/OVys&#10;At5I+UV+PURjzrzbLl7axfxTqeen7uMdRKAu/If/2iutIB28vqXweyd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7kksYAAADeAAAADwAAAAAAAAAAAAAAAACYAgAAZHJz&#10;L2Rvd25yZXYueG1sUEsFBgAAAAAEAAQA9QAAAIsDAAAAAA==&#10;" path="m,l,2170735e" filled="f" strokecolor="#d9d9d9" strokeweight=".17081mm">
                  <v:path arrowok="t" textboxrect="0,0,0,2170735"/>
                </v:shape>
                <v:shape id="Shape 21453" o:spid="_x0000_s1600" style="position:absolute;left:11910;top:40435;width:0;height:21708;visibility:visible;mso-wrap-style:square;v-text-anchor:top" coordsize="0,217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BCcYA&#10;AADeAAAADwAAAGRycy9kb3ducmV2LnhtbESPW2sCMRSE34X+h3AKfRHNeqnI1iiiFCyWFi99P92c&#10;bhY3J8smutt/bwTBx2FmvmFmi9aW4kK1LxwrGPQTEMSZ0wXnCo6H994UhA/IGkvHpOCfPCzmT50Z&#10;pto1vKPLPuQiQtinqMCEUKVS+syQRd93FXH0/lxtMURZ51LX2ES4LeUwSSbSYsFxwWBFK0PZaX+2&#10;Cngr5S/5jxEa88Pfn+tus159KfXy3C7fQARqwyN8b2+0guFg/DqC2514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JBCcYAAADeAAAADwAAAAAAAAAAAAAAAACYAgAAZHJz&#10;L2Rvd25yZXYueG1sUEsFBgAAAAAEAAQA9QAAAIsDAAAAAA==&#10;" path="m,l,2170735e" filled="f" strokecolor="#d9d9d9" strokeweight=".17081mm">
                  <v:path arrowok="t" textboxrect="0,0,0,2170735"/>
                </v:shape>
                <v:shape id="Shape 21454" o:spid="_x0000_s1601" style="position:absolute;left:16404;top:40435;width:0;height:21708;visibility:visible;mso-wrap-style:square;v-text-anchor:top" coordsize="0,217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ZfcYA&#10;AADeAAAADwAAAGRycy9kb3ducmV2LnhtbESPQWvCQBSE7wX/w/KEXkQ3Wi0lukpRCi2K0ljvz+wz&#10;G5p9G7Jbk/77riD0OMzMN8xi1dlKXKnxpWMF41ECgjh3uuRCwdfxbfgCwgdkjZVjUvBLHlbL3sMC&#10;U+1a/qRrFgoRIexTVGBCqFMpfW7Ioh+5mjh6F9dYDFE2hdQNthFuKzlJkmdpseS4YLCmtaH8O/ux&#10;Cngr5Zn8xxMac+LDbjNoN+u9Uo/97nUOIlAX/sP39rtWMBlPZ1O43Y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vZfcYAAADeAAAADwAAAAAAAAAAAAAAAACYAgAAZHJz&#10;L2Rvd25yZXYueG1sUEsFBgAAAAAEAAQA9QAAAIsDAAAAAA==&#10;" path="m,l,2170735e" filled="f" strokecolor="#d9d9d9" strokeweight=".17081mm">
                  <v:path arrowok="t" textboxrect="0,0,0,2170735"/>
                </v:shape>
                <v:shape id="Shape 21455" o:spid="_x0000_s1602" style="position:absolute;left:20974;top:40435;width:0;height:21708;visibility:visible;mso-wrap-style:square;v-text-anchor:top" coordsize="0,217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85sYA&#10;AADeAAAADwAAAGRycy9kb3ducmV2LnhtbESPQWvCQBSE74L/YXlCL6IbbS0lukpRCi2K0ljvz+wz&#10;G5p9G7Jbk/77rlDwOMzMN8xi1dlKXKnxpWMFk3ECgjh3uuRCwdfxbfQCwgdkjZVjUvBLHlbLfm+B&#10;qXYtf9I1C4WIEPYpKjAh1KmUPjdk0Y9dTRy9i2sshiibQuoG2wi3lZwmybO0WHJcMFjT2lD+nf1Y&#10;BbyV8kz+4xGNOfFhtxm2m/VeqYdB9zoHEagL9/B/+10rmE6eZjO43Y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d85sYAAADeAAAADwAAAAAAAAAAAAAAAACYAgAAZHJz&#10;L2Rvd25yZXYueG1sUEsFBgAAAAAEAAQA9QAAAIsDAAAAAA==&#10;" path="m,l,2170735e" filled="f" strokecolor="#d9d9d9" strokeweight=".17081mm">
                  <v:path arrowok="t" textboxrect="0,0,0,2170735"/>
                </v:shape>
                <v:shape id="Shape 21456" o:spid="_x0000_s1603" style="position:absolute;left:25468;top:40435;width:0;height:21708;visibility:visible;mso-wrap-style:square;v-text-anchor:top" coordsize="0,217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ikcYA&#10;AADeAAAADwAAAGRycy9kb3ducmV2LnhtbESP3WoCMRSE74W+QziF3ohmta3I1ihFESqKxb/7083p&#10;ZunmZNlEd317UxC8HGbmG2Yya20pLlT7wrGCQT8BQZw5XXCu4HhY9sYgfEDWWDomBVfyMJs+dSaY&#10;atfwji77kIsIYZ+iAhNClUrpM0MWfd9VxNH7dbXFEGWdS11jE+G2lMMkGUmLBccFgxXNDWV/+7NV&#10;wGspf8ivXtGYE39vFt1mMd8q9fLcfn6ACNSGR/je/tIKhoO39xH834lX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XikcYAAADeAAAADwAAAAAAAAAAAAAAAACYAgAAZHJz&#10;L2Rvd25yZXYueG1sUEsFBgAAAAAEAAQA9QAAAIsDAAAAAA==&#10;" path="m,l,2170735e" filled="f" strokecolor="#d9d9d9" strokeweight=".17081mm">
                  <v:path arrowok="t" textboxrect="0,0,0,2170735"/>
                </v:shape>
                <v:shape id="Shape 21457" o:spid="_x0000_s1604" style="position:absolute;left:30037;top:40435;width:0;height:21708;visibility:visible;mso-wrap-style:square;v-text-anchor:top" coordsize="0,217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HCsYA&#10;AADeAAAADwAAAGRycy9kb3ducmV2LnhtbESPW2sCMRSE3wv+h3CEvhTNar2xNUpRCpUWxdv7cXO6&#10;Wbo5WTapu/77Rij0cZiZb5j5srWluFLtC8cKBv0EBHHmdMG5gtPxrTcD4QOyxtIxKbiRh+Wi8zDH&#10;VLuG93Q9hFxECPsUFZgQqlRKnxmy6PuuIo7el6sthijrXOoamwi3pRwmyURaLDguGKxoZSj7PvxY&#10;Bfwh5YX85hmNOfPuc/3UrFdbpR677esLiEBt+A//td+1guFgNJ7C/U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lHCsYAAADeAAAADwAAAAAAAAAAAAAAAACYAgAAZHJz&#10;L2Rvd25yZXYueG1sUEsFBgAAAAAEAAQA9QAAAIsDAAAAAA==&#10;" path="m,l,2170735e" filled="f" strokecolor="#d9d9d9" strokeweight=".17081mm">
                  <v:path arrowok="t" textboxrect="0,0,0,2170735"/>
                </v:shape>
                <v:shape id="Shape 21458" o:spid="_x0000_s1605" style="position:absolute;left:34532;top:40435;width:0;height:21708;visibility:visible;mso-wrap-style:square;v-text-anchor:top" coordsize="0,217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TeMIA&#10;AADeAAAADwAAAGRycy9kb3ducmV2LnhtbERPXWvCMBR9F/Yfwh34MjRVp4zOKEMRlImizvdrc9eU&#10;NTelibb+e/Mw8PFwvqfz1pbiRrUvHCsY9BMQxJnTBecKfk6r3gcIH5A1lo5JwZ08zGcvnSmm2jV8&#10;oNsx5CKGsE9RgQmhSqX0mSGLvu8q4sj9utpiiLDOpa6xieG2lMMkmUiLBccGgxUtDGV/x6tVwN9S&#10;XshvRmjMmffb5VuzXOyU6r62X58gArXhKf53r7WC4eB9HPfGO/EK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tN4wgAAAN4AAAAPAAAAAAAAAAAAAAAAAJgCAABkcnMvZG93&#10;bnJldi54bWxQSwUGAAAAAAQABAD1AAAAhwMAAAAA&#10;" path="m,l,2170735e" filled="f" strokecolor="#d9d9d9" strokeweight=".17081mm">
                  <v:path arrowok="t" textboxrect="0,0,0,2170735"/>
                </v:shape>
                <v:shape id="Shape 21459" o:spid="_x0000_s1606" style="position:absolute;left:39101;top:40435;width:0;height:21708;visibility:visible;mso-wrap-style:square;v-text-anchor:top" coordsize="0,217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248YA&#10;AADeAAAADwAAAGRycy9kb3ducmV2LnhtbESP3WoCMRSE7wu+QzhCb4pmtSq6NUpRCpUWxb/74+Z0&#10;s3RzsmxSd337Rij0cpiZb5j5srWluFLtC8cKBv0EBHHmdMG5gtPxrTcF4QOyxtIxKbiRh+Wi8zDH&#10;VLuG93Q9hFxECPsUFZgQqlRKnxmy6PuuIo7el6sthijrXOoamwi3pRwmyURaLDguGKxoZSj7PvxY&#10;Bfwh5YX85hmNOfPuc/3UrFdbpR677esLiEBt+A//td+1guFgNJ7B/U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p248YAAADeAAAADwAAAAAAAAAAAAAAAACYAgAAZHJz&#10;L2Rvd25yZXYueG1sUEsFBgAAAAAEAAQA9QAAAIsDAAAAAA==&#10;" path="m,l,2170735e" filled="f" strokecolor="#d9d9d9" strokeweight=".17081mm">
                  <v:path arrowok="t" textboxrect="0,0,0,2170735"/>
                </v:shape>
                <v:shape id="Shape 21460" o:spid="_x0000_s1607" style="position:absolute;left:43596;top:40435;width:0;height:21708;visibility:visible;mso-wrap-style:square;v-text-anchor:top" coordsize="0,217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Vw8UA&#10;AADeAAAADwAAAGRycy9kb3ducmV2LnhtbESPXWvCMBSG7wf+h3AGuxFN1VGkayqiCBsbG37dnzVn&#10;TbE5KU1m679fLoRdvrxfPPlqsI24Uudrxwpm0wQEcel0zZWC03E3WYLwAVlj45gU3MjDqhg95Jhp&#10;1/OerodQiTjCPkMFJoQ2k9KXhiz6qWuJo/fjOoshyq6SusM+jttGzpMklRZrjg8GW9oYKi+HX6uA&#10;36X8Jv+2QGPO/PWxHffbzadST4/D+gVEoCH8h+/tV61gPntOI0DEiSg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BXDxQAAAN4AAAAPAAAAAAAAAAAAAAAAAJgCAABkcnMv&#10;ZG93bnJldi54bWxQSwUGAAAAAAQABAD1AAAAigMAAAAA&#10;" path="m,l,2170735e" filled="f" strokecolor="#d9d9d9" strokeweight=".17081mm">
                  <v:path arrowok="t" textboxrect="0,0,0,2170735"/>
                </v:shape>
                <v:shape id="Shape 21461" o:spid="_x0000_s1608" style="position:absolute;left:48165;top:40435;width:0;height:21708;visibility:visible;mso-wrap-style:square;v-text-anchor:top" coordsize="0,217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wWMYA&#10;AADeAAAADwAAAGRycy9kb3ducmV2LnhtbESPQWvCQBSE74L/YXkFL1I3sSIlukpRCi0VpWl7f2Zf&#10;s8Hs25BdTfrvu4LgcZiZb5jlure1uFDrK8cK0kkCgrhwuuJSwffX6+MzCB+QNdaOScEfeVivhoMl&#10;Ztp1/EmXPJQiQthnqMCE0GRS+sKQRT9xDXH0fl1rMUTZllK32EW4reU0SebSYsVxwWBDG0PFKT9b&#10;Bfwh5ZH8+xMa88OH3XbcbTd7pUYP/csCRKA+3MO39ptWME1n8xSud+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CwWMYAAADeAAAADwAAAAAAAAAAAAAAAACYAgAAZHJz&#10;L2Rvd25yZXYueG1sUEsFBgAAAAAEAAQA9QAAAIsDAAAAAA==&#10;" path="m,l,2170735e" filled="f" strokecolor="#d9d9d9" strokeweight=".17081mm">
                  <v:path arrowok="t" textboxrect="0,0,0,2170735"/>
                </v:shape>
                <v:shape id="Shape 21462" o:spid="_x0000_s1609" style="position:absolute;left:2846;top:40435;width:0;height:21708;visibility:visible;mso-wrap-style:square;v-text-anchor:top" coordsize="1,217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scA&#10;AADeAAAADwAAAGRycy9kb3ducmV2LnhtbESPQWvCQBSE74X+h+UVvJS6MSmxpK5SBUF7EbVQenvs&#10;vibB7NuQXU38965Q6HGYmW+Y2WKwjbhQ52vHCibjBASxdqbmUsHXcf3yBsIHZIONY1JwJQ+L+ePD&#10;DAvjet7T5RBKESHsC1RQhdAWUnpdkUU/di1x9H5dZzFE2ZXSdNhHuG1kmiS5tFhzXKiwpVVF+nQ4&#10;WwVeT5+z3cnZqf780d9me82WtFJq9DR8vIMINIT/8F97YxSkk9c8hfu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PbP7HAAAA3gAAAA8AAAAAAAAAAAAAAAAAmAIAAGRy&#10;cy9kb3ducmV2LnhtbFBLBQYAAAAABAAEAPUAAACMAwAAAAA=&#10;" path="m,2170735l1,e" filled="f" strokecolor="#bfbfbf" strokeweight=".17081mm">
                  <v:path arrowok="t" textboxrect="0,0,1,2170735"/>
                </v:shape>
                <v:shape id="Shape 21463" o:spid="_x0000_s1610" style="position:absolute;left:2846;top:40435;width:45319;height:0;visibility:visible;mso-wrap-style:square;v-text-anchor:top" coordsize="4531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6rNccA&#10;AADeAAAADwAAAGRycy9kb3ducmV2LnhtbESP0WrCQBRE3wv+w3IF3+rGtIikriKSQMW2EJsPuGRv&#10;k7TZuyG7ifHvu4WCj8PMnGG2+8m0YqTeNZYVrJYRCOLS6oYrBcVn9rgB4TyyxtYyKbiRg/1u9rDF&#10;RNsr5zRefCUChF2CCmrvu0RKV9Zk0C1tRxy8L9sb9EH2ldQ9XgPctDKOorU02HBYqLGjY03lz2Uw&#10;Cso0zwdM32Wbnb+L00fnivRto9RiPh1eQHia/D38337VCuLV8/oJ/u6EK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qzXHAAAA3gAAAA8AAAAAAAAAAAAAAAAAmAIAAGRy&#10;cy9kb3ducmV2LnhtbFBLBQYAAAAABAAEAPUAAACMAwAAAAA=&#10;" path="m,l4531903,e" filled="f" strokecolor="#bfbfbf" strokeweight=".17081mm">
                  <v:path arrowok="t" textboxrect="0,0,4531903,0"/>
                </v:shape>
                <v:shape id="Shape 21465" o:spid="_x0000_s1611" style="position:absolute;left:5131;top:41081;width:40749;height:16542;visibility:visible;mso-wrap-style:square;v-text-anchor:top" coordsize="4074967,165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uyMYA&#10;AADeAAAADwAAAGRycy9kb3ducmV2LnhtbESPUWvCMBSF3wf7D+EO9jZTdVapRhmD4QQfZtcfcEmu&#10;bbG5CU3U+u+XgeDj4ZzzHc5qM9hOXKgPrWMF41EGglg703KtoPr9eluACBHZYOeYFNwowGb9/LTC&#10;wrgrH+hSxlokCIcCFTQx+kLKoBuyGEbOEyfv6HqLMcm+lqbHa4LbTk6yLJcWW04LDXr6bEifyrNV&#10;wOVh+3Ouqny32091mHtNU79Q6vVl+FiCiDTER/je/jYKJuP3fAb/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UuyMYAAADeAAAADwAAAAAAAAAAAAAAAACYAgAAZHJz&#10;L2Rvd25yZXYueG1sUEsFBgAAAAAEAAQA9QAAAIsDAAAAAA==&#10;" path="m,l449445,36896,906381,67643,1355825,55345r456936,159884l2262206,344366r449445,104540l3168587,614939r449445,289021l4074967,1654186e" filled="f" strokecolor="#5e5e5e" strokeweight=".34164mm">
                  <v:stroke endcap="round"/>
                  <v:path arrowok="t" textboxrect="0,0,4074967,1654186"/>
                </v:shape>
                <v:shape id="Shape 21467" o:spid="_x0000_s1612" style="position:absolute;left:5131;top:41204;width:40749;height:14021;visibility:visible;mso-wrap-style:square;v-text-anchor:top" coordsize="4074967,140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kzckA&#10;AADeAAAADwAAAGRycy9kb3ducmV2LnhtbESPT2vCQBTE70K/w/KE3nRj/FdSVxFBLNQK2h7a2yP7&#10;TFJ334bsatJv3y0UPA4z8xtmseqsETdqfOVYwWiYgCDOna64UPDxvh08gfABWaNxTAp+yMNq+dBb&#10;YKZdy0e6nUIhIoR9hgrKEOpMSp+XZNEPXU0cvbNrLIYom0LqBtsIt0amSTKTFiuOCyXWtCkpv5yu&#10;VsH08D3/nJh9+tWOd69vph3L62Gn1GO/Wz+DCNSFe/i//aIVpKPJbA5/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jOkzckAAADeAAAADwAAAAAAAAAAAAAAAACYAgAA&#10;ZHJzL2Rvd25yZXYueG1sUEsFBgAAAAAEAAQA9QAAAI4DAAAAAA==&#10;" path="m,l449445,36896,906381,73793r449444,l1812761,233677r449445,135287l2711651,473503r456936,147585l3618032,873213r456935,528848e" filled="f" strokecolor="#b3b3b3" strokeweight=".34164mm">
                  <v:stroke endcap="round"/>
                  <v:path arrowok="t" textboxrect="0,0,4074967,1402061"/>
                </v:shape>
                <v:shape id="Shape 21469" o:spid="_x0000_s1613" style="position:absolute;left:5131;top:40466;width:40749;height:13406;visibility:visible;mso-wrap-style:square;v-text-anchor:top" coordsize="4074967,134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t3sMA&#10;AADeAAAADwAAAGRycy9kb3ducmV2LnhtbESPS6vCMBSE94L/IRzBnaY+rmg1ivgAd9fXxt2hObbF&#10;5qQ0Ueu/N4LgcpiZb5jZojaFeFDlcssKet0IBHFidc6pgvNp2xmDcB5ZY2GZFLzIwWLebMww1vbJ&#10;B3ocfSoChF2MCjLvy1hKl2Rk0HVtSRy8q60M+iCrVOoKnwFuCtmPopE0mHNYyLCkVUbJ7Xg3CtL7&#10;32aNJ6Z6ML4kbFf73eF/qVS7VS+nIDzV/hf+tndaQb83HE3gcyd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0t3sMAAADeAAAADwAAAAAAAAAAAAAAAACYAgAAZHJzL2Rv&#10;d25yZXYueG1sUEsFBgAAAAAEAAQA9QAAAIgDAAAAAA==&#10;" path="m,l449445,122988r456936,43046l1355825,245976r456936,92241l2262206,467354r449445,104539l3168587,713329r449445,221378l4074967,1340567e" filled="f" strokecolor="#898989" strokeweight=".34164mm">
                  <v:stroke endcap="round"/>
                  <v:path arrowok="t" textboxrect="0,0,4074967,1340567"/>
                </v:shape>
                <v:shape id="Shape 21471" o:spid="_x0000_s1614" style="position:absolute;left:5131;top:41388;width:40749;height:11684;visibility:visible;mso-wrap-style:square;v-text-anchor:top" coordsize="4074967,116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uCMcA&#10;AADeAAAADwAAAGRycy9kb3ducmV2LnhtbESP3WrCQBSE74W+w3IKvZG6SSgq0TX0h4JCb4x9gEP2&#10;mER3z6bZrYlv3xUKXg4z8w2zLkZrxIV63zpWkM4SEMSV0y3XCr4Pn89LED4gazSOScGVPBSbh8ka&#10;c+0G3tOlDLWIEPY5KmhC6HIpfdWQRT9zHXH0jq63GKLsa6l7HCLcGpklyVxabDkuNNjRe0PVufy1&#10;Cr6G3dScf6aDmfvRlMvjx5urT0o9PY6vKxCBxnAP/7e3WkGWvixSuN2JV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LbgjHAAAA3gAAAA8AAAAAAAAAAAAAAAAAmAIAAGRy&#10;cy9kb3ducmV2LnhtbFBLBQYAAAAABAAEAPUAAACMAwAAAAA=&#10;" path="m,l449445,49195,906381,92241r449444,12299l1812761,264424r449445,135287l2711651,498101r456936,141436l3618032,830168r456935,338216e" filled="f" strokecolor="#212121" strokeweight=".34164mm">
                  <v:stroke endcap="round"/>
                  <v:path arrowok="t" textboxrect="0,0,4074967,1168384"/>
                </v:shape>
                <v:shape id="Shape 21473" o:spid="_x0000_s1615" style="position:absolute;left:5131;top:40466;width:40749;height:11991;visibility:visible;mso-wrap-style:square;v-text-anchor:top" coordsize="4074967,119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GhMYA&#10;AADeAAAADwAAAGRycy9kb3ducmV2LnhtbESPwW7CMBBE75X6D9ZW6q04pKhEAYMQbVGuQNXzEi9x&#10;RLxOYxdcvr6uVInjaGbeaObLaDtxpsG3jhWMRxkI4trplhsFH/v3pwKED8gaO8ek4Ic8LBf3d3Ms&#10;tbvwls670IgEYV+iAhNCX0rpa0MW/cj1xMk7usFiSHJopB7wkuC2k3mWvUiLLacFgz2tDdWn3bdV&#10;sCq+3opJtbb77ed18xrzWB16o9TjQ1zNQASK4Rb+b1daQT6eTJ/h70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PGhMYAAADeAAAADwAAAAAAAAAAAAAAAACYAgAAZHJz&#10;L2Rvd25yZXYueG1sUEsFBgAAAAAEAAQA9QAAAIsDAAAAAA==&#10;" path="m,l449445,153735r456936,49195l1355825,215229r456936,166033l2262206,516549r449445,92241l3168587,744076r449445,172183l4074967,1199131e" filled="f" strokecolor="#dadada" strokeweight=".34164mm">
                  <v:stroke endcap="round"/>
                  <v:path arrowok="t" textboxrect="0,0,4074967,1199131"/>
                </v:shape>
                <v:rect id="Rectangle 21475" o:spid="_x0000_s1616" style="position:absolute;left:383;top:61808;width:274;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3Qc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Hsf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490HHAAAA3gAAAA8AAAAAAAAAAAAAAAAAmAIAAGRy&#10;cy9kb3ducmV2LnhtbFBLBQYAAAAABAAEAPUAAACMAwAAAAA=&#10;" filled="f" stroked="f">
                  <v:textbox inset="0,0,0,0">
                    <w:txbxContent>
                      <w:p w:rsidR="00EE13F6" w:rsidRDefault="002E5BC4">
                        <w:r>
                          <w:rPr>
                            <w:color w:val="585858"/>
                            <w:sz w:val="9"/>
                          </w:rPr>
                          <w:t>-</w:t>
                        </w:r>
                      </w:p>
                    </w:txbxContent>
                  </v:textbox>
                </v:rect>
                <v:rect id="Rectangle 204961" o:spid="_x0000_s1617" style="position:absolute;left:1507;top:61808;width:953;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gosgA&#10;AADfAAAADwAAAGRycy9kb3ducmV2LnhtbESPQWvCQBSE74L/YXlCb7pRSjCpq4htSY5tFGxvj+xr&#10;Esy+DdmtSfvruwXB4zAz3zCb3WhacaXeNZYVLBcRCOLS6oYrBafj63wNwnlkja1lUvBDDnbb6WSD&#10;qbYDv9O18JUIEHYpKqi971IpXVmTQbewHXHwvmxv0AfZV1L3OAS4aeUqimJpsOGwUGNHh5rKS/Ft&#10;FGTrbv+R29+hal8+s/PbOXk+Jl6ph9m4fwLhafT38K2dawWr6DGJl/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5+CiyAAAAN8AAAAPAAAAAAAAAAAAAAAAAJgCAABk&#10;cnMvZG93bnJldi54bWxQSwUGAAAAAAQABAD1AAAAjQMAAAAA&#10;" filled="f" stroked="f">
                  <v:textbox inset="0,0,0,0">
                    <w:txbxContent>
                      <w:p w:rsidR="00EE13F6" w:rsidRDefault="002E5BC4">
                        <w:r>
                          <w:rPr>
                            <w:color w:val="585858"/>
                            <w:sz w:val="9"/>
                          </w:rPr>
                          <w:t>00</w:t>
                        </w:r>
                      </w:p>
                    </w:txbxContent>
                  </v:textbox>
                </v:rect>
                <v:rect id="Rectangle 204960" o:spid="_x0000_s1618" style="position:absolute;left:608;top:61808;width:953;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FOcUA&#10;AADfAAAADwAAAGRycy9kb3ducmV2LnhtbESPy4rCMBSG9wO+QziCuzFVRGw1inhBlzMqqLtDc2yL&#10;zUlpoq0+/WQx4PLnv/HNFq0pxZNqV1hWMOhHIIhTqwvOFJyO2+8JCOeRNZaWScGLHCzmna8ZJto2&#10;/EvPg89EGGGXoILc+yqR0qU5GXR9WxEH72Zrgz7IOpO6xiaMm1IOo2gsDRYcHnKsaJVTej88jILd&#10;pFpe9vbdZOXmujv/nOP1MfZK9brtcgrCU+s/4f/2XisYRqN4H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0U5xQAAAN8AAAAPAAAAAAAAAAAAAAAAAJgCAABkcnMv&#10;ZG93bnJldi54bWxQSwUGAAAAAAQABAD1AAAAigMAAAAA&#10;" filled="f" stroked="f">
                  <v:textbox inset="0,0,0,0">
                    <w:txbxContent>
                      <w:p w:rsidR="00EE13F6" w:rsidRDefault="002E5BC4">
                        <w:r>
                          <w:rPr>
                            <w:color w:val="585858"/>
                            <w:sz w:val="9"/>
                          </w:rPr>
                          <w:t>25</w:t>
                        </w:r>
                      </w:p>
                    </w:txbxContent>
                  </v:textbox>
                </v:rect>
                <v:rect id="Rectangle 204962" o:spid="_x0000_s1619" style="position:absolute;left:1357;top:61808;width:224;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1cgA&#10;AADfAAAADwAAAGRycy9kb3ducmV2LnhtbESPQWvCQBSE74L/YXlCb7oxFDFpVhG16LE1BdvbI/tM&#10;gtm3IbtN0v76bqHQ4zAz3zDZdjSN6KlztWUFy0UEgriwuuZSwVv+PF+DcB5ZY2OZFHyRg+1mOskw&#10;1XbgV+ovvhQBwi5FBZX3bSqlKyoy6Ba2JQ7ezXYGfZBdKXWHQ4CbRsZRtJIGaw4LFba0r6i4Xz6N&#10;gtO63b2f7fdQNseP0/XlmhzyxCv1MBt3TyA8jf4//Nc+awVx9JisY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X7VyAAAAN8AAAAPAAAAAAAAAAAAAAAAAJgCAABk&#10;cnMvZG93bnJldi54bWxQSwUGAAAAAAQABAD1AAAAjQMAAAAA&#10;" filled="f" stroked="f">
                  <v:textbox inset="0,0,0,0">
                    <w:txbxContent>
                      <w:p w:rsidR="00EE13F6" w:rsidRDefault="002E5BC4">
                        <w:r>
                          <w:rPr>
                            <w:color w:val="585858"/>
                            <w:sz w:val="9"/>
                          </w:rPr>
                          <w:t>,</w:t>
                        </w:r>
                      </w:p>
                    </w:txbxContent>
                  </v:textbox>
                </v:rect>
                <v:rect id="Rectangle 21477" o:spid="_x0000_s1620" style="position:absolute;left:383;top:57475;width:27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MrcYA&#10;AADeAAAADwAAAGRycy9kb3ducmV2LnhtbESPQYvCMBSE7wv+h/AEb2uqyKrVKKIuetxVQb09mmdb&#10;bF5KE2311xthYY/DzHzDTOeNKcSdKpdbVtDrRiCIE6tzThUc9t+fIxDOI2ssLJOCBzmYz1ofU4y1&#10;rfmX7jufigBhF6OCzPsyltIlGRl0XVsSB+9iK4M+yCqVusI6wE0h+1H0JQ3mHBYyLGmZUXLd3YyC&#10;zahcnLb2WafF+rw5/hzHq/3YK9VpN4sJCE+N/w//tbdaQb83GA7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MrcYAAADeAAAADwAAAAAAAAAAAAAAAACYAgAAZHJz&#10;L2Rvd25yZXYueG1sUEsFBgAAAAAEAAQA9QAAAIsDAAAAAA==&#10;" filled="f" stroked="f">
                  <v:textbox inset="0,0,0,0">
                    <w:txbxContent>
                      <w:p w:rsidR="00EE13F6" w:rsidRDefault="002E5BC4">
                        <w:r>
                          <w:rPr>
                            <w:color w:val="585858"/>
                            <w:sz w:val="9"/>
                          </w:rPr>
                          <w:t>-</w:t>
                        </w:r>
                      </w:p>
                    </w:txbxContent>
                  </v:textbox>
                </v:rect>
                <v:rect id="Rectangle 204958" o:spid="_x0000_s1621" style="position:absolute;left:1507;top:57475;width:953;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DgsYA&#10;AADfAAAADwAAAGRycy9kb3ducmV2LnhtbERPy2rCQBTdF/yH4QrdNROlLSY6htAHurRaiO4umWsS&#10;zNwJmalJ+/XOouDycN6rbDStuFLvGssKZlEMgri0uuFKwffh82kBwnlkja1lUvBLDrL15GGFqbYD&#10;f9F17ysRQtilqKD2vkuldGVNBl1kO+LAnW1v0AfYV1L3OIRw08p5HL9Kgw2Hhho7equpvOx/jILN&#10;osuPW/s3VO3HaVPsiuT9kHilHqdjvgThafR38b97qxXM4+fkJQwOf8IX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GDgsYAAADfAAAADwAAAAAAAAAAAAAAAACYAgAAZHJz&#10;L2Rvd25yZXYueG1sUEsFBgAAAAAEAAQA9QAAAIsDAAAAAA==&#10;" filled="f" stroked="f">
                  <v:textbox inset="0,0,0,0">
                    <w:txbxContent>
                      <w:p w:rsidR="00EE13F6" w:rsidRDefault="002E5BC4">
                        <w:r>
                          <w:rPr>
                            <w:color w:val="585858"/>
                            <w:sz w:val="9"/>
                          </w:rPr>
                          <w:t>00</w:t>
                        </w:r>
                      </w:p>
                    </w:txbxContent>
                  </v:textbox>
                </v:rect>
                <v:rect id="Rectangle 204959" o:spid="_x0000_s1622" style="position:absolute;left:1357;top:57475;width:22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mGcgA&#10;AADfAAAADwAAAGRycy9kb3ducmV2LnhtbESPT2vCQBTE74LfYXkFb7qpaEmiq4ha9OifgvX2yL4m&#10;odm3Ibs1sZ++KxQ8DjPzG2a+7EwlbtS40rKC11EEgjizuuRcwcf5fRiDcB5ZY2WZFNzJwXLR780x&#10;1bblI91OPhcBwi5FBYX3dSqlywoy6Ea2Jg7el20M+iCbXOoG2wA3lRxH0Zs0WHJYKLCmdUHZ9+nH&#10;KNjF9epzb3/bvNped5fDJdmcE6/U4KVbzUB46vwz/N/eawXjaJJME3j8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YZyAAAAN8AAAAPAAAAAAAAAAAAAAAAAJgCAABk&#10;cnMvZG93bnJldi54bWxQSwUGAAAAAAQABAD1AAAAjQMAAAAA&#10;" filled="f" stroked="f">
                  <v:textbox inset="0,0,0,0">
                    <w:txbxContent>
                      <w:p w:rsidR="00EE13F6" w:rsidRDefault="002E5BC4">
                        <w:r>
                          <w:rPr>
                            <w:color w:val="585858"/>
                            <w:sz w:val="9"/>
                          </w:rPr>
                          <w:t>,</w:t>
                        </w:r>
                      </w:p>
                    </w:txbxContent>
                  </v:textbox>
                </v:rect>
                <v:rect id="Rectangle 204957" o:spid="_x0000_s1623" style="position:absolute;left:608;top:57475;width:953;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X8MkA&#10;AADfAAAADwAAAGRycy9kb3ducmV2LnhtbESPW2vCQBSE3wv+h+UU+lY3lbaa6CrSC8mjN1DfDtlj&#10;EsyeDdmtSfvrXaHg4zAz3zCzRW9qcaHWVZYVvAwjEMS51RUXCnbb7+cJCOeRNdaWScEvOVjMBw8z&#10;TLTteE2XjS9EgLBLUEHpfZNI6fKSDLqhbYiDd7KtQR9kW0jdYhfgppajKHqXBisOCyU29FFSft78&#10;GAXppFkeMvvXFfXXMd2v9vHnNvZKPT32yykIT72/h//bmVYwil7jtzHc/o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4X8MkAAADfAAAADwAAAAAAAAAAAAAAAACYAgAA&#10;ZHJzL2Rvd25yZXYueG1sUEsFBgAAAAAEAAQA9QAAAI4DAAAAAA==&#10;" filled="f" stroked="f">
                  <v:textbox inset="0,0,0,0">
                    <w:txbxContent>
                      <w:p w:rsidR="00EE13F6" w:rsidRDefault="002E5BC4">
                        <w:r>
                          <w:rPr>
                            <w:color w:val="585858"/>
                            <w:sz w:val="9"/>
                          </w:rPr>
                          <w:t>20</w:t>
                        </w:r>
                      </w:p>
                    </w:txbxContent>
                  </v:textbox>
                </v:rect>
                <v:rect id="Rectangle 21479" o:spid="_x0000_s1624" style="position:absolute;left:383;top:53133;width:299;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9RMgA&#10;AADeAAAADwAAAGRycy9kb3ducmV2LnhtbESPT2vCQBTE7wW/w/KE3upGKa2JboLYFj3WP6DeHtln&#10;Esy+DdmtSf30bqHgcZiZ3zDzrDe1uFLrKssKxqMIBHFudcWFgv3u62UKwnlkjbVlUvBLDrJ08DTH&#10;RNuON3Td+kIECLsEFZTeN4mULi/JoBvZhjh4Z9sa9EG2hdQtdgFuajmJojdpsOKwUGJDy5Lyy/bH&#10;KFhNm8VxbW9dUX+eVofvQ/yxi71Sz8N+MQPhqfeP8H97rRVMxq/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f1EyAAAAN4AAAAPAAAAAAAAAAAAAAAAAJgCAABk&#10;cnMvZG93bnJldi54bWxQSwUGAAAAAAQABAD1AAAAjQMAAAAA&#10;" filled="f" stroked="f">
                  <v:textbox inset="0,0,0,0">
                    <w:txbxContent>
                      <w:p w:rsidR="00EE13F6" w:rsidRDefault="002E5BC4">
                        <w:r>
                          <w:rPr>
                            <w:rFonts w:ascii="Times New Roman" w:eastAsia="Times New Roman" w:hAnsi="Times New Roman" w:cs="Times New Roman"/>
                            <w:color w:val="585858"/>
                            <w:sz w:val="9"/>
                          </w:rPr>
                          <w:t>-</w:t>
                        </w:r>
                      </w:p>
                    </w:txbxContent>
                  </v:textbox>
                </v:rect>
                <v:rect id="Rectangle 21480" o:spid="_x0000_s1625" style="position:absolute;left:608;top:53133;width:448;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k/sYA&#10;AADeAAAADwAAAGRycy9kb3ducmV2LnhtbESPzWrCQBSF9wXfYbhCd3WilBKjo4i2JMvWCNHdJXNN&#10;gpk7ITM1aZ++syi4PJw/vvV2NK24U+8aywrmswgEcWl1w5WCU/7xEoNwHllja5kU/JCD7WbytMZE&#10;24G/6H70lQgj7BJUUHvfJVK6siaDbmY74uBdbW/QB9lXUvc4hHHTykUUvUmDDYeHGjva11Tejt9G&#10;QRp3u3Nmf4eqfb+kxWexPORLr9TzdNytQHga/SP83860gsX8NQ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ok/s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9"/>
                          </w:rPr>
                          <w:t>1</w:t>
                        </w:r>
                      </w:p>
                    </w:txbxContent>
                  </v:textbox>
                </v:rect>
                <v:rect id="Rectangle 21481" o:spid="_x0000_s1626" style="position:absolute;left:982;top:53133;width:449;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BZccA&#10;AADeAAAADwAAAGRycy9kb3ducmV2LnhtbESPT4vCMBTE78J+h/AW9qZpZZFajSL7Bz2qFdTbo3nb&#10;lm1eSpO1XT+9EQSPw8z8hpkve1OLC7WusqwgHkUgiHOrKy4UHLLvYQLCeWSNtWVS8E8OlouXwRxT&#10;bTve0WXvCxEg7FJUUHrfpFK6vCSDbmQb4uD92NagD7ItpG6xC3BTy3EUTaTBisNCiQ19lJT/7v+M&#10;gnXSrE4be+2K+uu8Pm6P089s6pV6e+1XMxCeev8MP9obrWAcvyc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gWX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9"/>
                          </w:rPr>
                          <w:t>5</w:t>
                        </w:r>
                      </w:p>
                    </w:txbxContent>
                  </v:textbox>
                </v:rect>
                <v:rect id="Rectangle 21482" o:spid="_x0000_s1627" style="position:absolute;left:1357;top:53133;width:224;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fEscA&#10;AADeAAAADwAAAGRycy9kb3ducmV2LnhtbESPQWvCQBSE7wX/w/IEb3VjEIlpVhGt6LHVgu3tkX0m&#10;wezbkN0m0V/fLRR6HGbmGyZbD6YWHbWusqxgNo1AEOdWV1wo+DjvnxMQziNrrC2Tgjs5WK9GTxmm&#10;2vb8Tt3JFyJA2KWooPS+SaV0eUkG3dQ2xMG72tagD7ItpG6xD3BTyziKFtJgxWGhxIa2JeW307dR&#10;cEiazefRPvqifv06XN4uy9156ZWajIfNCwhPg/8P/7WPWkE8my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EHxL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9"/>
                          </w:rPr>
                          <w:t>,</w:t>
                        </w:r>
                      </w:p>
                    </w:txbxContent>
                  </v:textbox>
                </v:rect>
                <v:rect id="Rectangle 21483" o:spid="_x0000_s1628" style="position:absolute;left:1507;top:53133;width:448;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6iccA&#10;AADeAAAADwAAAGRycy9kb3ducmV2LnhtbESPT2vCQBTE74LfYXmCN92oRWLqKmIreqx/wPb2yL4m&#10;wezbkF1N6qd3C4LHYWZ+w8yXrSnFjWpXWFYwGkYgiFOrC84UnI6bQQzCeWSNpWVS8EcOlotuZ46J&#10;tg3v6XbwmQgQdgkqyL2vEildmpNBN7QVcfB+bW3QB1lnUtfYBLgp5TiKptJgwWEhx4rWOaWXw9Uo&#10;2MbV6ntn701Wfv5sz1/n2cdx5pXq99rVOwhPrX+Fn+2dVjAevcU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Iuon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9"/>
                          </w:rPr>
                          <w:t>0</w:t>
                        </w:r>
                      </w:p>
                    </w:txbxContent>
                  </v:textbox>
                </v:rect>
                <v:rect id="Rectangle 21484" o:spid="_x0000_s1629" style="position:absolute;left:1881;top:53133;width:449;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i/ccA&#10;AADeAAAADwAAAGRycy9kb3ducmV2LnhtbESPQWvCQBSE74L/YXlCb7pRpMTUVcS2mGObCGlvj+xr&#10;Esy+DdmtSfvruwXB4zAz3zDb/WhacaXeNZYVLBcRCOLS6oYrBef8dR6DcB5ZY2uZFPyQg/1uOtli&#10;ou3A73TNfCUChF2CCmrvu0RKV9Zk0C1sRxy8L9sb9EH2ldQ9DgFuWrmKokdpsOGwUGNHx5rKS/Zt&#10;FJzi7vCR2t+hal8+T8VbsXnON16ph9l4eALhafT38K2dagWr5Tp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hIv3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9"/>
                          </w:rPr>
                          <w:t>0</w:t>
                        </w:r>
                      </w:p>
                    </w:txbxContent>
                  </v:textbox>
                </v:rect>
                <v:rect id="Rectangle 21485" o:spid="_x0000_s1630" style="position:absolute;left:383;top:48808;width:27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HZscA&#10;AADeAAAADwAAAGRycy9kb3ducmV2LnhtbESPT2vCQBTE74LfYXmCN90oVmLqKmIreqx/wPb2yL4m&#10;wezbkF1N6qd3C4LHYWZ+w8yXrSnFjWpXWFYwGkYgiFOrC84UnI6bQQzCeWSNpWVS8EcOlotuZ46J&#10;tg3v6XbwmQgQdgkqyL2vEildmpNBN7QVcfB+bW3QB1lnUtfYBLgp5TiKptJgwWEhx4rWOaWXw9Uo&#10;2MbV6ntn701Wfv5sz1/n2cdx5pXq99rVOwhPrX+Fn+2dVjAeTe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th2bHAAAA3gAAAA8AAAAAAAAAAAAAAAAAmAIAAGRy&#10;cy9kb3ducmV2LnhtbFBLBQYAAAAABAAEAPUAAACMAwAAAAA=&#10;" filled="f" stroked="f">
                  <v:textbox inset="0,0,0,0">
                    <w:txbxContent>
                      <w:p w:rsidR="00EE13F6" w:rsidRDefault="002E5BC4">
                        <w:r>
                          <w:rPr>
                            <w:color w:val="585858"/>
                            <w:sz w:val="9"/>
                          </w:rPr>
                          <w:t>-</w:t>
                        </w:r>
                      </w:p>
                    </w:txbxContent>
                  </v:textbox>
                </v:rect>
                <v:rect id="Rectangle 204956" o:spid="_x0000_s1631" style="position:absolute;left:1357;top:48808;width:22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ya8gA&#10;AADfAAAADwAAAGRycy9kb3ducmV2LnhtbESPT2vCQBTE70K/w/IK3nRTUUlSV5FW0aP/wPb2yL4m&#10;odm3Ibua6KfvFgSPw8z8hpktOlOJKzWutKzgbRiBIM6sLjlXcDquBzEI55E1VpZJwY0cLOYvvRmm&#10;2ra8p+vB5yJA2KWooPC+TqV0WUEG3dDWxMH7sY1BH2STS91gG+CmkqMomkqDJYeFAmv6KCj7PVyM&#10;gk1cL7+29t7m1ep7c96dk89j4pXqv3bLdxCeOv8MP9pbrWAUjZPJF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YrJryAAAAN8AAAAPAAAAAAAAAAAAAAAAAJgCAABk&#10;cnMvZG93bnJldi54bWxQSwUGAAAAAAQABAD1AAAAjQMAAAAA&#10;" filled="f" stroked="f">
                  <v:textbox inset="0,0,0,0">
                    <w:txbxContent>
                      <w:p w:rsidR="00EE13F6" w:rsidRDefault="002E5BC4">
                        <w:r>
                          <w:rPr>
                            <w:color w:val="585858"/>
                            <w:sz w:val="9"/>
                          </w:rPr>
                          <w:t>,</w:t>
                        </w:r>
                      </w:p>
                    </w:txbxContent>
                  </v:textbox>
                </v:rect>
                <v:rect id="Rectangle 204954" o:spid="_x0000_s1632" style="position:absolute;left:608;top:48808;width:953;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Jh8gA&#10;AADfAAAADwAAAGRycy9kb3ducmV2LnhtbESPQWvCQBSE7wX/w/KE3upGsWJSVxGtJMeqBdvbI/ua&#10;BLNvQ3Y1qb/eLQg9DjPzDbNY9aYWV2pdZVnBeBSBIM6trrhQ8HncvcxBOI+ssbZMCn7JwWo5eFpg&#10;om3He7oefCEChF2CCkrvm0RKl5dk0I1sQxy8H9sa9EG2hdQtdgFuajmJopk0WHFYKLGhTUn5+XAx&#10;CtJ5s/7K7K0r6vfv9PRxirfH2Cv1POzXbyA89f4//GhnWsEkmsavU/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ImHyAAAAN8AAAAPAAAAAAAAAAAAAAAAAJgCAABk&#10;cnMvZG93bnJldi54bWxQSwUGAAAAAAQABAD1AAAAjQMAAAAA&#10;" filled="f" stroked="f">
                  <v:textbox inset="0,0,0,0">
                    <w:txbxContent>
                      <w:p w:rsidR="00EE13F6" w:rsidRDefault="002E5BC4">
                        <w:r>
                          <w:rPr>
                            <w:color w:val="585858"/>
                            <w:sz w:val="9"/>
                          </w:rPr>
                          <w:t>10</w:t>
                        </w:r>
                      </w:p>
                    </w:txbxContent>
                  </v:textbox>
                </v:rect>
                <v:rect id="Rectangle 204955" o:spid="_x0000_s1633" style="position:absolute;left:1507;top:48808;width:953;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AsHMgA&#10;AADfAAAADwAAAGRycy9kb3ducmV2LnhtbESPT2vCQBTE7wW/w/KE3upGqcXEbES0RY/1D6i3R/aZ&#10;BLNvQ3Zr0n76bqHgcZiZ3zDpoje1uFPrKssKxqMIBHFudcWFguPh42UGwnlkjbVlUvBNDhbZ4CnF&#10;RNuOd3Tf+0IECLsEFZTeN4mULi/JoBvZhjh4V9sa9EG2hdQtdgFuajmJojdpsOKwUGJDq5Ly2/7L&#10;KNjMmuV5a3+6on6/bE6fp3h9iL1Sz8N+OQfhqfeP8H97qxVMotd4Oo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CwcyAAAAN8AAAAPAAAAAAAAAAAAAAAAAJgCAABk&#10;cnMvZG93bnJldi54bWxQSwUGAAAAAAQABAD1AAAAjQMAAAAA&#10;" filled="f" stroked="f">
                  <v:textbox inset="0,0,0,0">
                    <w:txbxContent>
                      <w:p w:rsidR="00EE13F6" w:rsidRDefault="002E5BC4">
                        <w:r>
                          <w:rPr>
                            <w:color w:val="585858"/>
                            <w:sz w:val="9"/>
                          </w:rPr>
                          <w:t>00</w:t>
                        </w:r>
                      </w:p>
                    </w:txbxContent>
                  </v:textbox>
                </v:rect>
                <v:rect id="Rectangle 21487" o:spid="_x0000_s1634" style="position:absolute;left:776;top:44466;width:299;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iscA&#10;AADeAAAADwAAAGRycy9kb3ducmV2LnhtbESPT2vCQBTE74LfYXmCN90oUmPqKmIreqx/wPb2yL4m&#10;wezbkF1N6qd3C4LHYWZ+w8yXrSnFjWpXWFYwGkYgiFOrC84UnI6bQQzCeWSNpWVS8EcOlotuZ46J&#10;tg3v6XbwmQgQdgkqyL2vEildmpNBN7QVcfB+bW3QB1lnUtfYBLgp5TiK3qTBgsNCjhWtc0ovh6tR&#10;sI2r1ffO3pus/PzZnr/Os4/jzCvV77WrdxCeWv8KP9s7rWA8msR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zvIr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9"/>
                          </w:rPr>
                          <w:t>-</w:t>
                        </w:r>
                      </w:p>
                    </w:txbxContent>
                  </v:textbox>
                </v:rect>
                <v:rect id="Rectangle 21488" o:spid="_x0000_s1635" style="position:absolute;left:1001;top:44466;width:448;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o+MQA&#10;AADeAAAADwAAAGRycy9kb3ducmV2LnhtbERPTWvCQBC9F/wPywi91Y1SSoyuItqSHFsjRG9DdkyC&#10;2dmQ3Zq0v757KHh8vO/1djStuFPvGssK5rMIBHFpdcOVglP+8RKDcB5ZY2uZFPyQg+1m8rTGRNuB&#10;v+h+9JUIIewSVFB73yVSurImg25mO+LAXW1v0AfYV1L3OIRw08pFFL1Jgw2Hhho72tdU3o7fRkEa&#10;d7tzZn+Hqn2/pMVnsTzkS6/U83TcrUB4Gv1D/O/OtILF/DU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sKPj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9"/>
                          </w:rPr>
                          <w:t>5</w:t>
                        </w:r>
                      </w:p>
                    </w:txbxContent>
                  </v:textbox>
                </v:rect>
                <v:rect id="Rectangle 21489" o:spid="_x0000_s1636" style="position:absolute;left:1376;top:44466;width:224;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Y8cA&#10;AADeAAAADwAAAGRycy9kb3ducmV2LnhtbESPQWvCQBSE7wX/w/KE3upGkZJEVxGt6LEaQb09ss8k&#10;mH0bsluT9td3hUKPw8x8w8yXvanFg1pXWVYwHkUgiHOrKy4UnLLtWwzCeWSNtWVS8E0OlovByxxT&#10;bTs+0OPoCxEg7FJUUHrfpFK6vCSDbmQb4uDdbGvQB9kWUrfYBbip5SSK3qXBisNCiQ2tS8rvxy+j&#10;YBc3q8ve/nRF/XHdnT/PySZLvFKvw341A+Gp9//hv/ZeK5iMp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jWP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9"/>
                          </w:rPr>
                          <w:t>,</w:t>
                        </w:r>
                      </w:p>
                    </w:txbxContent>
                  </v:textbox>
                </v:rect>
                <v:rect id="Rectangle 21490" o:spid="_x0000_s1637" style="position:absolute;left:1525;top:44466;width:449;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yI8YA&#10;AADeAAAADwAAAGRycy9kb3ducmV2LnhtbESPzWrCQBSF9wXfYbhCd3WilGKio4i2JMvWCNHdJXNN&#10;gpk7ITM1aZ++syi4PJw/vvV2NK24U+8aywrmswgEcWl1w5WCU/7xsgThPLLG1jIp+CEH283kaY2J&#10;tgN/0f3oKxFG2CWooPa+S6R0ZU0G3cx2xMG72t6gD7KvpO5xCOOmlYsoepMGGw4PNXa0r6m8Hb+N&#10;gnTZ7c6Z/R2q9v2SFp9FfMhjr9TzdNytQHga/SP83860gsX8NQ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OyI8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9"/>
                          </w:rPr>
                          <w:t>0</w:t>
                        </w:r>
                      </w:p>
                    </w:txbxContent>
                  </v:textbox>
                </v:rect>
                <v:rect id="Rectangle 21491" o:spid="_x0000_s1638" style="position:absolute;left:1900;top:44466;width:448;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XuMcA&#10;AADeAAAADwAAAGRycy9kb3ducmV2LnhtbESPQWvCQBSE7wX/w/KE3uomIsVEVxGt6LEaQb09ss8k&#10;mH0bsluT9td3hUKPw8x8w8yXvanFg1pXWVYQjyIQxLnVFRcKTtn2bQrCeWSNtWVS8E0OlovByxxT&#10;bTs+0OPoCxEg7FJUUHrfpFK6vCSDbmQb4uDdbGvQB9kWUrfYBbip5TiK3qXBisNCiQ2tS8rvxy+j&#10;YDdtVpe9/emK+uO6O3+ek02WeKVeh/1qBsJT7//Df+29VjCOJ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PF7j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9"/>
                          </w:rPr>
                          <w:t>0</w:t>
                        </w:r>
                      </w:p>
                    </w:txbxContent>
                  </v:textbox>
                </v:rect>
                <v:rect id="Rectangle 204927" o:spid="_x0000_s1639" style="position:absolute;left:957;top:40141;width:45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kjccA&#10;AADfAAAADwAAAGRycy9kb3ducmV2LnhtbESPQWvCQBSE7wX/w/IEb3VjkNZEVxFb0WOrgnp7ZJ9J&#10;MPs2ZFeT+uvdQqHHYWa+YWaLzlTiTo0rLSsYDSMQxJnVJecKDvv16wSE88gaK8uk4IccLOa9lxmm&#10;2rb8Tfedz0WAsEtRQeF9nUrpsoIMuqGtiYN3sY1BH2STS91gG+CmknEUvUmDJYeFAmtaFZRddzej&#10;YDOpl6etfbR59XneHL+Oycc+8UoN+t1yCsJT5//Df+2tVhBH4yR+h9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oZI3HAAAA3wAAAA8AAAAAAAAAAAAAAAAAmAIAAGRy&#10;cy9kb3ducmV2LnhtbFBLBQYAAAAABAAEAPUAAACMAwAAAAA=&#10;" filled="f" stroked="f">
                  <v:textbox inset="0,0,0,0">
                    <w:txbxContent>
                      <w:p w:rsidR="00EE13F6" w:rsidRDefault="002E5BC4">
                        <w:r>
                          <w:rPr>
                            <w:color w:val="585858"/>
                            <w:sz w:val="9"/>
                          </w:rPr>
                          <w:t>0</w:t>
                        </w:r>
                      </w:p>
                    </w:txbxContent>
                  </v:textbox>
                </v:rect>
                <v:rect id="Rectangle 204929" o:spid="_x0000_s1640" style="position:absolute;left:1331;top:40141;width:22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VZMgA&#10;AADfAAAADwAAAGRycy9kb3ducmV2LnhtbESPQWvCQBSE74X+h+UVvNVNg4hJsxFpFT1WU7C9PbKv&#10;SWj2bciuJvrru4LQ4zAz3zDZcjStOFPvGssKXqYRCOLS6oYrBZ/F5nkBwnlkja1lUnAhB8v88SHD&#10;VNuB93Q++EoECLsUFdTed6mUrqzJoJvajjh4P7Y36IPsK6l7HALctDKOork02HBYqLGjt5rK38PJ&#10;KNguutXXzl6Hql1/b48fx+S9SLxSk6dx9QrC0+j/w/f2TiuIo1kSJ3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1VkyAAAAN8AAAAPAAAAAAAAAAAAAAAAAJgCAABk&#10;cnMvZG93bnJldi54bWxQSwUGAAAAAAQABAD1AAAAjQMAAAAA&#10;" filled="f" stroked="f">
                  <v:textbox inset="0,0,0,0">
                    <w:txbxContent>
                      <w:p w:rsidR="00EE13F6" w:rsidRDefault="002E5BC4">
                        <w:r>
                          <w:rPr>
                            <w:color w:val="585858"/>
                            <w:sz w:val="9"/>
                          </w:rPr>
                          <w:t>,</w:t>
                        </w:r>
                      </w:p>
                    </w:txbxContent>
                  </v:textbox>
                </v:rect>
                <v:rect id="Rectangle 204928" o:spid="_x0000_s1641" style="position:absolute;left:1481;top:40141;width:953;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w/8UA&#10;AADfAAAADwAAAGRycy9kb3ducmV2LnhtbERPTWvCQBC9F/wPywjemk2DFBNdRbQSj60W0t6G7JiE&#10;ZmdDdpvE/vruodDj431vdpNpxUC9aywreIpiEMSl1Q1XCt6vp8cVCOeRNbaWScGdHOy2s4cNZtqO&#10;/EbDxVcihLDLUEHtfZdJ6cqaDLrIdsSBu9neoA+wr6TucQzhppVJHD9Lgw2Hhho7OtRUfl2+jYJ8&#10;1e0/zvZnrNqXz7x4LdLjNfVKLebTfg3C0+T/xX/us1aQxMs0CY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D/xQAAAN8AAAAPAAAAAAAAAAAAAAAAAJgCAABkcnMv&#10;ZG93bnJldi54bWxQSwUGAAAAAAQABAD1AAAAigMAAAAA&#10;" filled="f" stroked="f">
                  <v:textbox inset="0,0,0,0">
                    <w:txbxContent>
                      <w:p w:rsidR="00EE13F6" w:rsidRDefault="002E5BC4">
                        <w:r>
                          <w:rPr>
                            <w:color w:val="585858"/>
                            <w:sz w:val="9"/>
                          </w:rPr>
                          <w:t>00</w:t>
                        </w:r>
                      </w:p>
                    </w:txbxContent>
                  </v:textbox>
                </v:rect>
                <v:rect id="Rectangle 204931" o:spid="_x0000_s1642" style="position:absolute;left:4951;top:40830;width:952;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Pv8gA&#10;AADfAAAADwAAAGRycy9kb3ducmV2LnhtbESPQWvCQBSE70L/w/IK3nSjFjHRTZC2oseqBfX2yD6T&#10;0OzbkF1N2l/fLQg9DjPzDbPKelOLO7WusqxgMo5AEOdWV1wo+DxuRgsQziNrrC2Tgm9ykKVPgxUm&#10;2na8p/vBFyJA2CWooPS+SaR0eUkG3dg2xMG72tagD7ItpG6xC3BTy2kUzaXBisNCiQ29lpR/HW5G&#10;wXbRrM87+9MV9ftle/o4xW/H2Cs1fO7XSxCeev8ffrR3WsE0eolnE/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M+/yAAAAN8AAAAPAAAAAAAAAAAAAAAAAJgCAABk&#10;cnMvZG93bnJldi54bWxQSwUGAAAAAAQABAD1AAAAjQMAAAAA&#10;" filled="f" stroked="f">
                  <v:textbox inset="0,0,0,0">
                    <w:txbxContent>
                      <w:p w:rsidR="00EE13F6" w:rsidRDefault="002E5BC4">
                        <w:r>
                          <w:rPr>
                            <w:color w:val="585858"/>
                            <w:sz w:val="9"/>
                          </w:rPr>
                          <w:t>25</w:t>
                        </w:r>
                      </w:p>
                    </w:txbxContent>
                  </v:textbox>
                </v:rect>
                <v:rect id="Rectangle 204932" o:spid="_x0000_s1643" style="position:absolute;left:4801;top:40830;width:22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RyMcA&#10;AADfAAAADwAAAGRycy9kb3ducmV2LnhtbESPQWvCQBSE7wX/w/IEb3VjLMVEVxFb0WOrgnp7ZJ9J&#10;MPs2ZFeT+uvdQqHHYWa+YWaLzlTiTo0rLSsYDSMQxJnVJecKDvv16wSE88gaK8uk4IccLOa9lxmm&#10;2rb8Tfedz0WAsEtRQeF9nUrpsoIMuqGtiYN3sY1BH2STS91gG+CmknEUvUuDJYeFAmtaFZRddzej&#10;YDOpl6etfbR59XneHL+Oycc+8UoN+t1yCsJT5//Df+2tVhBHb8k4ht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GUcjHAAAA3wAAAA8AAAAAAAAAAAAAAAAAmAIAAGRy&#10;cy9kb3ducmV2LnhtbFBLBQYAAAAABAAEAPUAAACMAwAAAAA=&#10;" filled="f" stroked="f">
                  <v:textbox inset="0,0,0,0">
                    <w:txbxContent>
                      <w:p w:rsidR="00EE13F6" w:rsidRDefault="002E5BC4">
                        <w:r>
                          <w:rPr>
                            <w:color w:val="585858"/>
                            <w:sz w:val="9"/>
                          </w:rPr>
                          <w:t>,</w:t>
                        </w:r>
                      </w:p>
                    </w:txbxContent>
                  </v:textbox>
                </v:rect>
                <v:rect id="Rectangle 204930" o:spid="_x0000_s1644" style="position:absolute;left:4426;top:40830;width:45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qJMcA&#10;AADfAAAADwAAAGRycy9kb3ducmV2LnhtbESPy2rCQBSG9wXfYThCd81EW4qJjiH0gi6tFqK7Q+aY&#10;BDNnQmZq0j69syi4/PlvfKtsNK24Uu8aywpmUQyCuLS64UrB9+HzaQHCeWSNrWVS8EsOsvXkYYWp&#10;tgN/0XXvKxFG2KWooPa+S6V0ZU0GXWQ74uCdbW/QB9lXUvc4hHHTynkcv0qDDYeHGjt6q6m87H+M&#10;gs2iy49b+zdU7cdpU+yK5P2QeKUep2O+BOFp9Pfwf3urFczjl+Q5EASew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YaiTHAAAA3wAAAA8AAAAAAAAAAAAAAAAAmAIAAGRy&#10;cy9kb3ducmV2LnhtbFBLBQYAAAAABAAEAPUAAACMAwAAAAA=&#10;" filled="f" stroked="f">
                  <v:textbox inset="0,0,0,0">
                    <w:txbxContent>
                      <w:p w:rsidR="00EE13F6" w:rsidRDefault="002E5BC4">
                        <w:r>
                          <w:rPr>
                            <w:color w:val="585858"/>
                            <w:sz w:val="9"/>
                          </w:rPr>
                          <w:t>1</w:t>
                        </w:r>
                      </w:p>
                    </w:txbxContent>
                  </v:textbox>
                </v:rect>
                <v:rect id="Rectangle 204935" o:spid="_x0000_s1645" style="position:absolute;left:9328;top:40830;width:22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vMkA&#10;AADfAAAADwAAAGRycy9kb3ducmV2LnhtbESPW2vCQBSE3wv+h+UU+lY3ta2Y6CrSC8mjN1DfDtlj&#10;EsyeDdmtSfvrXaHg4zAz3zCzRW9qcaHWVZYVvAwjEMS51RUXCnbb7+cJCOeRNdaWScEvOVjMBw8z&#10;TLTteE2XjS9EgLBLUEHpfZNI6fKSDLqhbYiDd7KtQR9kW0jdYhfgppajKBpLgxWHhRIb+igpP29+&#10;jIJ00iwPmf3rivrrmO5X+/hzG3ulnh775RSEp97fw//tTCsYRW/x6zvc/o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JvMkAAADfAAAADwAAAAAAAAAAAAAAAACYAgAA&#10;ZHJzL2Rvd25yZXYueG1sUEsFBgAAAAAEAAQA9QAAAI4DAAAAAA==&#10;" filled="f" stroked="f">
                  <v:textbox inset="0,0,0,0">
                    <w:txbxContent>
                      <w:p w:rsidR="00EE13F6" w:rsidRDefault="002E5BC4">
                        <w:r>
                          <w:rPr>
                            <w:color w:val="585858"/>
                            <w:sz w:val="9"/>
                          </w:rPr>
                          <w:t>,</w:t>
                        </w:r>
                      </w:p>
                    </w:txbxContent>
                  </v:textbox>
                </v:rect>
                <v:rect id="Rectangle 204934" o:spid="_x0000_s1646" style="position:absolute;left:9478;top:40830;width:953;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sJ8gA&#10;AADfAAAADwAAAGRycy9kb3ducmV2LnhtbESPT2vCQBTE7wW/w/KE3upGK8XEbES0RY/1D6i3R/aZ&#10;BLNvQ3Zr0n76bqHgcZiZ3zDpoje1uFPrKssKxqMIBHFudcWFguPh42UGwnlkjbVlUvBNDhbZ4CnF&#10;RNuOd3Tf+0IECLsEFZTeN4mULi/JoBvZhjh4V9sa9EG2hdQtdgFuajmJojdpsOKwUGJDq5Ly2/7L&#10;KNjMmuV5a3+6on6/bE6fp3h9iL1Sz8N+OQfhqfeP8H97qxVMomn8Oo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I2wnyAAAAN8AAAAPAAAAAAAAAAAAAAAAAJgCAABk&#10;cnMvZG93bnJldi54bWxQSwUGAAAAAAQABAD1AAAAjQMAAAAA&#10;" filled="f" stroked="f">
                  <v:textbox inset="0,0,0,0">
                    <w:txbxContent>
                      <w:p w:rsidR="00EE13F6" w:rsidRDefault="002E5BC4">
                        <w:r>
                          <w:rPr>
                            <w:color w:val="585858"/>
                            <w:sz w:val="9"/>
                          </w:rPr>
                          <w:t>43</w:t>
                        </w:r>
                      </w:p>
                    </w:txbxContent>
                  </v:textbox>
                </v:rect>
                <v:rect id="Rectangle 204933" o:spid="_x0000_s1647" style="position:absolute;left:8953;top:40830;width:45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0U8gA&#10;AADfAAAADwAAAGRycy9kb3ducmV2LnhtbESPQWvCQBSE7wX/w/KE3upGLWJSVxGtJMeqBdvbI/ua&#10;BLNvQ3Y1qb/eLQg9DjPzDbNY9aYWV2pdZVnBeBSBIM6trrhQ8HncvcxBOI+ssbZMCn7JwWo5eFpg&#10;om3He7oefCEChF2CCkrvm0RKl5dk0I1sQxy8H9sa9EG2hdQtdgFuajmJopk0WHFYKLGhTUn5+XAx&#10;CtJ5s/7K7K0r6vfv9PRxirfH2Cv1POzXbyA89f4//GhnWsEkeo2nU/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vRTyAAAAN8AAAAPAAAAAAAAAAAAAAAAAJgCAABk&#10;cnMvZG93bnJldi54bWxQSwUGAAAAAAQABAD1AAAAjQMAAAAA&#10;" filled="f" stroked="f">
                  <v:textbox inset="0,0,0,0">
                    <w:txbxContent>
                      <w:p w:rsidR="00EE13F6" w:rsidRDefault="002E5BC4">
                        <w:r>
                          <w:rPr>
                            <w:color w:val="585858"/>
                            <w:sz w:val="9"/>
                          </w:rPr>
                          <w:t>1</w:t>
                        </w:r>
                      </w:p>
                    </w:txbxContent>
                  </v:textbox>
                </v:rect>
                <v:rect id="Rectangle 204936" o:spid="_x0000_s1648" style="position:absolute;left:13481;top:40830;width:45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y8gA&#10;AADfAAAADwAAAGRycy9kb3ducmV2LnhtbESPT2vCQBTE70K/w/IK3nRTFUlSV5FW0aP/wPb2yL4m&#10;odm3Ibua6KfvFgSPw8z8hpktOlOJKzWutKzgbRiBIM6sLjlXcDquBzEI55E1VpZJwY0cLOYvvRmm&#10;2ra8p+vB5yJA2KWooPC+TqV0WUEG3dDWxMH7sY1BH2STS91gG+CmkqMomkqDJYeFAmv6KCj7PVyM&#10;gk1cL7+29t7m1ep7c96dk89j4pXqv3bLdxCeOv8MP9pbrWAUTZLxF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VfLyAAAAN8AAAAPAAAAAAAAAAAAAAAAAJgCAABk&#10;cnMvZG93bnJldi54bWxQSwUGAAAAAAQABAD1AAAAjQMAAAAA&#10;" filled="f" stroked="f">
                  <v:textbox inset="0,0,0,0">
                    <w:txbxContent>
                      <w:p w:rsidR="00EE13F6" w:rsidRDefault="002E5BC4">
                        <w:r>
                          <w:rPr>
                            <w:color w:val="585858"/>
                            <w:sz w:val="9"/>
                          </w:rPr>
                          <w:t>1</w:t>
                        </w:r>
                      </w:p>
                    </w:txbxContent>
                  </v:textbox>
                </v:rect>
                <v:rect id="Rectangle 204938" o:spid="_x0000_s1649" style="position:absolute;left:13856;top:40830;width:22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5mIsYA&#10;AADfAAAADwAAAGRycy9kb3ducmV2LnhtbERPy2rCQBTdF/yH4QrdNRNtKSY6htAHurRaiO4umWsS&#10;zNwJmalJ+/XOouDycN6rbDStuFLvGssKZlEMgri0uuFKwffh82kBwnlkja1lUvBLDrL15GGFqbYD&#10;f9F17ysRQtilqKD2vkuldGVNBl1kO+LAnW1v0AfYV1L3OIRw08p5HL9Kgw2Hhho7equpvOx/jILN&#10;osuPW/s3VO3HaVPsiuT9kHilHqdjvgThafR38b97qxXM45fkOQwOf8IX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5mIsYAAADfAAAADwAAAAAAAAAAAAAAAACYAgAAZHJz&#10;L2Rvd25yZXYueG1sUEsFBgAAAAAEAAQA9QAAAIsDAAAAAA==&#10;" filled="f" stroked="f">
                  <v:textbox inset="0,0,0,0">
                    <w:txbxContent>
                      <w:p w:rsidR="00EE13F6" w:rsidRDefault="002E5BC4">
                        <w:r>
                          <w:rPr>
                            <w:color w:val="585858"/>
                            <w:sz w:val="9"/>
                          </w:rPr>
                          <w:t>,</w:t>
                        </w:r>
                      </w:p>
                    </w:txbxContent>
                  </v:textbox>
                </v:rect>
                <v:rect id="Rectangle 204937" o:spid="_x0000_s1650" style="position:absolute;left:14006;top:40830;width:952;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yUMkA&#10;AADfAAAADwAAAGRycy9kb3ducmV2LnhtbESPW2vCQBSE3wv+h+UU+lY3taWa6CrSC8mjN1DfDtlj&#10;EsyeDdmtSfvrXaHg4zAz3zCzRW9qcaHWVZYVvAwjEMS51RUXCnbb7+cJCOeRNdaWScEvOVjMBw8z&#10;TLTteE2XjS9EgLBLUEHpfZNI6fKSDLqhbYiDd7KtQR9kW0jdYhfgppajKHqXBisOCyU29FFSft78&#10;GAXppFkeMvvXFfXXMd2v9vHnNvZKPT32yykIT72/h//bmVYwit7i1zHc/o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fHyUMkAAADfAAAADwAAAAAAAAAAAAAAAACYAgAA&#10;ZHJzL2Rvd25yZXYueG1sUEsFBgAAAAAEAAQA9QAAAI4DAAAAAA==&#10;" filled="f" stroked="f">
                  <v:textbox inset="0,0,0,0">
                    <w:txbxContent>
                      <w:p w:rsidR="00EE13F6" w:rsidRDefault="002E5BC4">
                        <w:r>
                          <w:rPr>
                            <w:color w:val="585858"/>
                            <w:sz w:val="9"/>
                          </w:rPr>
                          <w:t>67</w:t>
                        </w:r>
                      </w:p>
                    </w:txbxContent>
                  </v:textbox>
                </v:rect>
                <v:rect id="Rectangle 204939" o:spid="_x0000_s1651" style="position:absolute;left:18008;top:40830;width:45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DucgA&#10;AADfAAAADwAAAGRycy9kb3ducmV2LnhtbESPT2vCQBTE74LfYXkFb7qpSkmiq4ha9OifgvX2yL4m&#10;odm3Ibs1sZ++KxQ8DjPzG2a+7EwlbtS40rKC11EEgjizuuRcwcf5fRiDcB5ZY2WZFNzJwXLR780x&#10;1bblI91OPhcBwi5FBYX3dSqlywoy6Ea2Jg7el20M+iCbXOoG2wA3lRxH0Zs0WHJYKLCmdUHZ9+nH&#10;KNjF9epzb3/bvNped5fDJdmcE6/U4KVbzUB46vwz/N/eawXjaJpMEnj8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IsO5yAAAAN8AAAAPAAAAAAAAAAAAAAAAAJgCAABk&#10;cnMvZG93bnJldi54bWxQSwUGAAAAAAQABAD1AAAAjQMAAAAA&#10;" filled="f" stroked="f">
                  <v:textbox inset="0,0,0,0">
                    <w:txbxContent>
                      <w:p w:rsidR="00EE13F6" w:rsidRDefault="002E5BC4">
                        <w:r>
                          <w:rPr>
                            <w:color w:val="585858"/>
                            <w:sz w:val="9"/>
                          </w:rPr>
                          <w:t>2</w:t>
                        </w:r>
                      </w:p>
                    </w:txbxContent>
                  </v:textbox>
                </v:rect>
                <v:rect id="Rectangle 204941" o:spid="_x0000_s1652" style="position:absolute;left:18383;top:40830;width:22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8wscA&#10;AADfAAAADwAAAGRycy9kb3ducmV2LnhtbESPT4vCMBTE78J+h/AWvGmqiNhqFFld9OifBfX2aJ5t&#10;2ealNFlb/fRGEPY4zMxvmNmiNaW4Ue0KywoG/QgEcWp1wZmCn+N3bwLCeWSNpWVScCcHi/lHZ4aJ&#10;tg3v6XbwmQgQdgkqyL2vEildmpNB17cVcfCutjbog6wzqWtsAtyUchhFY2mw4LCQY0VfOaW/hz+j&#10;YDOpluetfTRZub5sTrtTvDrGXqnuZ7ucgvDU+v/wu73VCobRKB4N4PUnf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SvMLHAAAA3wAAAA8AAAAAAAAAAAAAAAAAmAIAAGRy&#10;cy9kb3ducmV2LnhtbFBLBQYAAAAABAAEAPUAAACMAwAAAAA=&#10;" filled="f" stroked="f">
                  <v:textbox inset="0,0,0,0">
                    <w:txbxContent>
                      <w:p w:rsidR="00EE13F6" w:rsidRDefault="002E5BC4">
                        <w:r>
                          <w:rPr>
                            <w:color w:val="585858"/>
                            <w:sz w:val="9"/>
                          </w:rPr>
                          <w:t>,</w:t>
                        </w:r>
                      </w:p>
                    </w:txbxContent>
                  </v:textbox>
                </v:rect>
                <v:rect id="Rectangle 204940" o:spid="_x0000_s1653" style="position:absolute;left:18533;top:40830;width:953;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ZWcUA&#10;AADfAAAADwAAAGRycy9kb3ducmV2LnhtbESPy4rCMBSG94LvEI4wO00VGWw1inhBl44K6u7QHNti&#10;c1KaaDvz9GYx4PLnv/HNFq0pxYtqV1hWMBxEIIhTqwvOFJxP2/4EhPPIGkvLpOCXHCzm3c4ME20b&#10;/qHX0WcijLBLUEHufZVI6dKcDLqBrYiDd7e1QR9knUldYxPGTSlHUfQtDRYcHnKsaJVT+jg+jYLd&#10;pFpe9/avycrNbXc5XOL1KfZKffXa5RSEp9Z/wv/tvVYwisbxOBAEnsA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hlZxQAAAN8AAAAPAAAAAAAAAAAAAAAAAJgCAABkcnMv&#10;ZG93bnJldi54bWxQSwUGAAAAAAQABAD1AAAAigMAAAAA&#10;" filled="f" stroked="f">
                  <v:textbox inset="0,0,0,0">
                    <w:txbxContent>
                      <w:p w:rsidR="00EE13F6" w:rsidRDefault="002E5BC4">
                        <w:r>
                          <w:rPr>
                            <w:color w:val="585858"/>
                            <w:sz w:val="9"/>
                          </w:rPr>
                          <w:t>00</w:t>
                        </w:r>
                      </w:p>
                    </w:txbxContent>
                  </v:textbox>
                </v:rect>
                <v:rect id="Rectangle 204943" o:spid="_x0000_s1654" style="position:absolute;left:23061;top:40830;width:952;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HLsgA&#10;AADfAAAADwAAAGRycy9kb3ducmV2LnhtbESPT2vCQBTE7wW/w/KE3upGK8XEbES0RY/1D6i3R/aZ&#10;BLNvQ3Zr0n76bqHgcZiZ3zDpoje1uFPrKssKxqMIBHFudcWFguPh42UGwnlkjbVlUvBNDhbZ4CnF&#10;RNuOd3Tf+0IECLsEFZTeN4mULi/JoBvZhjh4V9sa9EG2hdQtdgFuajmJojdpsOKwUGJDq5Ly2/7L&#10;KNjMmuV5a3+6on6/bE6fp3h9iL1Sz8N+OQfhqfeP8H97qxVMomk8fY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zIcuyAAAAN8AAAAPAAAAAAAAAAAAAAAAAJgCAABk&#10;cnMvZG93bnJldi54bWxQSwUGAAAAAAQABAD1AAAAjQMAAAAA&#10;" filled="f" stroked="f">
                  <v:textbox inset="0,0,0,0">
                    <w:txbxContent>
                      <w:p w:rsidR="00EE13F6" w:rsidRDefault="002E5BC4">
                        <w:r>
                          <w:rPr>
                            <w:color w:val="585858"/>
                            <w:sz w:val="9"/>
                          </w:rPr>
                          <w:t>50</w:t>
                        </w:r>
                      </w:p>
                    </w:txbxContent>
                  </v:textbox>
                </v:rect>
                <v:rect id="Rectangle 204942" o:spid="_x0000_s1655" style="position:absolute;left:22536;top:40830;width:45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itcgA&#10;AADfAAAADwAAAGRycy9kb3ducmV2LnhtbESPQWvCQBSE70L/w/IKvemmQYqJWUWqRY/VCOrtkX1N&#10;QrNvQ3abpP31XaHQ4zAz3zDZejSN6KlztWUFz7MIBHFhdc2lgnP+Nl2AcB5ZY2OZFHyTg/XqYZJh&#10;qu3AR+pPvhQBwi5FBZX3bSqlKyoy6Ga2JQ7eh+0M+iC7UuoOhwA3jYyj6EUarDksVNjSa0XF5+nL&#10;KNgv2s31YH+Gstnd9pf3S7LNE6/U0+O4WYLwNPr/8F/7oBXE0TyZx3D/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CK1yAAAAN8AAAAPAAAAAAAAAAAAAAAAAJgCAABk&#10;cnMvZG93bnJldi54bWxQSwUGAAAAAAQABAD1AAAAjQMAAAAA&#10;" filled="f" stroked="f">
                  <v:textbox inset="0,0,0,0">
                    <w:txbxContent>
                      <w:p w:rsidR="00EE13F6" w:rsidRDefault="002E5BC4">
                        <w:r>
                          <w:rPr>
                            <w:color w:val="585858"/>
                            <w:sz w:val="9"/>
                          </w:rPr>
                          <w:t>2</w:t>
                        </w:r>
                      </w:p>
                    </w:txbxContent>
                  </v:textbox>
                </v:rect>
                <v:rect id="Rectangle 204944" o:spid="_x0000_s1656" style="position:absolute;left:22910;top:40830;width:22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fWscA&#10;AADfAAAADwAAAGRycy9kb3ducmV2LnhtbESPQWvCQBSE70L/w/IK3nRTCWJSV5Fq0aOagu3tkX1N&#10;QrNvQ3Zror/eFQSPw8x8w8yXvanFmVpXWVbwNo5AEOdWV1wo+Mo+RzMQziNrrC2Tggs5WC5eBnNM&#10;te34QOejL0SAsEtRQel9k0rp8pIMurFtiIP3a1uDPsi2kLrFLsBNLSdRNJUGKw4LJTb0UVL+d/w3&#10;CrazZvW9s9euqDc/29P+lKyzxCs1fO1X7yA89f4ZfrR3WsEkipM4hvuf8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H1rHAAAA3wAAAA8AAAAAAAAAAAAAAAAAmAIAAGRy&#10;cy9kb3ducmV2LnhtbFBLBQYAAAAABAAEAPUAAACMAwAAAAA=&#10;" filled="f" stroked="f">
                  <v:textbox inset="0,0,0,0">
                    <w:txbxContent>
                      <w:p w:rsidR="00EE13F6" w:rsidRDefault="002E5BC4">
                        <w:r>
                          <w:rPr>
                            <w:color w:val="585858"/>
                            <w:sz w:val="9"/>
                          </w:rPr>
                          <w:t>,</w:t>
                        </w:r>
                      </w:p>
                    </w:txbxContent>
                  </v:textbox>
                </v:rect>
                <v:rect id="Rectangle 204945" o:spid="_x0000_s1657" style="position:absolute;left:27063;top:40830;width:45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6wcgA&#10;AADfAAAADwAAAGRycy9kb3ducmV2LnhtbESPQWvCQBSE7wX/w/KE3upGsWJSVxGtJMeqBdvbI/ua&#10;BLNvQ3Y1qb/eLQg9DjPzDbNY9aYWV2pdZVnBeBSBIM6trrhQ8HncvcxBOI+ssbZMCn7JwWo5eFpg&#10;om3He7oefCEChF2CCkrvm0RKl5dk0I1sQxy8H9sa9EG2hdQtdgFuajmJopk0WHFYKLGhTUn5+XAx&#10;CtJ5s/7K7K0r6vfv9PRxirfH2Cv1POzXbyA89f4//GhnWsEkmsbTV/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abrByAAAAN8AAAAPAAAAAAAAAAAAAAAAAJgCAABk&#10;cnMvZG93bnJldi54bWxQSwUGAAAAAAQABAD1AAAAjQMAAAAA&#10;" filled="f" stroked="f">
                  <v:textbox inset="0,0,0,0">
                    <w:txbxContent>
                      <w:p w:rsidR="00EE13F6" w:rsidRDefault="002E5BC4">
                        <w:r>
                          <w:rPr>
                            <w:color w:val="585858"/>
                            <w:sz w:val="9"/>
                          </w:rPr>
                          <w:t>3</w:t>
                        </w:r>
                      </w:p>
                    </w:txbxContent>
                  </v:textbox>
                </v:rect>
                <v:rect id="Rectangle 204947" o:spid="_x0000_s1658" style="position:absolute;left:27438;top:40830;width:22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BLcgA&#10;AADfAAAADwAAAGRycy9kb3ducmV2LnhtbESPQWvCQBSE7wX/w/KE3upGkWpSVxGtJMeqBdvbI/ua&#10;BLNvQ3Y1qb/eLQg9DjPzDbNY9aYWV2pdZVnBeBSBIM6trrhQ8HncvcxBOI+ssbZMCn7JwWo5eFpg&#10;om3He7oefCEChF2CCkrvm0RKl5dk0I1sQxy8H9sa9EG2hdQtdgFuajmJoldpsOKwUGJDm5Ly8+Fi&#10;FKTzZv2V2VtX1O/f6enjFG+PsVfqediv30B46v1/+NHOtIJJNI2nM/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94EtyAAAAN8AAAAPAAAAAAAAAAAAAAAAAJgCAABk&#10;cnMvZG93bnJldi54bWxQSwUGAAAAAAQABAD1AAAAjQMAAAAA&#10;" filled="f" stroked="f">
                  <v:textbox inset="0,0,0,0">
                    <w:txbxContent>
                      <w:p w:rsidR="00EE13F6" w:rsidRDefault="002E5BC4">
                        <w:r>
                          <w:rPr>
                            <w:color w:val="585858"/>
                            <w:sz w:val="9"/>
                          </w:rPr>
                          <w:t>,</w:t>
                        </w:r>
                      </w:p>
                    </w:txbxContent>
                  </v:textbox>
                </v:rect>
                <v:rect id="Rectangle 204946" o:spid="_x0000_s1659" style="position:absolute;left:27588;top:40830;width:953;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ktscA&#10;AADfAAAADwAAAGRycy9kb3ducmV2LnhtbESPT4vCMBTE74LfITzBm6aKiO0aRXRFj/4Dd2+P5m1b&#10;bF5Kk7Xd/fRGEDwOM/MbZr5sTSnuVLvCsoLRMAJBnFpdcKbgct4OZiCcR9ZYWiYFf+Rgueh25pho&#10;2/CR7iefiQBhl6CC3PsqkdKlORl0Q1sRB+/H1gZ9kHUmdY1NgJtSjqNoKg0WHBZyrGidU3o7/RoF&#10;u1m1+trb/yYrP79318M13pxjr1S/164+QHhq/Tv8au+1gnE0iSdTeP4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7JLbHAAAA3wAAAA8AAAAAAAAAAAAAAAAAmAIAAGRy&#10;cy9kb3ducmV2LnhtbFBLBQYAAAAABAAEAPUAAACMAwAAAAA=&#10;" filled="f" stroked="f">
                  <v:textbox inset="0,0,0,0">
                    <w:txbxContent>
                      <w:p w:rsidR="00EE13F6" w:rsidRDefault="002E5BC4">
                        <w:r>
                          <w:rPr>
                            <w:color w:val="585858"/>
                            <w:sz w:val="9"/>
                          </w:rPr>
                          <w:t>33</w:t>
                        </w:r>
                      </w:p>
                    </w:txbxContent>
                  </v:textbox>
                </v:rect>
                <v:rect id="Rectangle 204949" o:spid="_x0000_s1660" style="position:absolute;left:32116;top:40830;width:952;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wxMYA&#10;AADfAAAADwAAAGRycy9kb3ducmV2LnhtbESPQYvCMBSE74L/ITxhb5oqIrYaRdwVPboqqLdH82yL&#10;zUtpou36683Cwh6HmfmGmS9bU4on1a6wrGA4iEAQp1YXnCk4HTf9KQjnkTWWlknBDzlYLrqdOSba&#10;NvxNz4PPRICwS1BB7n2VSOnSnAy6ga2Ig3eztUEfZJ1JXWMT4KaUoyiaSIMFh4UcK1rnlN4PD6Ng&#10;O61Wl519NVn5dd2e9+f48xh7pT567WoGwlPr/8N/7Z1WMIrG8TiG3z/hC8jF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SwxMYAAADfAAAADwAAAAAAAAAAAAAAAACYAgAAZHJz&#10;L2Rvd25yZXYueG1sUEsFBgAAAAAEAAQA9QAAAIsDAAAAAA==&#10;" filled="f" stroked="f">
                  <v:textbox inset="0,0,0,0">
                    <w:txbxContent>
                      <w:p w:rsidR="00EE13F6" w:rsidRDefault="002E5BC4">
                        <w:r>
                          <w:rPr>
                            <w:color w:val="585858"/>
                            <w:sz w:val="9"/>
                          </w:rPr>
                          <w:t>00</w:t>
                        </w:r>
                      </w:p>
                    </w:txbxContent>
                  </v:textbox>
                </v:rect>
                <v:rect id="Rectangle 204950" o:spid="_x0000_s1661" style="position:absolute;left:31965;top:40830;width:22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PhMcA&#10;AADfAAAADwAAAGRycy9kb3ducmV2LnhtbESPy2rCQBSG9wXfYThCd81EaYuJjiH0gi6tFqK7Q+aY&#10;BDNnQmZq0j69syi4/PlvfKtsNK24Uu8aywpmUQyCuLS64UrB9+HzaQHCeWSNrWVS8EsOsvXkYYWp&#10;tgN/0XXvKxFG2KWooPa+S6V0ZU0GXWQ74uCdbW/QB9lXUvc4hHHTynkcv0qDDYeHGjt6q6m87H+M&#10;gs2iy49b+zdU7cdpU+yK5P2QeKUep2O+BOFp9Pfwf3urFczj5+QlEASew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Hj4THAAAA3wAAAA8AAAAAAAAAAAAAAAAAmAIAAGRy&#10;cy9kb3ducmV2LnhtbFBLBQYAAAAABAAEAPUAAACMAwAAAAA=&#10;" filled="f" stroked="f">
                  <v:textbox inset="0,0,0,0">
                    <w:txbxContent>
                      <w:p w:rsidR="00EE13F6" w:rsidRDefault="002E5BC4">
                        <w:r>
                          <w:rPr>
                            <w:color w:val="585858"/>
                            <w:sz w:val="9"/>
                          </w:rPr>
                          <w:t>,</w:t>
                        </w:r>
                      </w:p>
                    </w:txbxContent>
                  </v:textbox>
                </v:rect>
                <v:rect id="Rectangle 204948" o:spid="_x0000_s1662" style="position:absolute;left:31591;top:40830;width:45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VX8QA&#10;AADfAAAADwAAAGRycy9kb3ducmV2LnhtbERPy4rCMBTdC/5DuMLsNFVksNUo4gNdOiqou0tzbYvN&#10;TWmi7czXm8WAy8N5zxatKcWLaldYVjAcRCCIU6sLzhScT9v+BITzyBpLy6Tglxws5t3ODBNtG/6h&#10;19FnIoSwS1BB7n2VSOnSnAy6ga2IA3e3tUEfYJ1JXWMTwk0pR1H0LQ0WHBpyrGiVU/o4Po2C3aRa&#10;Xvf2r8nKzW13OVzi9Sn2Sn312uUUhKfWf8T/7r1WMIrG8TgMDn/CF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FV/EAAAA3wAAAA8AAAAAAAAAAAAAAAAAmAIAAGRycy9k&#10;b3ducmV2LnhtbFBLBQYAAAAABAAEAPUAAACJAwAAAAA=&#10;" filled="f" stroked="f">
                  <v:textbox inset="0,0,0,0">
                    <w:txbxContent>
                      <w:p w:rsidR="00EE13F6" w:rsidRDefault="002E5BC4">
                        <w:r>
                          <w:rPr>
                            <w:color w:val="585858"/>
                            <w:sz w:val="9"/>
                          </w:rPr>
                          <w:t>4</w:t>
                        </w:r>
                      </w:p>
                    </w:txbxContent>
                  </v:textbox>
                </v:rect>
                <v:rect id="Rectangle 21500" o:spid="_x0000_s1663" style="position:absolute;left:36568;top:40830;width:45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oOcQA&#10;AADeAAAADwAAAGRycy9kb3ducmV2LnhtbESPy4rCMBSG94LvEI4wO00VFK1GER3RpTdQd4fm2Bab&#10;k9JkbMenNwvB5c9/45stGlOIJ1Uut6yg34tAECdW55wqOJ823TEI55E1FpZJwT85WMzbrRnG2tZ8&#10;oOfRpyKMsItRQeZ9GUvpkowMup4tiYN3t5VBH2SVSl1hHcZNIQdRNJIGcw4PGZa0yih5HP+Mgu24&#10;XF539lWnxe9te9lfJuvTxCv102mWUxCeGv8Nf9o7rWDQH0Y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KDnEAAAA3gAAAA8AAAAAAAAAAAAAAAAAmAIAAGRycy9k&#10;b3ducmV2LnhtbFBLBQYAAAAABAAEAPUAAACJAwAAAAA=&#10;" filled="f" stroked="f">
                  <v:textbox inset="0,0,0,0">
                    <w:txbxContent>
                      <w:p w:rsidR="00EE13F6" w:rsidRDefault="002E5BC4">
                        <w:r>
                          <w:rPr>
                            <w:color w:val="585858"/>
                            <w:sz w:val="9"/>
                          </w:rPr>
                          <w:t>5</w:t>
                        </w:r>
                      </w:p>
                    </w:txbxContent>
                  </v:textbox>
                </v:rect>
                <v:rect id="Rectangle 204952" o:spid="_x0000_s1664" style="position:absolute;left:41171;top:40830;width:952;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0aMcA&#10;AADfAAAADwAAAGRycy9kb3ducmV2LnhtbESPQWvCQBSE7wX/w/IEb3VjsMVEVxFb0WOrgnp7ZJ9J&#10;MPs2ZFeT+uvdQqHHYWa+YWaLzlTiTo0rLSsYDSMQxJnVJecKDvv16wSE88gaK8uk4IccLOa9lxmm&#10;2rb8Tfedz0WAsEtRQeF9nUrpsoIMuqGtiYN3sY1BH2STS91gG+CmknEUvUuDJYeFAmtaFZRddzej&#10;YDOpl6etfbR59XneHL+Oycc+8UoN+t1yCsJT5//Df+2tVhBH4+Qtht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ZtGjHAAAA3wAAAA8AAAAAAAAAAAAAAAAAmAIAAGRy&#10;cy9kb3ducmV2LnhtbFBLBQYAAAAABAAEAPUAAACMAwAAAAA=&#10;" filled="f" stroked="f">
                  <v:textbox inset="0,0,0,0">
                    <w:txbxContent>
                      <w:p w:rsidR="00EE13F6" w:rsidRDefault="002E5BC4">
                        <w:r>
                          <w:rPr>
                            <w:color w:val="585858"/>
                            <w:sz w:val="9"/>
                          </w:rPr>
                          <w:t>67</w:t>
                        </w:r>
                      </w:p>
                    </w:txbxContent>
                  </v:textbox>
                </v:rect>
                <v:rect id="Rectangle 204953" o:spid="_x0000_s1665" style="position:absolute;left:41020;top:40830;width:22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R88kA&#10;AADfAAAADwAAAGRycy9kb3ducmV2LnhtbESPW2vCQBSE3wv+h+UU+lY3ta2Y6CrSC8mjN1DfDtlj&#10;EsyeDdmtSfvrXaHg4zAz3zCzRW9qcaHWVZYVvAwjEMS51RUXCnbb7+cJCOeRNdaWScEvOVjMBw8z&#10;TLTteE2XjS9EgLBLUEHpfZNI6fKSDLqhbYiDd7KtQR9kW0jdYhfgppajKBpLgxWHhRIb+igpP29+&#10;jIJ00iwPmf3rivrrmO5X+/hzG3ulnh775RSEp97fw//tTCsYRW/x+yvc/o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UR88kAAADfAAAADwAAAAAAAAAAAAAAAACYAgAA&#10;ZHJzL2Rvd25yZXYueG1sUEsFBgAAAAAEAAQA9QAAAI4DAAAAAA==&#10;" filled="f" stroked="f">
                  <v:textbox inset="0,0,0,0">
                    <w:txbxContent>
                      <w:p w:rsidR="00EE13F6" w:rsidRDefault="002E5BC4">
                        <w:r>
                          <w:rPr>
                            <w:color w:val="585858"/>
                            <w:sz w:val="9"/>
                          </w:rPr>
                          <w:t>,</w:t>
                        </w:r>
                      </w:p>
                    </w:txbxContent>
                  </v:textbox>
                </v:rect>
                <v:rect id="Rectangle 204951" o:spid="_x0000_s1666" style="position:absolute;left:40646;top:40830;width:454;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qH8gA&#10;AADfAAAADwAAAGRycy9kb3ducmV2LnhtbESPQWvCQBSE70L/w/IK3nSjWDHRTZC2oseqBfX2yD6T&#10;0OzbkF1N2l/fLQg9DjPzDbPKelOLO7WusqxgMo5AEOdWV1wo+DxuRgsQziNrrC2Tgm9ykKVPgxUm&#10;2na8p/vBFyJA2CWooPS+SaR0eUkG3dg2xMG72tagD7ItpG6xC3BTy2kUzaXBisNCiQ29lpR/HW5G&#10;wXbRrM87+9MV9ftle/o4xW/H2Cs1fO7XSxCeev8ffrR3WsE0msUvE/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iyofyAAAAN8AAAAPAAAAAAAAAAAAAAAAAJgCAABk&#10;cnMvZG93bnJldi54bWxQSwUGAAAAAAQABAD1AAAAjQMAAAAA&#10;" filled="f" stroked="f">
                  <v:textbox inset="0,0,0,0">
                    <w:txbxContent>
                      <w:p w:rsidR="00EE13F6" w:rsidRDefault="002E5BC4">
                        <w:r>
                          <w:rPr>
                            <w:color w:val="585858"/>
                            <w:sz w:val="9"/>
                          </w:rPr>
                          <w:t>6</w:t>
                        </w:r>
                      </w:p>
                    </w:txbxContent>
                  </v:textbox>
                </v:rect>
                <v:rect id="Rectangle 21502" o:spid="_x0000_s1667" style="position:absolute;left:45473;top:40830;width:953;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T1cYA&#10;AADeAAAADwAAAGRycy9kb3ducmV2LnhtbESPT4vCMBTE78J+h/AWvGlqQdFqFNlV9OifBdfbo3nb&#10;lm1eShNt9dMbQfA4zMxvmNmiNaW4Uu0KywoG/QgEcWp1wZmCn+O6NwbhPLLG0jIpuJGDxfyjM8NE&#10;24b3dD34TAQIuwQV5N5XiZQuzcmg69uKOHh/tjbog6wzqWtsAtyUMo6ikTRYcFjIsaKvnNL/w8Uo&#10;2Iyr5e/W3pusXJ03p91p8n2ceKW6n+1yCsJT69/hV3urFcSDYRT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YT1cYAAADeAAAADwAAAAAAAAAAAAAAAACYAgAAZHJz&#10;L2Rvd25yZXYueG1sUEsFBgAAAAAEAAQA9QAAAIsDAAAAAA==&#10;" filled="f" stroked="f">
                  <v:textbox inset="0,0,0,0">
                    <w:txbxContent>
                      <w:p w:rsidR="00EE13F6" w:rsidRDefault="002E5BC4">
                        <w:r>
                          <w:rPr>
                            <w:color w:val="585858"/>
                            <w:sz w:val="9"/>
                          </w:rPr>
                          <w:t>10</w:t>
                        </w:r>
                      </w:p>
                    </w:txbxContent>
                  </v:textbox>
                </v:rect>
                <v:rect id="Rectangle 205135" o:spid="_x0000_s1668" style="position:absolute;left:48910;top:35895;width:315;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rNscA&#10;AADfAAAADwAAAGRycy9kb3ducmV2LnhtbESPT4vCMBTE7wt+h/AEb2uqi6LVKKIrevTPguvt0bxt&#10;yzYvpYm2+umNIHgcZuY3zHTemEJcqXK5ZQW9bgSCOLE651TBz3H9OQLhPLLGwjIpuJGD+az1McVY&#10;25r3dD34VAQIuxgVZN6XsZQuycig69qSOHh/tjLog6xSqSusA9wUsh9FQ2kw57CQYUnLjJL/w8Uo&#10;2IzKxe/W3uu0+D5vTrvTeHUce6U67WYxAeGp8e/wq73VCvrRoPc1gOef8AX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azbHAAAA3wAAAA8AAAAAAAAAAAAAAAAAmAIAAGRy&#10;cy9kb3ducmV2LnhtbFBLBQYAAAAABAAEAPUAAACMAwAAAAA=&#10;" filled="f" stroked="f">
                  <v:textbox inset="0,0,0,0">
                    <w:txbxContent>
                      <w:p w:rsidR="00EE13F6" w:rsidRDefault="002E5BC4">
                        <w:r>
                          <w:rPr>
                            <w:b/>
                            <w:color w:val="585858"/>
                            <w:sz w:val="14"/>
                          </w:rPr>
                          <w:tab/>
                        </w:r>
                      </w:p>
                    </w:txbxContent>
                  </v:textbox>
                </v:rect>
                <v:rect id="Rectangle 205134" o:spid="_x0000_s1669" style="position:absolute;left:11005;top:35895;width:50365;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rcgA&#10;AADfAAAADwAAAGRycy9kb3ducmV2LnhtbESPQWvCQBSE74X+h+UJvdWNVouJriJa0WOrQvT2yD6T&#10;0OzbkN2a6K/vFoQeh5n5hpktOlOJKzWutKxg0I9AEGdWl5wrOB42rxMQziNrrCyTghs5WMyfn2aY&#10;aNvyF133PhcBwi5BBYX3dSKlywoy6Pq2Jg7exTYGfZBNLnWDbYCbSg6j6F0aLDksFFjTqqDse/9j&#10;FGwn9fK0s/c2rz7O2/QzjdeH2Cv10uuWUxCeOv8ffrR3WsEwGg/eRvD3J3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s6tyAAAAN8AAAAPAAAAAAAAAAAAAAAAAJgCAABk&#10;cnMvZG93bnJldi54bWxQSwUGAAAAAAQABAD1AAAAjQMAAAAA&#10;" filled="f" stroked="f">
                  <v:textbox inset="0,0,0,0">
                    <w:txbxContent>
                      <w:p w:rsidR="00EE13F6" w:rsidRDefault="002E5BC4">
                        <w:r>
                          <w:rPr>
                            <w:b/>
                            <w:color w:val="585858"/>
                            <w:sz w:val="14"/>
                          </w:rPr>
                          <w:t>Long</w:t>
                        </w:r>
                        <w:r>
                          <w:rPr>
                            <w:b/>
                            <w:color w:val="585858"/>
                            <w:sz w:val="14"/>
                          </w:rPr>
                          <w:tab/>
                          <w:t>term</w:t>
                        </w:r>
                        <w:r>
                          <w:rPr>
                            <w:b/>
                            <w:color w:val="585858"/>
                            <w:sz w:val="14"/>
                          </w:rPr>
                          <w:tab/>
                          <w:t>Equity</w:t>
                        </w:r>
                        <w:r>
                          <w:rPr>
                            <w:b/>
                            <w:color w:val="585858"/>
                            <w:sz w:val="14"/>
                          </w:rPr>
                          <w:tab/>
                          <w:t>price</w:t>
                        </w:r>
                        <w:r>
                          <w:rPr>
                            <w:b/>
                            <w:color w:val="585858"/>
                            <w:sz w:val="14"/>
                          </w:rPr>
                          <w:tab/>
                          <w:t>variation</w:t>
                        </w:r>
                        <w:r>
                          <w:rPr>
                            <w:b/>
                            <w:color w:val="585858"/>
                            <w:sz w:val="14"/>
                          </w:rPr>
                          <w:tab/>
                          <w:t>following</w:t>
                        </w:r>
                        <w:r>
                          <w:rPr>
                            <w:b/>
                            <w:color w:val="585858"/>
                            <w:sz w:val="14"/>
                          </w:rPr>
                          <w:tab/>
                          <w:t>the</w:t>
                        </w:r>
                        <w:r>
                          <w:rPr>
                            <w:b/>
                            <w:color w:val="585858"/>
                            <w:sz w:val="14"/>
                          </w:rPr>
                          <w:tab/>
                          <w:t>introduction</w:t>
                        </w:r>
                        <w:r>
                          <w:rPr>
                            <w:b/>
                            <w:color w:val="585858"/>
                            <w:sz w:val="14"/>
                          </w:rPr>
                          <w:tab/>
                          <w:t>of</w:t>
                        </w:r>
                        <w:r>
                          <w:rPr>
                            <w:b/>
                            <w:color w:val="585858"/>
                            <w:sz w:val="14"/>
                          </w:rPr>
                          <w:tab/>
                          <w:t>the</w:t>
                        </w:r>
                        <w:r>
                          <w:rPr>
                            <w:b/>
                            <w:color w:val="585858"/>
                            <w:sz w:val="14"/>
                          </w:rPr>
                          <w:tab/>
                          <w:t>FTT</w:t>
                        </w:r>
                        <w:r>
                          <w:rPr>
                            <w:b/>
                            <w:color w:val="585858"/>
                            <w:sz w:val="14"/>
                          </w:rPr>
                          <w:tab/>
                          <w:t>for</w:t>
                        </w:r>
                        <w:r>
                          <w:rPr>
                            <w:b/>
                            <w:color w:val="585858"/>
                            <w:sz w:val="14"/>
                          </w:rPr>
                          <w:tab/>
                          <w:t>a</w:t>
                        </w:r>
                        <w:r>
                          <w:rPr>
                            <w:b/>
                            <w:color w:val="585858"/>
                            <w:sz w:val="14"/>
                          </w:rPr>
                          <w:tab/>
                          <w:t>firm</w:t>
                        </w:r>
                        <w:r>
                          <w:rPr>
                            <w:b/>
                            <w:color w:val="585858"/>
                            <w:sz w:val="14"/>
                          </w:rPr>
                          <w:tab/>
                          <w:t>funded</w:t>
                        </w:r>
                      </w:p>
                    </w:txbxContent>
                  </v:textbox>
                </v:rect>
                <v:rect id="Rectangle 21504" o:spid="_x0000_s1670" style="position:absolute;left:11154;top:36941;width:50430;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uOsYA&#10;AADeAAAADwAAAGRycy9kb3ducmV2LnhtbESPT4vCMBTE74LfITzBm6aKLlqNIu4uelz/gHp7NM+2&#10;2LyUJmurn94sLHgcZuY3zHzZmELcqXK5ZQWDfgSCOLE651TB8fDdm4BwHlljYZkUPMjBctFuzTHW&#10;tuYd3fc+FQHCLkYFmfdlLKVLMjLo+rYkDt7VVgZ9kFUqdYV1gJtCDqPoQxrMOSxkWNI6o+S2/zUK&#10;NpNydd7aZ50WX5fN6ec0/TxMvVLdTrOagfDU+Hf4v73VCoaDcTS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MuOsYAAADeAAAADwAAAAAAAAAAAAAAAACYAgAAZHJz&#10;L2Rvd25yZXYueG1sUEsFBgAAAAAEAAQA9QAAAIsDAAAAAA==&#10;" filled="f" stroked="f">
                  <v:textbox inset="0,0,0,0">
                    <w:txbxContent>
                      <w:p w:rsidR="00EE13F6" w:rsidRDefault="002E5BC4">
                        <w:r>
                          <w:rPr>
                            <w:b/>
                            <w:color w:val="585858"/>
                            <w:sz w:val="14"/>
                          </w:rPr>
                          <w:t>through</w:t>
                        </w:r>
                        <w:r>
                          <w:rPr>
                            <w:b/>
                            <w:color w:val="585858"/>
                            <w:sz w:val="14"/>
                          </w:rPr>
                          <w:tab/>
                          <w:t>fixed</w:t>
                        </w:r>
                        <w:r>
                          <w:rPr>
                            <w:b/>
                            <w:color w:val="585858"/>
                            <w:sz w:val="14"/>
                          </w:rPr>
                          <w:tab/>
                          <w:t>term</w:t>
                        </w:r>
                        <w:r>
                          <w:rPr>
                            <w:b/>
                            <w:color w:val="585858"/>
                            <w:sz w:val="14"/>
                          </w:rPr>
                          <w:tab/>
                          <w:t>debt</w:t>
                        </w:r>
                        <w:r>
                          <w:rPr>
                            <w:b/>
                            <w:color w:val="585858"/>
                            <w:sz w:val="14"/>
                          </w:rPr>
                          <w:tab/>
                          <w:t>maturity</w:t>
                        </w:r>
                        <w:r>
                          <w:rPr>
                            <w:b/>
                            <w:color w:val="585858"/>
                            <w:sz w:val="14"/>
                          </w:rPr>
                          <w:tab/>
                          <w:t>and</w:t>
                        </w:r>
                        <w:r>
                          <w:rPr>
                            <w:b/>
                            <w:color w:val="585858"/>
                            <w:sz w:val="14"/>
                          </w:rPr>
                          <w:tab/>
                          <w:t>equity</w:t>
                        </w:r>
                        <w:r>
                          <w:rPr>
                            <w:b/>
                            <w:color w:val="585858"/>
                            <w:sz w:val="14"/>
                          </w:rPr>
                          <w:tab/>
                          <w:t>(T=5</w:t>
                        </w:r>
                        <w:r>
                          <w:rPr>
                            <w:b/>
                            <w:color w:val="585858"/>
                            <w:sz w:val="14"/>
                          </w:rPr>
                          <w:tab/>
                          <w:t>years;ROA=3%;r=1%;sigma=10%;</w:t>
                        </w:r>
                        <w:r>
                          <w:rPr>
                            <w:b/>
                            <w:color w:val="585858"/>
                            <w:sz w:val="14"/>
                          </w:rPr>
                          <w:tab/>
                          <w:t>Tax</w:t>
                        </w:r>
                        <w:r>
                          <w:rPr>
                            <w:b/>
                            <w:color w:val="585858"/>
                            <w:sz w:val="14"/>
                          </w:rPr>
                          <w:tab/>
                        </w:r>
                      </w:p>
                    </w:txbxContent>
                  </v:textbox>
                </v:rect>
                <v:rect id="Rectangle 21505" o:spid="_x0000_s1671" style="position:absolute;left:23289;top:38047;width:17753;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occA&#10;AADeAAAADwAAAGRycy9kb3ducmV2LnhtbESPQWvCQBSE7wX/w/IKvTUbBYtGVxHbosdqhLS3R/aZ&#10;hO6+DdmtSfvru4LgcZiZb5jlerBGXKjzjWMF4yQFQVw63XCl4JS/P89A+ICs0TgmBb/kYb0aPSwx&#10;067nA12OoRIRwj5DBXUIbSalL2uy6BPXEkfv7DqLIcqukrrDPsKtkZM0fZEWG44LNba0ran8Pv5Y&#10;BbtZu/ncu7++Mm9fu+KjmL/m86DU0+OwWYAINIR7+NbeawWT8TSd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fi6HHAAAA3gAAAA8AAAAAAAAAAAAAAAAAmAIAAGRy&#10;cy9kb3ducmV2LnhtbFBLBQYAAAAABAAEAPUAAACMAwAAAAA=&#10;" filled="f" stroked="f">
                  <v:textbox inset="0,0,0,0">
                    <w:txbxContent>
                      <w:p w:rsidR="00EE13F6" w:rsidRDefault="002E5BC4">
                        <w:r>
                          <w:rPr>
                            <w:b/>
                            <w:color w:val="585858"/>
                            <w:sz w:val="14"/>
                          </w:rPr>
                          <w:t>rate=35%;</w:t>
                        </w:r>
                        <w:r>
                          <w:rPr>
                            <w:b/>
                            <w:color w:val="585858"/>
                            <w:sz w:val="14"/>
                          </w:rPr>
                          <w:tab/>
                          <w:t>FTT</w:t>
                        </w:r>
                        <w:r>
                          <w:rPr>
                            <w:b/>
                            <w:color w:val="585858"/>
                            <w:sz w:val="14"/>
                          </w:rPr>
                          <w:tab/>
                          <w:t>roundtrip=0,2%</w:t>
                        </w:r>
                      </w:p>
                    </w:txbxContent>
                  </v:textbox>
                </v:rect>
                <v:shape id="Shape 21506" o:spid="_x0000_s1672" style="position:absolute;left:10973;top:63526;width:1424;height:0;visibility:visible;mso-wrap-style:square;v-text-anchor:top" coordsize="142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A68YA&#10;AADeAAAADwAAAGRycy9kb3ducmV2LnhtbESPT4vCMBTE78J+h/AWvGmq4h+qUWRBdg8iWBU8Pppn&#10;W21eShK1++03C4LHYWZ+wyxWranFg5yvLCsY9BMQxLnVFRcKjodNbwbCB2SNtWVS8EseVsuPzgJT&#10;bZ+8p0cWChEh7FNUUIbQpFL6vCSDvm8b4uhdrDMYonSF1A6fEW5qOUySiTRYcVwosaGvkvJbdjcK&#10;sqn5rrdb3t034/V5dN250/HslOp+tus5iEBteIdf7R+tYDgYJxP4v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PA68YAAADeAAAADwAAAAAAAAAAAAAAAACYAgAAZHJz&#10;L2Rvd25yZXYueG1sUEsFBgAAAAAEAAQA9QAAAIsDAAAAAA==&#10;" path="m,l142324,1e" filled="f" strokecolor="#5e5e5e" strokeweight=".34164mm">
                  <v:stroke endcap="round"/>
                  <v:path arrowok="t" textboxrect="0,0,142324,1"/>
                </v:shape>
                <v:rect id="Rectangle 21507" o:spid="_x0000_s1673" style="position:absolute;left:12555;top:63188;width:382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wTcYA&#10;AADeAAAADwAAAGRycy9kb3ducmV2LnhtbESPT4vCMBTE74LfITzBm6YKulqNIu4uelz/gHp7NM+2&#10;2LyUJmurn94sLHgcZuY3zHzZmELcqXK5ZQWDfgSCOLE651TB8fDdm4BwHlljYZkUPMjBctFuzTHW&#10;tuYd3fc+FQHCLkYFmfdlLKVLMjLo+rYkDt7VVgZ9kFUqdYV1gJtCDqNoLA3mHBYyLGmdUXLb/xoF&#10;m0m5Om/ts06Lr8vm9HOafh6mXqlup1nNQHhq/Dv8395qBcPBKPq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GwTcYAAADeAAAADwAAAAAAAAAAAAAAAACYAgAAZHJz&#10;L2Rvd25yZXYueG1sUEsFBgAAAAAEAAQA9QAAAIsDAAAAAA==&#10;" filled="f" stroked="f">
                  <v:textbox inset="0,0,0,0">
                    <w:txbxContent>
                      <w:p w:rsidR="00EE13F6" w:rsidRDefault="002E5BC4">
                        <w:r>
                          <w:rPr>
                            <w:color w:val="585858"/>
                            <w:sz w:val="9"/>
                          </w:rPr>
                          <w:t>spread</w:t>
                        </w:r>
                        <w:r>
                          <w:rPr>
                            <w:color w:val="585858"/>
                            <w:sz w:val="9"/>
                          </w:rPr>
                          <w:tab/>
                          <w:t>1%</w:t>
                        </w:r>
                      </w:p>
                    </w:txbxContent>
                  </v:textbox>
                </v:rect>
                <v:shape id="Shape 21508" o:spid="_x0000_s1674" style="position:absolute;left:16442;top:63526;width:1423;height:0;visibility:visible;mso-wrap-style:square;v-text-anchor:top" coordsize="142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3sIA&#10;AADeAAAADwAAAGRycy9kb3ducmV2LnhtbERPy4rCMBTdC/5DuII7TSso0jHKICounIUPZraX5E5b&#10;prkpSdTq108WgsvDeS9WnW3EjXyoHSvIxxkIYu1MzaWCy3k7moMIEdlg45gUPCjAatnvLbAw7s5H&#10;up1iKVIIhwIVVDG2hZRBV2QxjF1LnLhf5y3GBH0pjcd7CreNnGTZTFqsOTVU2NK6Iv13uloF01Ie&#10;cNN8efy+/uhLfnzq3eGs1HDQfX6AiNTFt/jl3hsFk3yapb3pTr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6zewgAAAN4AAAAPAAAAAAAAAAAAAAAAAJgCAABkcnMvZG93&#10;bnJldi54bWxQSwUGAAAAAAQABAD1AAAAhwMAAAAA&#10;" path="m,l142324,1e" filled="f" strokecolor="#b3b3b3" strokeweight=".34164mm">
                  <v:stroke endcap="round"/>
                  <v:path arrowok="t" textboxrect="0,0,142324,1"/>
                </v:shape>
                <v:rect id="Rectangle 21509" o:spid="_x0000_s1675" style="position:absolute;left:18007;top:63188;width:4726;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BpMcA&#10;AADeAAAADwAAAGRycy9kb3ducmV2LnhtbESPQWvCQBSE7wX/w/KE3uomgRYTXUPQFj22Kqi3R/aZ&#10;BLNvQ3Zr0v76bqHQ4zAz3zDLfDStuFPvGssK4lkEgri0uuFKwfHw9jQH4TyyxtYyKfgiB/lq8rDE&#10;TNuBP+i+95UIEHYZKqi97zIpXVmTQTezHXHwrrY36IPsK6l7HALctDKJohdpsOGwUGNH65rK2/7T&#10;KNjOu+K8s99D1b5etqf3U7o5pF6px+lYLEB4Gv1/+K+90wqS+Dl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SgaTHAAAA3gAAAA8AAAAAAAAAAAAAAAAAmAIAAGRy&#10;cy9kb3ducmV2LnhtbFBLBQYAAAAABAAEAPUAAACMAwAAAAA=&#10;" filled="f" stroked="f">
                  <v:textbox inset="0,0,0,0">
                    <w:txbxContent>
                      <w:p w:rsidR="00EE13F6" w:rsidRDefault="002E5BC4">
                        <w:r>
                          <w:rPr>
                            <w:color w:val="585858"/>
                            <w:sz w:val="9"/>
                          </w:rPr>
                          <w:t>spread</w:t>
                        </w:r>
                        <w:r>
                          <w:rPr>
                            <w:color w:val="585858"/>
                            <w:sz w:val="9"/>
                          </w:rPr>
                          <w:tab/>
                        </w:r>
                        <w:r>
                          <w:rPr>
                            <w:color w:val="585858"/>
                            <w:sz w:val="9"/>
                          </w:rPr>
                          <w:tab/>
                          <w:t>1.5%</w:t>
                        </w:r>
                      </w:p>
                    </w:txbxContent>
                  </v:textbox>
                </v:rect>
                <v:shape id="Shape 21510" o:spid="_x0000_s1676" style="position:absolute;left:22509;top:63526;width:1498;height:0;visibility:visible;mso-wrap-style:square;v-text-anchor:top" coordsize="149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NAMMA&#10;AADeAAAADwAAAGRycy9kb3ducmV2LnhtbESPTWvCQBCG74X+h2UKvZS6WaFSUlcpUqnHaip4HLJj&#10;EszOhOwa4793D4LHl/eLZ74cfasG6kMjbMFMMlDEpbiGKwv/xfr9E1SIyA5bYbJwpQDLxfPTHHMn&#10;F97SsIuVSiMccrRQx9jlWoeyJo9hIh1x8o7Se4xJ9pV2PV7SuG/1NMtm2mPD6aHGjlY1lafd2Vso&#10;VkLtQX5kML8G93/7jXsrDta+vozfX6AijfERvrc3zsLUfJgEkHASCu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yNAMMAAADeAAAADwAAAAAAAAAAAAAAAACYAgAAZHJzL2Rv&#10;d25yZXYueG1sUEsFBgAAAAAEAAQA9QAAAIgDAAAAAA==&#10;" path="m,l149815,1e" filled="f" strokecolor="#898989" strokeweight=".34164mm">
                  <v:stroke endcap="round"/>
                  <v:path arrowok="t" textboxrect="0,0,149815,1"/>
                </v:shape>
                <v:rect id="Rectangle 21511" o:spid="_x0000_s1677" style="position:absolute;left:24123;top:63188;width:382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bf8YA&#10;AADeAAAADwAAAGRycy9kb3ducmV2LnhtbESPT4vCMBTE74LfITxhb5pWcNFqFPEPenRVUG+P5tkW&#10;m5fSRNvdT28WFvY4zMxvmNmiNaV4Ue0KywriQQSCOLW64EzB+bTtj0E4j6yxtEwKvsnBYt7tzDDR&#10;tuEveh19JgKEXYIKcu+rREqX5mTQDWxFHLy7rQ36IOtM6hqbADelHEbRpzRYcFjIsaJVTunj+DQK&#10;duNqed3bnyYrN7fd5XCZrE8Tr9RHr11OQXhq/X/4r73XCobx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0bf8YAAADeAAAADwAAAAAAAAAAAAAAAACYAgAAZHJz&#10;L2Rvd25yZXYueG1sUEsFBgAAAAAEAAQA9QAAAIsDAAAAAA==&#10;" filled="f" stroked="f">
                  <v:textbox inset="0,0,0,0">
                    <w:txbxContent>
                      <w:p w:rsidR="00EE13F6" w:rsidRDefault="002E5BC4">
                        <w:r>
                          <w:rPr>
                            <w:color w:val="585858"/>
                            <w:sz w:val="9"/>
                          </w:rPr>
                          <w:t>spread</w:t>
                        </w:r>
                        <w:r>
                          <w:rPr>
                            <w:color w:val="585858"/>
                            <w:sz w:val="9"/>
                          </w:rPr>
                          <w:tab/>
                          <w:t>2%</w:t>
                        </w:r>
                      </w:p>
                    </w:txbxContent>
                  </v:textbox>
                </v:rect>
                <v:shape id="Shape 21512" o:spid="_x0000_s1678" style="position:absolute;left:27977;top:63526;width:1424;height:0;visibility:visible;mso-wrap-style:square;v-text-anchor:top" coordsize="142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ANcYA&#10;AADeAAAADwAAAGRycy9kb3ducmV2LnhtbESPQWvCQBSE74L/YXmCF6mbBColdZUqWKQnTb309sg+&#10;s7HZtzG7jfHfu4VCj8PMfMMs14NtRE+drx0rSOcJCOLS6ZorBafP3dMLCB+QNTaOScGdPKxX49ES&#10;c+1ufKS+CJWIEPY5KjAhtLmUvjRk0c9dSxy9s+sshii7SuoObxFuG5klyUJarDkuGGxpa6j8Ln6s&#10;gtnXdmN7y+Zyvb+fivRw/eAelZpOhrdXEIGG8B/+a++1gix9TjP4vR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zANcYAAADeAAAADwAAAAAAAAAAAAAAAACYAgAAZHJz&#10;L2Rvd25yZXYueG1sUEsFBgAAAAAEAAQA9QAAAIsDAAAAAA==&#10;" path="m,l142324,1e" filled="f" strokecolor="#212121" strokeweight=".34164mm">
                  <v:stroke endcap="round"/>
                  <v:path arrowok="t" textboxrect="0,0,142324,1"/>
                </v:shape>
                <v:rect id="Rectangle 21513" o:spid="_x0000_s1679" style="position:absolute;left:29576;top:63188;width:4526;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gk8cA&#10;AADeAAAADwAAAGRycy9kb3ducmV2LnhtbESPT2vCQBTE70K/w/IK3nQTRYmpq0hV9Oifgu3tkX1N&#10;QrNvQ3Y1sZ++Kwg9DjPzG2a+7EwlbtS40rKCeBiBIM6sLjlX8HHeDhIQziNrrCyTgjs5WC5eenNM&#10;tW35SLeTz0WAsEtRQeF9nUrpsoIMuqGtiYP3bRuDPsgml7rBNsBNJUdRNJUGSw4LBdb0XlD2c7oa&#10;BbukXn3u7W+bV5uv3eVwma3PM69U/7VbvYHw1Pn/8LO91wpG8SQ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IJPHAAAA3gAAAA8AAAAAAAAAAAAAAAAAmAIAAGRy&#10;cy9kb3ducmV2LnhtbFBLBQYAAAAABAAEAPUAAACMAwAAAAA=&#10;" filled="f" stroked="f">
                  <v:textbox inset="0,0,0,0">
                    <w:txbxContent>
                      <w:p w:rsidR="00EE13F6" w:rsidRDefault="002E5BC4">
                        <w:r>
                          <w:rPr>
                            <w:color w:val="585858"/>
                            <w:sz w:val="9"/>
                          </w:rPr>
                          <w:t>spread</w:t>
                        </w:r>
                        <w:r>
                          <w:rPr>
                            <w:color w:val="585858"/>
                            <w:sz w:val="9"/>
                          </w:rPr>
                          <w:tab/>
                          <w:t>2.5%</w:t>
                        </w:r>
                      </w:p>
                    </w:txbxContent>
                  </v:textbox>
                </v:rect>
                <v:shape id="Shape 21514" o:spid="_x0000_s1680" style="position:absolute;left:33970;top:63526;width:1423;height:0;visibility:visible;mso-wrap-style:square;v-text-anchor:top" coordsize="142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brMcA&#10;AADeAAAADwAAAGRycy9kb3ducmV2LnhtbESPQWvCQBSE7wX/w/KE3uom2opEVxGh6EFojXrw9sg+&#10;k2j2bciuSfrvu4WCx2FmvmEWq95UoqXGlZYVxKMIBHFmdcm5gtPx820GwnlkjZVlUvBDDlbLwcsC&#10;E207PlCb+lwECLsEFRTe14mULivIoBvZmjh4V9sY9EE2udQNdgFuKjmOoqk0WHJYKLCmTUHZPX0Y&#10;BeVke7m7XXU411/bW3r57ib7Nlfqddiv5yA89f4Z/m/vtIJx/BG/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OG6zHAAAA3gAAAA8AAAAAAAAAAAAAAAAAmAIAAGRy&#10;cy9kb3ducmV2LnhtbFBLBQYAAAAABAAEAPUAAACMAwAAAAA=&#10;" path="m,l142324,1e" filled="f" strokecolor="#dadada" strokeweight=".34164mm">
                  <v:stroke endcap="round"/>
                  <v:path arrowok="t" textboxrect="0,0,142324,1"/>
                </v:shape>
                <v:rect id="Rectangle 21515" o:spid="_x0000_s1681" style="position:absolute;left:35539;top:63188;width:382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dfMcA&#10;AADeAAAADwAAAGRycy9kb3ducmV2LnhtbESPQWvCQBSE74L/YXlCb7qJYDGpq4ht0WMbBdvbI/ua&#10;BHffhuzWpP313YLgcZiZb5jVZrBGXKnzjWMF6SwBQVw63XCl4HR8nS5B+ICs0TgmBT/kYbMej1aY&#10;a9fzO12LUIkIYZ+jgjqENpfSlzVZ9DPXEkfvy3UWQ5RdJXWHfYRbI+dJ8igtNhwXamxpV1N5Kb6t&#10;gv2y3X4c3G9fmZfP/fntnD0fs6DUw2TYPoEINIR7+NY+aAXzdJEu4P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HXzHAAAA3gAAAA8AAAAAAAAAAAAAAAAAmAIAAGRy&#10;cy9kb3ducmV2LnhtbFBLBQYAAAAABAAEAPUAAACMAwAAAAA=&#10;" filled="f" stroked="f">
                  <v:textbox inset="0,0,0,0">
                    <w:txbxContent>
                      <w:p w:rsidR="00EE13F6" w:rsidRDefault="002E5BC4">
                        <w:r>
                          <w:rPr>
                            <w:color w:val="585858"/>
                            <w:sz w:val="9"/>
                          </w:rPr>
                          <w:t>spread</w:t>
                        </w:r>
                        <w:r>
                          <w:rPr>
                            <w:color w:val="585858"/>
                            <w:sz w:val="9"/>
                          </w:rPr>
                          <w:tab/>
                          <w:t>3%</w:t>
                        </w:r>
                      </w:p>
                    </w:txbxContent>
                  </v:textbox>
                </v:rect>
                <v:shape id="Shape 21516" o:spid="_x0000_s1682" style="position:absolute;top:35823;width:49064;height:28718;visibility:visible;mso-wrap-style:square;v-text-anchor:top" coordsize="4906440,287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R3cgA&#10;AADeAAAADwAAAGRycy9kb3ducmV2LnhtbESPQWvCQBSE7wX/w/IEb3WTgFJSVxGDIrQWtC31+Mi+&#10;JqHZt3F3q6m/vlsQehxm5htmtuhNK87kfGNZQTpOQBCXVjdcKXh7Xd8/gPABWWNrmRT8kIfFfHA3&#10;w1zbC+/pfAiViBD2OSqoQ+hyKX1Zk0E/th1x9D6tMxiidJXUDi8RblqZJclUGmw4LtTY0aqm8uvw&#10;bRS8b7Li6J4NfxTLl2q3OhZPp/Kq1GjYLx9BBOrDf/jW3moFWTpJp/B3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FxHdyAAAAN4AAAAPAAAAAAAAAAAAAAAAAJgCAABk&#10;cnMvZG93bnJldi54bWxQSwUGAAAAAAQABAD1AAAAjQMAAAAA&#10;" path="m,l4906440,r,2871765l,2871765,,xe" filled="f" strokecolor="#d9d9d9" strokeweight=".17081mm">
                  <v:path arrowok="t" textboxrect="0,0,4906440,2871765"/>
                </v:shape>
                <v:rect id="Rectangle 21517" o:spid="_x0000_s1683" style="position:absolute;left:24585;top:61980;width:6926;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mkMcA&#10;AADeAAAADwAAAGRycy9kb3ducmV2LnhtbESPT2vCQBTE70K/w/IK3nQTQY2pq0hV9Oifgu3tkX1N&#10;QrNvQ3Y1sZ++Kwg9DjPzG2a+7EwlbtS40rKCeBiBIM6sLjlX8HHeDhIQziNrrCyTgjs5WC5eenNM&#10;tW35SLeTz0WAsEtRQeF9nUrpsoIMuqGtiYP3bRuDPsgml7rBNsBNJUdRNJEGSw4LBdb0XlD2c7oa&#10;BbukXn3u7W+bV5uv3eVwma3PM69U/7VbvYHw1Pn/8LO91wpG8Tiewu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JpDHAAAA3gAAAA8AAAAAAAAAAAAAAAAAmAIAAGRy&#10;cy9kb3ducmV2LnhtbFBLBQYAAAAABAAEAPUAAACMAwAAAAA=&#10;" filled="f" stroked="f">
                  <v:textbox inset="0,0,0,0">
                    <w:txbxContent>
                      <w:p w:rsidR="00EE13F6" w:rsidRDefault="002E5BC4">
                        <w:r>
                          <w:rPr>
                            <w:b/>
                            <w:sz w:val="11"/>
                          </w:rPr>
                          <w:t>Firm's</w:t>
                        </w:r>
                        <w:r>
                          <w:rPr>
                            <w:b/>
                            <w:sz w:val="11"/>
                          </w:rPr>
                          <w:tab/>
                          <w:t>leverage</w:t>
                        </w:r>
                      </w:p>
                    </w:txbxContent>
                  </v:textbox>
                </v:rect>
                <w10:anchorlock/>
              </v:group>
            </w:pict>
          </mc:Fallback>
        </mc:AlternateContent>
      </w:r>
    </w:p>
    <w:p w:rsidR="00EE13F6" w:rsidRDefault="002E5BC4">
      <w:pPr>
        <w:spacing w:after="23" w:line="264" w:lineRule="auto"/>
        <w:ind w:left="-5" w:right="468" w:hanging="10"/>
        <w:jc w:val="both"/>
      </w:pPr>
      <w:r>
        <w:rPr>
          <w:rFonts w:ascii="Cambria" w:eastAsia="Cambria" w:hAnsi="Cambria" w:cs="Cambria"/>
          <w:b/>
        </w:rPr>
        <w:lastRenderedPageBreak/>
        <w:t xml:space="preserve">Proof </w:t>
      </w:r>
      <w:r>
        <w:rPr>
          <w:rFonts w:ascii="Cambria" w:eastAsia="Cambria" w:hAnsi="Cambria" w:cs="Cambria"/>
        </w:rPr>
        <w:t xml:space="preserve">Considering equation (21) which defines the optimal value </w:t>
      </w:r>
      <w:r>
        <w:rPr>
          <w:rFonts w:ascii="Cambria" w:eastAsia="Cambria" w:hAnsi="Cambria" w:cs="Cambria"/>
          <w:i/>
        </w:rPr>
        <w:t>P</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 xml:space="preserve">maximizing the corporate value. a- We first prove that </w:t>
      </w:r>
      <w:r>
        <w:rPr>
          <w:noProof/>
        </w:rPr>
        <w:drawing>
          <wp:inline distT="0" distB="0" distL="0" distR="0">
            <wp:extent cx="463296" cy="179832"/>
            <wp:effectExtent l="0" t="0" r="0" b="0"/>
            <wp:docPr id="222023" name="Picture 222023"/>
            <wp:cNvGraphicFramePr/>
            <a:graphic xmlns:a="http://schemas.openxmlformats.org/drawingml/2006/main">
              <a:graphicData uri="http://schemas.openxmlformats.org/drawingml/2006/picture">
                <pic:pic xmlns:pic="http://schemas.openxmlformats.org/drawingml/2006/picture">
                  <pic:nvPicPr>
                    <pic:cNvPr id="222023" name="Picture 222023"/>
                    <pic:cNvPicPr/>
                  </pic:nvPicPr>
                  <pic:blipFill>
                    <a:blip r:embed="rId237"/>
                    <a:stretch>
                      <a:fillRect/>
                    </a:stretch>
                  </pic:blipFill>
                  <pic:spPr>
                    <a:xfrm>
                      <a:off x="0" y="0"/>
                      <a:ext cx="463296" cy="179832"/>
                    </a:xfrm>
                    <a:prstGeom prst="rect">
                      <a:avLst/>
                    </a:prstGeom>
                  </pic:spPr>
                </pic:pic>
              </a:graphicData>
            </a:graphic>
          </wp:inline>
        </w:drawing>
      </w:r>
    </w:p>
    <w:p w:rsidR="00EE13F6" w:rsidRDefault="002E5BC4">
      <w:pPr>
        <w:spacing w:after="131"/>
        <w:ind w:left="3280"/>
      </w:pPr>
      <w:r>
        <w:rPr>
          <w:noProof/>
        </w:rPr>
        <w:drawing>
          <wp:inline distT="0" distB="0" distL="0" distR="0">
            <wp:extent cx="1703832" cy="387096"/>
            <wp:effectExtent l="0" t="0" r="0" b="0"/>
            <wp:docPr id="222024" name="Picture 222024"/>
            <wp:cNvGraphicFramePr/>
            <a:graphic xmlns:a="http://schemas.openxmlformats.org/drawingml/2006/main">
              <a:graphicData uri="http://schemas.openxmlformats.org/drawingml/2006/picture">
                <pic:pic xmlns:pic="http://schemas.openxmlformats.org/drawingml/2006/picture">
                  <pic:nvPicPr>
                    <pic:cNvPr id="222024" name="Picture 222024"/>
                    <pic:cNvPicPr/>
                  </pic:nvPicPr>
                  <pic:blipFill>
                    <a:blip r:embed="rId238"/>
                    <a:stretch>
                      <a:fillRect/>
                    </a:stretch>
                  </pic:blipFill>
                  <pic:spPr>
                    <a:xfrm>
                      <a:off x="0" y="0"/>
                      <a:ext cx="1703832" cy="387096"/>
                    </a:xfrm>
                    <a:prstGeom prst="rect">
                      <a:avLst/>
                    </a:prstGeom>
                  </pic:spPr>
                </pic:pic>
              </a:graphicData>
            </a:graphic>
          </wp:inline>
        </w:drawing>
      </w:r>
    </w:p>
    <w:p w:rsidR="00EE13F6" w:rsidRDefault="002E5BC4">
      <w:pPr>
        <w:tabs>
          <w:tab w:val="center" w:pos="2789"/>
        </w:tabs>
        <w:spacing w:after="37" w:line="264" w:lineRule="auto"/>
        <w:ind w:left="-15"/>
      </w:pPr>
      <w:r>
        <w:rPr>
          <w:rFonts w:ascii="Cambria" w:eastAsia="Cambria" w:hAnsi="Cambria" w:cs="Cambria"/>
        </w:rPr>
        <w:t>with</w:t>
      </w:r>
      <w:r>
        <w:rPr>
          <w:rFonts w:ascii="Cambria" w:eastAsia="Cambria" w:hAnsi="Cambria" w:cs="Cambria"/>
        </w:rPr>
        <w:tab/>
      </w:r>
      <w:r>
        <w:rPr>
          <w:noProof/>
        </w:rPr>
        <w:drawing>
          <wp:inline distT="0" distB="0" distL="0" distR="0">
            <wp:extent cx="1109472" cy="195072"/>
            <wp:effectExtent l="0" t="0" r="0" b="0"/>
            <wp:docPr id="222025" name="Picture 222025"/>
            <wp:cNvGraphicFramePr/>
            <a:graphic xmlns:a="http://schemas.openxmlformats.org/drawingml/2006/main">
              <a:graphicData uri="http://schemas.openxmlformats.org/drawingml/2006/picture">
                <pic:pic xmlns:pic="http://schemas.openxmlformats.org/drawingml/2006/picture">
                  <pic:nvPicPr>
                    <pic:cNvPr id="222025" name="Picture 222025"/>
                    <pic:cNvPicPr/>
                  </pic:nvPicPr>
                  <pic:blipFill>
                    <a:blip r:embed="rId239"/>
                    <a:stretch>
                      <a:fillRect/>
                    </a:stretch>
                  </pic:blipFill>
                  <pic:spPr>
                    <a:xfrm>
                      <a:off x="0" y="0"/>
                      <a:ext cx="1109472" cy="195072"/>
                    </a:xfrm>
                    <a:prstGeom prst="rect">
                      <a:avLst/>
                    </a:prstGeom>
                  </pic:spPr>
                </pic:pic>
              </a:graphicData>
            </a:graphic>
          </wp:inline>
        </w:drawing>
      </w:r>
      <w:r>
        <w:rPr>
          <w:rFonts w:ascii="Cambria" w:eastAsia="Cambria" w:hAnsi="Cambria" w:cs="Cambria"/>
        </w:rPr>
        <w:t>= 0 and further develops into:</w:t>
      </w:r>
    </w:p>
    <w:p w:rsidR="00EE13F6" w:rsidRDefault="002E5BC4">
      <w:pPr>
        <w:spacing w:after="40"/>
        <w:ind w:left="3040"/>
      </w:pPr>
      <w:r>
        <w:rPr>
          <w:noProof/>
        </w:rPr>
        <w:drawing>
          <wp:inline distT="0" distB="0" distL="0" distR="0">
            <wp:extent cx="2002536" cy="298704"/>
            <wp:effectExtent l="0" t="0" r="0" b="0"/>
            <wp:docPr id="222026" name="Picture 222026"/>
            <wp:cNvGraphicFramePr/>
            <a:graphic xmlns:a="http://schemas.openxmlformats.org/drawingml/2006/main">
              <a:graphicData uri="http://schemas.openxmlformats.org/drawingml/2006/picture">
                <pic:pic xmlns:pic="http://schemas.openxmlformats.org/drawingml/2006/picture">
                  <pic:nvPicPr>
                    <pic:cNvPr id="222026" name="Picture 222026"/>
                    <pic:cNvPicPr/>
                  </pic:nvPicPr>
                  <pic:blipFill>
                    <a:blip r:embed="rId240"/>
                    <a:stretch>
                      <a:fillRect/>
                    </a:stretch>
                  </pic:blipFill>
                  <pic:spPr>
                    <a:xfrm>
                      <a:off x="0" y="0"/>
                      <a:ext cx="2002536" cy="298704"/>
                    </a:xfrm>
                    <a:prstGeom prst="rect">
                      <a:avLst/>
                    </a:prstGeom>
                  </pic:spPr>
                </pic:pic>
              </a:graphicData>
            </a:graphic>
          </wp:inline>
        </w:drawing>
      </w:r>
    </w:p>
    <w:p w:rsidR="00EE13F6" w:rsidRDefault="002E5BC4">
      <w:pPr>
        <w:spacing w:after="0" w:line="264" w:lineRule="auto"/>
        <w:ind w:left="-5" w:right="468" w:hanging="10"/>
        <w:jc w:val="both"/>
      </w:pPr>
      <w:r>
        <w:rPr>
          <w:rFonts w:ascii="Cambria" w:eastAsia="Cambria" w:hAnsi="Cambria" w:cs="Cambria"/>
        </w:rPr>
        <w:t xml:space="preserve">with </w:t>
      </w:r>
      <w:r>
        <w:rPr>
          <w:rFonts w:ascii="Cambria" w:eastAsia="Cambria" w:hAnsi="Cambria" w:cs="Cambria"/>
          <w:i/>
        </w:rPr>
        <w:t xml:space="preserve">U </w:t>
      </w:r>
      <w:r>
        <w:rPr>
          <w:rFonts w:ascii="Cambria" w:eastAsia="Cambria" w:hAnsi="Cambria" w:cs="Cambria"/>
        </w:rPr>
        <w:t xml:space="preserve">= </w:t>
      </w:r>
      <w:r>
        <w:rPr>
          <w:rFonts w:ascii="Cambria" w:eastAsia="Cambria" w:hAnsi="Cambria" w:cs="Cambria"/>
          <w:i/>
          <w:u w:val="single" w:color="000000"/>
          <w:vertAlign w:val="superscript"/>
        </w:rPr>
        <w:t>αL</w:t>
      </w:r>
      <w:r>
        <w:rPr>
          <w:rFonts w:ascii="Cambria" w:eastAsia="Cambria" w:hAnsi="Cambria" w:cs="Cambria"/>
          <w:i/>
          <w:vertAlign w:val="subscript"/>
        </w:rPr>
        <w:t xml:space="preserve">B </w:t>
      </w:r>
      <w:r>
        <w:rPr>
          <w:rFonts w:ascii="Cambria" w:eastAsia="Cambria" w:hAnsi="Cambria" w:cs="Cambria"/>
        </w:rPr>
        <w:t>The sign of the first order derivat</w:t>
      </w:r>
      <w:r>
        <w:rPr>
          <w:rFonts w:ascii="Cambria" w:eastAsia="Cambria" w:hAnsi="Cambria" w:cs="Cambria"/>
        </w:rPr>
        <w:t xml:space="preserve">ive toward x: </w:t>
      </w:r>
      <w:r>
        <w:rPr>
          <w:noProof/>
        </w:rPr>
        <w:drawing>
          <wp:inline distT="0" distB="0" distL="0" distR="0">
            <wp:extent cx="198120" cy="179832"/>
            <wp:effectExtent l="0" t="0" r="0" b="0"/>
            <wp:docPr id="222027" name="Picture 222027"/>
            <wp:cNvGraphicFramePr/>
            <a:graphic xmlns:a="http://schemas.openxmlformats.org/drawingml/2006/main">
              <a:graphicData uri="http://schemas.openxmlformats.org/drawingml/2006/picture">
                <pic:pic xmlns:pic="http://schemas.openxmlformats.org/drawingml/2006/picture">
                  <pic:nvPicPr>
                    <pic:cNvPr id="222027" name="Picture 222027"/>
                    <pic:cNvPicPr/>
                  </pic:nvPicPr>
                  <pic:blipFill>
                    <a:blip r:embed="rId241"/>
                    <a:stretch>
                      <a:fillRect/>
                    </a:stretch>
                  </pic:blipFill>
                  <pic:spPr>
                    <a:xfrm>
                      <a:off x="0" y="0"/>
                      <a:ext cx="198120" cy="179832"/>
                    </a:xfrm>
                    <a:prstGeom prst="rect">
                      <a:avLst/>
                    </a:prstGeom>
                  </pic:spPr>
                </pic:pic>
              </a:graphicData>
            </a:graphic>
          </wp:inline>
        </w:drawing>
      </w:r>
      <w:r>
        <w:rPr>
          <w:rFonts w:ascii="Cambria" w:eastAsia="Cambria" w:hAnsi="Cambria" w:cs="Cambria"/>
        </w:rPr>
        <w:t xml:space="preserve"> of this expression is the same as the sign of:</w:t>
      </w:r>
    </w:p>
    <w:p w:rsidR="00EE13F6" w:rsidRDefault="002E5BC4">
      <w:pPr>
        <w:spacing w:after="40"/>
        <w:ind w:left="2880"/>
      </w:pPr>
      <w:r>
        <w:rPr>
          <w:noProof/>
        </w:rPr>
        <w:drawing>
          <wp:inline distT="0" distB="0" distL="0" distR="0">
            <wp:extent cx="2225040" cy="313944"/>
            <wp:effectExtent l="0" t="0" r="0" b="0"/>
            <wp:docPr id="222028" name="Picture 222028"/>
            <wp:cNvGraphicFramePr/>
            <a:graphic xmlns:a="http://schemas.openxmlformats.org/drawingml/2006/main">
              <a:graphicData uri="http://schemas.openxmlformats.org/drawingml/2006/picture">
                <pic:pic xmlns:pic="http://schemas.openxmlformats.org/drawingml/2006/picture">
                  <pic:nvPicPr>
                    <pic:cNvPr id="222028" name="Picture 222028"/>
                    <pic:cNvPicPr/>
                  </pic:nvPicPr>
                  <pic:blipFill>
                    <a:blip r:embed="rId242"/>
                    <a:stretch>
                      <a:fillRect/>
                    </a:stretch>
                  </pic:blipFill>
                  <pic:spPr>
                    <a:xfrm>
                      <a:off x="0" y="0"/>
                      <a:ext cx="2225040" cy="313944"/>
                    </a:xfrm>
                    <a:prstGeom prst="rect">
                      <a:avLst/>
                    </a:prstGeom>
                  </pic:spPr>
                </pic:pic>
              </a:graphicData>
            </a:graphic>
          </wp:inline>
        </w:drawing>
      </w:r>
    </w:p>
    <w:p w:rsidR="00EE13F6" w:rsidRDefault="002E5BC4">
      <w:pPr>
        <w:spacing w:line="265" w:lineRule="auto"/>
        <w:ind w:left="10" w:right="468" w:hanging="10"/>
        <w:jc w:val="right"/>
      </w:pPr>
      <w:r>
        <w:rPr>
          <w:noProof/>
        </w:rPr>
        <w:drawing>
          <wp:inline distT="0" distB="0" distL="0" distR="0">
            <wp:extent cx="829056" cy="362712"/>
            <wp:effectExtent l="0" t="0" r="0" b="0"/>
            <wp:docPr id="222030" name="Picture 222030"/>
            <wp:cNvGraphicFramePr/>
            <a:graphic xmlns:a="http://schemas.openxmlformats.org/drawingml/2006/main">
              <a:graphicData uri="http://schemas.openxmlformats.org/drawingml/2006/picture">
                <pic:pic xmlns:pic="http://schemas.openxmlformats.org/drawingml/2006/picture">
                  <pic:nvPicPr>
                    <pic:cNvPr id="222030" name="Picture 222030"/>
                    <pic:cNvPicPr/>
                  </pic:nvPicPr>
                  <pic:blipFill>
                    <a:blip r:embed="rId243"/>
                    <a:stretch>
                      <a:fillRect/>
                    </a:stretch>
                  </pic:blipFill>
                  <pic:spPr>
                    <a:xfrm>
                      <a:off x="0" y="0"/>
                      <a:ext cx="829056" cy="362712"/>
                    </a:xfrm>
                    <a:prstGeom prst="rect">
                      <a:avLst/>
                    </a:prstGeom>
                  </pic:spPr>
                </pic:pic>
              </a:graphicData>
            </a:graphic>
          </wp:inline>
        </w:drawing>
      </w:r>
      <w:r>
        <w:rPr>
          <w:rFonts w:ascii="Cambria" w:eastAsia="Cambria" w:hAnsi="Cambria" w:cs="Cambria"/>
        </w:rPr>
        <w:t xml:space="preserve"> which is always positive when </w:t>
      </w:r>
      <w:r>
        <w:rPr>
          <w:rFonts w:ascii="Cambria" w:eastAsia="Cambria" w:hAnsi="Cambria" w:cs="Cambria"/>
          <w:i/>
        </w:rPr>
        <w:t xml:space="preserve">y &gt; </w:t>
      </w:r>
      <w:r>
        <w:rPr>
          <w:rFonts w:ascii="Cambria" w:eastAsia="Cambria" w:hAnsi="Cambria" w:cs="Cambria"/>
        </w:rPr>
        <w:t xml:space="preserve">0 because </w:t>
      </w:r>
      <w:r>
        <w:rPr>
          <w:noProof/>
        </w:rPr>
        <w:drawing>
          <wp:inline distT="0" distB="0" distL="0" distR="0">
            <wp:extent cx="1075944" cy="188976"/>
            <wp:effectExtent l="0" t="0" r="0" b="0"/>
            <wp:docPr id="222029" name="Picture 222029"/>
            <wp:cNvGraphicFramePr/>
            <a:graphic xmlns:a="http://schemas.openxmlformats.org/drawingml/2006/main">
              <a:graphicData uri="http://schemas.openxmlformats.org/drawingml/2006/picture">
                <pic:pic xmlns:pic="http://schemas.openxmlformats.org/drawingml/2006/picture">
                  <pic:nvPicPr>
                    <pic:cNvPr id="222029" name="Picture 222029"/>
                    <pic:cNvPicPr/>
                  </pic:nvPicPr>
                  <pic:blipFill>
                    <a:blip r:embed="rId244"/>
                    <a:stretch>
                      <a:fillRect/>
                    </a:stretch>
                  </pic:blipFill>
                  <pic:spPr>
                    <a:xfrm>
                      <a:off x="0" y="0"/>
                      <a:ext cx="1075944" cy="188976"/>
                    </a:xfrm>
                    <a:prstGeom prst="rect">
                      <a:avLst/>
                    </a:prstGeom>
                  </pic:spPr>
                </pic:pic>
              </a:graphicData>
            </a:graphic>
          </wp:inline>
        </w:drawing>
      </w:r>
      <w:r>
        <w:rPr>
          <w:rFonts w:ascii="Cambria" w:eastAsia="Cambria" w:hAnsi="Cambria" w:cs="Cambria"/>
        </w:rPr>
        <w:t xml:space="preserve"> this proves that</w:t>
      </w:r>
    </w:p>
    <w:p w:rsidR="00EE13F6" w:rsidRDefault="002E5BC4">
      <w:pPr>
        <w:spacing w:after="62" w:line="264" w:lineRule="auto"/>
        <w:ind w:left="-5" w:right="468" w:hanging="10"/>
        <w:jc w:val="both"/>
      </w:pPr>
      <w:r>
        <w:rPr>
          <w:rFonts w:ascii="Cambria" w:eastAsia="Cambria" w:hAnsi="Cambria" w:cs="Cambria"/>
        </w:rPr>
        <w:t xml:space="preserve">b-We know from section 2.1.1 above that </w:t>
      </w:r>
      <w:r>
        <w:rPr>
          <w:rFonts w:ascii="Cambria" w:eastAsia="Cambria" w:hAnsi="Cambria" w:cs="Cambria"/>
          <w:i/>
          <w:vertAlign w:val="subscript"/>
        </w:rPr>
        <w:t>dσ</w:t>
      </w:r>
      <w:r>
        <w:rPr>
          <w:rFonts w:ascii="Cambria" w:eastAsia="Cambria" w:hAnsi="Cambria" w:cs="Cambria"/>
          <w:i/>
          <w:u w:val="single" w:color="000000"/>
          <w:vertAlign w:val="superscript"/>
        </w:rPr>
        <w:t xml:space="preserve">dx </w:t>
      </w:r>
      <w:r>
        <w:rPr>
          <w:rFonts w:ascii="Cambria" w:eastAsia="Cambria" w:hAnsi="Cambria" w:cs="Cambria"/>
          <w:i/>
        </w:rPr>
        <w:t>&lt;</w:t>
      </w:r>
      <w:r>
        <w:rPr>
          <w:rFonts w:ascii="Cambria" w:eastAsia="Cambria" w:hAnsi="Cambria" w:cs="Cambria"/>
        </w:rPr>
        <w:t>= 0 This leads to:</w:t>
      </w:r>
    </w:p>
    <w:p w:rsidR="00EE13F6" w:rsidRDefault="002E5BC4">
      <w:pPr>
        <w:spacing w:after="95"/>
        <w:ind w:left="4160"/>
      </w:pPr>
      <w:r>
        <w:rPr>
          <w:noProof/>
        </w:rPr>
        <w:drawing>
          <wp:inline distT="0" distB="0" distL="0" distR="0">
            <wp:extent cx="618744" cy="292608"/>
            <wp:effectExtent l="0" t="0" r="0" b="0"/>
            <wp:docPr id="222031" name="Picture 222031"/>
            <wp:cNvGraphicFramePr/>
            <a:graphic xmlns:a="http://schemas.openxmlformats.org/drawingml/2006/main">
              <a:graphicData uri="http://schemas.openxmlformats.org/drawingml/2006/picture">
                <pic:pic xmlns:pic="http://schemas.openxmlformats.org/drawingml/2006/picture">
                  <pic:nvPicPr>
                    <pic:cNvPr id="222031" name="Picture 222031"/>
                    <pic:cNvPicPr/>
                  </pic:nvPicPr>
                  <pic:blipFill>
                    <a:blip r:embed="rId245"/>
                    <a:stretch>
                      <a:fillRect/>
                    </a:stretch>
                  </pic:blipFill>
                  <pic:spPr>
                    <a:xfrm>
                      <a:off x="0" y="0"/>
                      <a:ext cx="618744" cy="292608"/>
                    </a:xfrm>
                    <a:prstGeom prst="rect">
                      <a:avLst/>
                    </a:prstGeom>
                  </pic:spPr>
                </pic:pic>
              </a:graphicData>
            </a:graphic>
          </wp:inline>
        </w:drawing>
      </w:r>
    </w:p>
    <w:p w:rsidR="00EE13F6" w:rsidRDefault="002E5BC4">
      <w:pPr>
        <w:spacing w:after="110" w:line="264" w:lineRule="auto"/>
        <w:ind w:left="-5" w:right="468" w:hanging="10"/>
        <w:jc w:val="both"/>
      </w:pPr>
      <w:r>
        <w:rPr>
          <w:rFonts w:ascii="Cambria" w:eastAsia="Cambria" w:hAnsi="Cambria" w:cs="Cambria"/>
        </w:rPr>
        <w:t>This implies that the optimal level of debt, following the introduction of the FTT, will decrease because of the increase in the volatility of corporation’s assets.</w:t>
      </w:r>
    </w:p>
    <w:p w:rsidR="00EE13F6" w:rsidRDefault="002E5BC4">
      <w:pPr>
        <w:spacing w:after="165" w:line="264" w:lineRule="auto"/>
        <w:ind w:left="-5" w:right="468" w:hanging="10"/>
        <w:jc w:val="both"/>
      </w:pPr>
      <w:r>
        <w:rPr>
          <w:rFonts w:ascii="Cambria" w:eastAsia="Cambria" w:hAnsi="Cambria" w:cs="Cambria"/>
        </w:rPr>
        <w:t xml:space="preserve">c-Let’s designate by </w:t>
      </w:r>
      <w:r>
        <w:rPr>
          <w:rFonts w:ascii="Cambria" w:eastAsia="Cambria" w:hAnsi="Cambria" w:cs="Cambria"/>
          <w:i/>
        </w:rPr>
        <w:t>P</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this new optimal level of debt and by</w:t>
      </w:r>
      <w:r>
        <w:rPr>
          <w:noProof/>
        </w:rPr>
        <w:drawing>
          <wp:inline distT="0" distB="0" distL="0" distR="0">
            <wp:extent cx="152400" cy="152400"/>
            <wp:effectExtent l="0" t="0" r="0" b="0"/>
            <wp:docPr id="222032" name="Picture 222032"/>
            <wp:cNvGraphicFramePr/>
            <a:graphic xmlns:a="http://schemas.openxmlformats.org/drawingml/2006/main">
              <a:graphicData uri="http://schemas.openxmlformats.org/drawingml/2006/picture">
                <pic:pic xmlns:pic="http://schemas.openxmlformats.org/drawingml/2006/picture">
                  <pic:nvPicPr>
                    <pic:cNvPr id="222032" name="Picture 222032"/>
                    <pic:cNvPicPr/>
                  </pic:nvPicPr>
                  <pic:blipFill>
                    <a:blip r:embed="rId246"/>
                    <a:stretch>
                      <a:fillRect/>
                    </a:stretch>
                  </pic:blipFill>
                  <pic:spPr>
                    <a:xfrm>
                      <a:off x="0" y="0"/>
                      <a:ext cx="152400" cy="152400"/>
                    </a:xfrm>
                    <a:prstGeom prst="rect">
                      <a:avLst/>
                    </a:prstGeom>
                  </pic:spPr>
                </pic:pic>
              </a:graphicData>
            </a:graphic>
          </wp:inline>
        </w:drawing>
      </w:r>
      <w:r>
        <w:rPr>
          <w:rFonts w:ascii="Cambria" w:eastAsia="Cambria" w:hAnsi="Cambria" w:cs="Cambria"/>
        </w:rPr>
        <w:t xml:space="preserve"> the new bond price. The new</w:t>
      </w:r>
      <w:r>
        <w:rPr>
          <w:rFonts w:ascii="Cambria" w:eastAsia="Cambria" w:hAnsi="Cambria" w:cs="Cambria"/>
        </w:rPr>
        <w:t xml:space="preserve"> equity price is</w:t>
      </w:r>
      <w:r>
        <w:rPr>
          <w:noProof/>
        </w:rPr>
        <w:drawing>
          <wp:inline distT="0" distB="0" distL="0" distR="0">
            <wp:extent cx="152400" cy="152400"/>
            <wp:effectExtent l="0" t="0" r="0" b="0"/>
            <wp:docPr id="222033" name="Picture 222033"/>
            <wp:cNvGraphicFramePr/>
            <a:graphic xmlns:a="http://schemas.openxmlformats.org/drawingml/2006/main">
              <a:graphicData uri="http://schemas.openxmlformats.org/drawingml/2006/picture">
                <pic:pic xmlns:pic="http://schemas.openxmlformats.org/drawingml/2006/picture">
                  <pic:nvPicPr>
                    <pic:cNvPr id="222033" name="Picture 222033"/>
                    <pic:cNvPicPr/>
                  </pic:nvPicPr>
                  <pic:blipFill>
                    <a:blip r:embed="rId247"/>
                    <a:stretch>
                      <a:fillRect/>
                    </a:stretch>
                  </pic:blipFill>
                  <pic:spPr>
                    <a:xfrm>
                      <a:off x="0" y="0"/>
                      <a:ext cx="152400" cy="152400"/>
                    </a:xfrm>
                    <a:prstGeom prst="rect">
                      <a:avLst/>
                    </a:prstGeom>
                  </pic:spPr>
                </pic:pic>
              </a:graphicData>
            </a:graphic>
          </wp:inline>
        </w:drawing>
      </w:r>
      <w:r>
        <w:rPr>
          <w:rFonts w:ascii="Cambria" w:eastAsia="Cambria" w:hAnsi="Cambria" w:cs="Cambria"/>
        </w:rPr>
        <w:t xml:space="preserve"> and the original equity price is </w:t>
      </w:r>
      <w:r>
        <w:rPr>
          <w:rFonts w:ascii="Cambria" w:eastAsia="Cambria" w:hAnsi="Cambria" w:cs="Cambria"/>
          <w:i/>
        </w:rPr>
        <w:t>E</w:t>
      </w:r>
      <w:r>
        <w:rPr>
          <w:rFonts w:ascii="Cambria" w:eastAsia="Cambria" w:hAnsi="Cambria" w:cs="Cambria"/>
          <w:vertAlign w:val="subscript"/>
        </w:rPr>
        <w:t xml:space="preserve">0 </w:t>
      </w:r>
      <w:r>
        <w:rPr>
          <w:rFonts w:ascii="Cambria" w:eastAsia="Cambria" w:hAnsi="Cambria" w:cs="Cambria"/>
        </w:rPr>
        <w:t>. In order to reach the new optimum, the corporation will have to ”buy back” on the market the debt formerly issued at market price. Once the new level of debt is reached, the equity value is determined</w:t>
      </w:r>
      <w:r>
        <w:rPr>
          <w:rFonts w:ascii="Cambria" w:eastAsia="Cambria" w:hAnsi="Cambria" w:cs="Cambria"/>
        </w:rPr>
        <w:t xml:space="preserve"> by equation (20).</w:t>
      </w:r>
    </w:p>
    <w:p w:rsidR="00EE13F6" w:rsidRDefault="002E5BC4">
      <w:pPr>
        <w:spacing w:after="135" w:line="264" w:lineRule="auto"/>
        <w:ind w:left="-5" w:right="468" w:hanging="10"/>
        <w:jc w:val="both"/>
      </w:pPr>
      <w:r>
        <w:rPr>
          <w:rFonts w:ascii="Cambria" w:eastAsia="Cambria" w:hAnsi="Cambria" w:cs="Cambria"/>
        </w:rPr>
        <w:t>Therefore the corporation has to issue a number ∆</w:t>
      </w:r>
      <w:r>
        <w:rPr>
          <w:rFonts w:ascii="Cambria" w:eastAsia="Cambria" w:hAnsi="Cambria" w:cs="Cambria"/>
          <w:i/>
        </w:rPr>
        <w:t xml:space="preserve">n </w:t>
      </w:r>
      <w:r>
        <w:rPr>
          <w:rFonts w:ascii="Cambria" w:eastAsia="Cambria" w:hAnsi="Cambria" w:cs="Cambria"/>
        </w:rPr>
        <w:t xml:space="preserve">of additional shares to fund the purchase of the corporate bonds on the secondary market. The issuance of shares and the bond ”buy-back” are done at the prevailing market prices on both </w:t>
      </w:r>
      <w:r>
        <w:rPr>
          <w:rFonts w:ascii="Cambria" w:eastAsia="Cambria" w:hAnsi="Cambria" w:cs="Cambria"/>
        </w:rPr>
        <w:t>bond and stock markets. This writes:</w:t>
      </w:r>
    </w:p>
    <w:p w:rsidR="00EE13F6" w:rsidRDefault="002E5BC4">
      <w:pPr>
        <w:spacing w:after="275"/>
        <w:ind w:left="3520"/>
      </w:pPr>
      <w:r>
        <w:rPr>
          <w:noProof/>
        </w:rPr>
        <w:drawing>
          <wp:inline distT="0" distB="0" distL="0" distR="0">
            <wp:extent cx="1405128" cy="155449"/>
            <wp:effectExtent l="0" t="0" r="0" b="0"/>
            <wp:docPr id="222034" name="Picture 222034"/>
            <wp:cNvGraphicFramePr/>
            <a:graphic xmlns:a="http://schemas.openxmlformats.org/drawingml/2006/main">
              <a:graphicData uri="http://schemas.openxmlformats.org/drawingml/2006/picture">
                <pic:pic xmlns:pic="http://schemas.openxmlformats.org/drawingml/2006/picture">
                  <pic:nvPicPr>
                    <pic:cNvPr id="222034" name="Picture 222034"/>
                    <pic:cNvPicPr/>
                  </pic:nvPicPr>
                  <pic:blipFill>
                    <a:blip r:embed="rId248"/>
                    <a:stretch>
                      <a:fillRect/>
                    </a:stretch>
                  </pic:blipFill>
                  <pic:spPr>
                    <a:xfrm>
                      <a:off x="0" y="0"/>
                      <a:ext cx="1405128" cy="155449"/>
                    </a:xfrm>
                    <a:prstGeom prst="rect">
                      <a:avLst/>
                    </a:prstGeom>
                  </pic:spPr>
                </pic:pic>
              </a:graphicData>
            </a:graphic>
          </wp:inline>
        </w:drawing>
      </w:r>
    </w:p>
    <w:p w:rsidR="00EE13F6" w:rsidRDefault="002E5BC4">
      <w:pPr>
        <w:spacing w:after="135" w:line="216" w:lineRule="auto"/>
        <w:ind w:left="-5" w:right="468" w:hanging="10"/>
        <w:jc w:val="both"/>
      </w:pPr>
      <w:r>
        <w:rPr>
          <w:rFonts w:ascii="Cambria" w:eastAsia="Cambria" w:hAnsi="Cambria" w:cs="Cambria"/>
        </w:rPr>
        <w:t>Pursuant to our hypothesis that we are within the ”envelope” leading to a decrease of the equity, following the introduction of the FTT, we have</w:t>
      </w:r>
      <w:r>
        <w:rPr>
          <w:noProof/>
        </w:rPr>
        <w:drawing>
          <wp:inline distT="0" distB="0" distL="0" distR="0">
            <wp:extent cx="496824" cy="149352"/>
            <wp:effectExtent l="0" t="0" r="0" b="0"/>
            <wp:docPr id="222035" name="Picture 222035"/>
            <wp:cNvGraphicFramePr/>
            <a:graphic xmlns:a="http://schemas.openxmlformats.org/drawingml/2006/main">
              <a:graphicData uri="http://schemas.openxmlformats.org/drawingml/2006/picture">
                <pic:pic xmlns:pic="http://schemas.openxmlformats.org/drawingml/2006/picture">
                  <pic:nvPicPr>
                    <pic:cNvPr id="222035" name="Picture 222035"/>
                    <pic:cNvPicPr/>
                  </pic:nvPicPr>
                  <pic:blipFill>
                    <a:blip r:embed="rId249"/>
                    <a:stretch>
                      <a:fillRect/>
                    </a:stretch>
                  </pic:blipFill>
                  <pic:spPr>
                    <a:xfrm>
                      <a:off x="0" y="0"/>
                      <a:ext cx="496824" cy="149352"/>
                    </a:xfrm>
                    <a:prstGeom prst="rect">
                      <a:avLst/>
                    </a:prstGeom>
                  </pic:spPr>
                </pic:pic>
              </a:graphicData>
            </a:graphic>
          </wp:inline>
        </w:drawing>
      </w:r>
      <w:r>
        <w:rPr>
          <w:rFonts w:ascii="Cambria" w:eastAsia="Cambria" w:hAnsi="Cambria" w:cs="Cambria"/>
        </w:rPr>
        <w:t xml:space="preserve">. The price per share for the new issuance is </w:t>
      </w:r>
      <w:r>
        <w:rPr>
          <w:noProof/>
        </w:rPr>
        <w:drawing>
          <wp:inline distT="0" distB="0" distL="0" distR="0">
            <wp:extent cx="137160" cy="219456"/>
            <wp:effectExtent l="0" t="0" r="0" b="0"/>
            <wp:docPr id="222036" name="Picture 222036"/>
            <wp:cNvGraphicFramePr/>
            <a:graphic xmlns:a="http://schemas.openxmlformats.org/drawingml/2006/main">
              <a:graphicData uri="http://schemas.openxmlformats.org/drawingml/2006/picture">
                <pic:pic xmlns:pic="http://schemas.openxmlformats.org/drawingml/2006/picture">
                  <pic:nvPicPr>
                    <pic:cNvPr id="222036" name="Picture 222036"/>
                    <pic:cNvPicPr/>
                  </pic:nvPicPr>
                  <pic:blipFill>
                    <a:blip r:embed="rId250"/>
                    <a:stretch>
                      <a:fillRect/>
                    </a:stretch>
                  </pic:blipFill>
                  <pic:spPr>
                    <a:xfrm>
                      <a:off x="0" y="0"/>
                      <a:ext cx="137160" cy="219456"/>
                    </a:xfrm>
                    <a:prstGeom prst="rect">
                      <a:avLst/>
                    </a:prstGeom>
                  </pic:spPr>
                </pic:pic>
              </a:graphicData>
            </a:graphic>
          </wp:inline>
        </w:drawing>
      </w:r>
      <w:r>
        <w:rPr>
          <w:rFonts w:ascii="Cambria" w:eastAsia="Cambria" w:hAnsi="Cambria" w:cs="Cambria"/>
        </w:rPr>
        <w:t xml:space="preserve"> where </w:t>
      </w:r>
      <w:r>
        <w:rPr>
          <w:rFonts w:ascii="Cambria" w:eastAsia="Cambria" w:hAnsi="Cambria" w:cs="Cambria"/>
          <w:i/>
        </w:rPr>
        <w:t>n</w:t>
      </w:r>
      <w:r>
        <w:rPr>
          <w:rFonts w:ascii="Cambria" w:eastAsia="Cambria" w:hAnsi="Cambria" w:cs="Cambria"/>
          <w:vertAlign w:val="subscript"/>
        </w:rPr>
        <w:t xml:space="preserve">0 </w:t>
      </w:r>
      <w:r>
        <w:rPr>
          <w:rFonts w:ascii="Cambria" w:eastAsia="Cambria" w:hAnsi="Cambria" w:cs="Cambria"/>
        </w:rPr>
        <w:t xml:space="preserve">designates the </w:t>
      </w:r>
      <w:r>
        <w:rPr>
          <w:rFonts w:ascii="Cambria" w:eastAsia="Cambria" w:hAnsi="Cambria" w:cs="Cambria"/>
        </w:rPr>
        <w:t xml:space="preserve">initial number of shares. The new number of shares is </w:t>
      </w:r>
      <w:r>
        <w:rPr>
          <w:rFonts w:ascii="Cambria" w:eastAsia="Cambria" w:hAnsi="Cambria" w:cs="Cambria"/>
          <w:i/>
        </w:rPr>
        <w:t>n</w:t>
      </w:r>
      <w:r>
        <w:rPr>
          <w:rFonts w:ascii="Cambria" w:eastAsia="Cambria" w:hAnsi="Cambria" w:cs="Cambria"/>
          <w:vertAlign w:val="subscript"/>
        </w:rPr>
        <w:t xml:space="preserve">1 </w:t>
      </w:r>
      <w:r>
        <w:rPr>
          <w:rFonts w:ascii="Cambria" w:eastAsia="Cambria" w:hAnsi="Cambria" w:cs="Cambria"/>
        </w:rPr>
        <w:t xml:space="preserve">= </w:t>
      </w:r>
      <w:r>
        <w:rPr>
          <w:rFonts w:ascii="Cambria" w:eastAsia="Cambria" w:hAnsi="Cambria" w:cs="Cambria"/>
          <w:i/>
        </w:rPr>
        <w:t>n</w:t>
      </w:r>
      <w:r>
        <w:rPr>
          <w:rFonts w:ascii="Cambria" w:eastAsia="Cambria" w:hAnsi="Cambria" w:cs="Cambria"/>
          <w:vertAlign w:val="subscript"/>
        </w:rPr>
        <w:t xml:space="preserve">0 </w:t>
      </w:r>
      <w:r>
        <w:rPr>
          <w:rFonts w:ascii="Cambria" w:eastAsia="Cambria" w:hAnsi="Cambria" w:cs="Cambria"/>
        </w:rPr>
        <w:t>+∆</w:t>
      </w:r>
      <w:r>
        <w:rPr>
          <w:rFonts w:ascii="Cambria" w:eastAsia="Cambria" w:hAnsi="Cambria" w:cs="Cambria"/>
          <w:i/>
        </w:rPr>
        <w:t>n</w:t>
      </w:r>
      <w:r>
        <w:rPr>
          <w:rFonts w:ascii="Cambria" w:eastAsia="Cambria" w:hAnsi="Cambria" w:cs="Cambria"/>
        </w:rPr>
        <w:t>.</w:t>
      </w:r>
    </w:p>
    <w:p w:rsidR="00EE13F6" w:rsidRDefault="002E5BC4">
      <w:pPr>
        <w:spacing w:after="0" w:line="264" w:lineRule="auto"/>
        <w:ind w:left="-5" w:right="468" w:hanging="10"/>
        <w:jc w:val="both"/>
      </w:pPr>
      <w:r>
        <w:rPr>
          <w:rFonts w:ascii="Cambria" w:eastAsia="Cambria" w:hAnsi="Cambria" w:cs="Cambria"/>
        </w:rPr>
        <w:t>Consequently, the firm is issuing additional shares at a lower share price which is characteristic of</w:t>
      </w:r>
    </w:p>
    <w:p w:rsidR="00EE13F6" w:rsidRDefault="002E5BC4">
      <w:pPr>
        <w:spacing w:after="0" w:line="264" w:lineRule="auto"/>
        <w:ind w:left="-5" w:right="468" w:hanging="10"/>
        <w:jc w:val="both"/>
      </w:pPr>
      <w:r>
        <w:rPr>
          <w:rFonts w:ascii="Cambria" w:eastAsia="Cambria" w:hAnsi="Cambria" w:cs="Cambria"/>
        </w:rPr>
        <w:t>dilution. The new equity value after issuance is</w:t>
      </w:r>
      <w:r>
        <w:rPr>
          <w:noProof/>
        </w:rPr>
        <w:drawing>
          <wp:inline distT="0" distB="0" distL="0" distR="0">
            <wp:extent cx="1600200" cy="222504"/>
            <wp:effectExtent l="0" t="0" r="0" b="0"/>
            <wp:docPr id="222037" name="Picture 222037"/>
            <wp:cNvGraphicFramePr/>
            <a:graphic xmlns:a="http://schemas.openxmlformats.org/drawingml/2006/main">
              <a:graphicData uri="http://schemas.openxmlformats.org/drawingml/2006/picture">
                <pic:pic xmlns:pic="http://schemas.openxmlformats.org/drawingml/2006/picture">
                  <pic:nvPicPr>
                    <pic:cNvPr id="222037" name="Picture 222037"/>
                    <pic:cNvPicPr/>
                  </pic:nvPicPr>
                  <pic:blipFill>
                    <a:blip r:embed="rId251"/>
                    <a:stretch>
                      <a:fillRect/>
                    </a:stretch>
                  </pic:blipFill>
                  <pic:spPr>
                    <a:xfrm>
                      <a:off x="0" y="0"/>
                      <a:ext cx="1600200" cy="222504"/>
                    </a:xfrm>
                    <a:prstGeom prst="rect">
                      <a:avLst/>
                    </a:prstGeom>
                  </pic:spPr>
                </pic:pic>
              </a:graphicData>
            </a:graphic>
          </wp:inline>
        </w:drawing>
      </w:r>
      <w:r>
        <w:rPr>
          <w:rFonts w:ascii="Cambria" w:eastAsia="Cambria" w:hAnsi="Cambria" w:cs="Cambria"/>
        </w:rPr>
        <w:t xml:space="preserve"> which implies</w:t>
      </w:r>
    </w:p>
    <w:p w:rsidR="00EE13F6" w:rsidRDefault="002E5BC4">
      <w:pPr>
        <w:spacing w:after="2"/>
        <w:ind w:left="4080"/>
      </w:pPr>
      <w:r>
        <w:rPr>
          <w:noProof/>
        </w:rPr>
        <w:drawing>
          <wp:inline distT="0" distB="0" distL="0" distR="0">
            <wp:extent cx="667512" cy="737616"/>
            <wp:effectExtent l="0" t="0" r="0" b="0"/>
            <wp:docPr id="222038" name="Picture 222038"/>
            <wp:cNvGraphicFramePr/>
            <a:graphic xmlns:a="http://schemas.openxmlformats.org/drawingml/2006/main">
              <a:graphicData uri="http://schemas.openxmlformats.org/drawingml/2006/picture">
                <pic:pic xmlns:pic="http://schemas.openxmlformats.org/drawingml/2006/picture">
                  <pic:nvPicPr>
                    <pic:cNvPr id="222038" name="Picture 222038"/>
                    <pic:cNvPicPr/>
                  </pic:nvPicPr>
                  <pic:blipFill>
                    <a:blip r:embed="rId252"/>
                    <a:stretch>
                      <a:fillRect/>
                    </a:stretch>
                  </pic:blipFill>
                  <pic:spPr>
                    <a:xfrm>
                      <a:off x="0" y="0"/>
                      <a:ext cx="667512" cy="737616"/>
                    </a:xfrm>
                    <a:prstGeom prst="rect">
                      <a:avLst/>
                    </a:prstGeom>
                  </pic:spPr>
                </pic:pic>
              </a:graphicData>
            </a:graphic>
          </wp:inline>
        </w:drawing>
      </w:r>
    </w:p>
    <w:p w:rsidR="00EE13F6" w:rsidRDefault="002E5BC4">
      <w:pPr>
        <w:spacing w:after="135" w:line="264" w:lineRule="auto"/>
        <w:ind w:left="-5" w:right="468" w:hanging="10"/>
        <w:jc w:val="both"/>
      </w:pPr>
      <w:r>
        <w:rPr>
          <w:rFonts w:ascii="Cambria" w:eastAsia="Cambria" w:hAnsi="Cambria" w:cs="Cambria"/>
        </w:rPr>
        <w:t>.</w:t>
      </w:r>
    </w:p>
    <w:p w:rsidR="00EE13F6" w:rsidRDefault="002E5BC4">
      <w:pPr>
        <w:spacing w:after="0" w:line="264" w:lineRule="auto"/>
        <w:ind w:left="-5" w:right="468" w:hanging="10"/>
        <w:jc w:val="both"/>
      </w:pPr>
      <w:r>
        <w:rPr>
          <w:rFonts w:ascii="Cambria" w:eastAsia="Cambria" w:hAnsi="Cambria" w:cs="Cambria"/>
        </w:rPr>
        <w:t>Figure 5: Short Term Reaction of the Expected Theoretical Share Price for an Optimal Capital Structure Depending Upon Spread and Leverage</w:t>
      </w:r>
    </w:p>
    <w:p w:rsidR="00EE13F6" w:rsidRDefault="002E5BC4">
      <w:pPr>
        <w:spacing w:after="744"/>
        <w:ind w:left="664"/>
      </w:pPr>
      <w:r>
        <w:rPr>
          <w:noProof/>
        </w:rPr>
        <w:lastRenderedPageBreak/>
        <mc:AlternateContent>
          <mc:Choice Requires="wpg">
            <w:drawing>
              <wp:inline distT="0" distB="0" distL="0" distR="0">
                <wp:extent cx="5103257" cy="1877998"/>
                <wp:effectExtent l="0" t="0" r="0" b="0"/>
                <wp:docPr id="207203" name="Group 207203"/>
                <wp:cNvGraphicFramePr/>
                <a:graphic xmlns:a="http://schemas.openxmlformats.org/drawingml/2006/main">
                  <a:graphicData uri="http://schemas.microsoft.com/office/word/2010/wordprocessingGroup">
                    <wpg:wgp>
                      <wpg:cNvGrpSpPr/>
                      <wpg:grpSpPr>
                        <a:xfrm>
                          <a:off x="0" y="0"/>
                          <a:ext cx="5103257" cy="1877998"/>
                          <a:chOff x="0" y="0"/>
                          <a:chExt cx="5103257" cy="1877998"/>
                        </a:xfrm>
                      </wpg:grpSpPr>
                      <wps:wsp>
                        <wps:cNvPr id="21872" name="Shape 21872"/>
                        <wps:cNvSpPr/>
                        <wps:spPr>
                          <a:xfrm>
                            <a:off x="187800" y="1559555"/>
                            <a:ext cx="4817474" cy="0"/>
                          </a:xfrm>
                          <a:custGeom>
                            <a:avLst/>
                            <a:gdLst/>
                            <a:ahLst/>
                            <a:cxnLst/>
                            <a:rect l="0" t="0" r="0" b="0"/>
                            <a:pathLst>
                              <a:path w="4817474">
                                <a:moveTo>
                                  <a:pt x="0" y="0"/>
                                </a:moveTo>
                                <a:lnTo>
                                  <a:pt x="4817474" y="0"/>
                                </a:lnTo>
                              </a:path>
                            </a:pathLst>
                          </a:custGeom>
                          <a:ln w="8165" cap="flat">
                            <a:round/>
                          </a:ln>
                        </wps:spPr>
                        <wps:style>
                          <a:lnRef idx="1">
                            <a:srgbClr val="D9D9D9"/>
                          </a:lnRef>
                          <a:fillRef idx="0">
                            <a:srgbClr val="000000">
                              <a:alpha val="0"/>
                            </a:srgbClr>
                          </a:fillRef>
                          <a:effectRef idx="0">
                            <a:scrgbClr r="0" g="0" b="0"/>
                          </a:effectRef>
                          <a:fontRef idx="none"/>
                        </wps:style>
                        <wps:bodyPr/>
                      </wps:wsp>
                      <wps:wsp>
                        <wps:cNvPr id="21873" name="Shape 21873"/>
                        <wps:cNvSpPr/>
                        <wps:spPr>
                          <a:xfrm>
                            <a:off x="187800" y="1379921"/>
                            <a:ext cx="4817474" cy="0"/>
                          </a:xfrm>
                          <a:custGeom>
                            <a:avLst/>
                            <a:gdLst/>
                            <a:ahLst/>
                            <a:cxnLst/>
                            <a:rect l="0" t="0" r="0" b="0"/>
                            <a:pathLst>
                              <a:path w="4817474">
                                <a:moveTo>
                                  <a:pt x="0" y="0"/>
                                </a:moveTo>
                                <a:lnTo>
                                  <a:pt x="4817474" y="0"/>
                                </a:lnTo>
                              </a:path>
                            </a:pathLst>
                          </a:custGeom>
                          <a:ln w="8165" cap="flat">
                            <a:round/>
                          </a:ln>
                        </wps:spPr>
                        <wps:style>
                          <a:lnRef idx="1">
                            <a:srgbClr val="D9D9D9"/>
                          </a:lnRef>
                          <a:fillRef idx="0">
                            <a:srgbClr val="000000">
                              <a:alpha val="0"/>
                            </a:srgbClr>
                          </a:fillRef>
                          <a:effectRef idx="0">
                            <a:scrgbClr r="0" g="0" b="0"/>
                          </a:effectRef>
                          <a:fontRef idx="none"/>
                        </wps:style>
                        <wps:bodyPr/>
                      </wps:wsp>
                      <wps:wsp>
                        <wps:cNvPr id="21874" name="Shape 21874"/>
                        <wps:cNvSpPr/>
                        <wps:spPr>
                          <a:xfrm>
                            <a:off x="187800" y="1192121"/>
                            <a:ext cx="4817474" cy="0"/>
                          </a:xfrm>
                          <a:custGeom>
                            <a:avLst/>
                            <a:gdLst/>
                            <a:ahLst/>
                            <a:cxnLst/>
                            <a:rect l="0" t="0" r="0" b="0"/>
                            <a:pathLst>
                              <a:path w="4817474">
                                <a:moveTo>
                                  <a:pt x="0" y="0"/>
                                </a:moveTo>
                                <a:lnTo>
                                  <a:pt x="4817474" y="0"/>
                                </a:lnTo>
                              </a:path>
                            </a:pathLst>
                          </a:custGeom>
                          <a:ln w="8165" cap="flat">
                            <a:round/>
                          </a:ln>
                        </wps:spPr>
                        <wps:style>
                          <a:lnRef idx="1">
                            <a:srgbClr val="D9D9D9"/>
                          </a:lnRef>
                          <a:fillRef idx="0">
                            <a:srgbClr val="000000">
                              <a:alpha val="0"/>
                            </a:srgbClr>
                          </a:fillRef>
                          <a:effectRef idx="0">
                            <a:scrgbClr r="0" g="0" b="0"/>
                          </a:effectRef>
                          <a:fontRef idx="none"/>
                        </wps:style>
                        <wps:bodyPr/>
                      </wps:wsp>
                      <wps:wsp>
                        <wps:cNvPr id="21875" name="Shape 21875"/>
                        <wps:cNvSpPr/>
                        <wps:spPr>
                          <a:xfrm>
                            <a:off x="187800" y="1012486"/>
                            <a:ext cx="4817474" cy="0"/>
                          </a:xfrm>
                          <a:custGeom>
                            <a:avLst/>
                            <a:gdLst/>
                            <a:ahLst/>
                            <a:cxnLst/>
                            <a:rect l="0" t="0" r="0" b="0"/>
                            <a:pathLst>
                              <a:path w="4817474">
                                <a:moveTo>
                                  <a:pt x="0" y="0"/>
                                </a:moveTo>
                                <a:lnTo>
                                  <a:pt x="4817474" y="0"/>
                                </a:lnTo>
                              </a:path>
                            </a:pathLst>
                          </a:custGeom>
                          <a:ln w="8165" cap="flat">
                            <a:round/>
                          </a:ln>
                        </wps:spPr>
                        <wps:style>
                          <a:lnRef idx="1">
                            <a:srgbClr val="D9D9D9"/>
                          </a:lnRef>
                          <a:fillRef idx="0">
                            <a:srgbClr val="000000">
                              <a:alpha val="0"/>
                            </a:srgbClr>
                          </a:fillRef>
                          <a:effectRef idx="0">
                            <a:scrgbClr r="0" g="0" b="0"/>
                          </a:effectRef>
                          <a:fontRef idx="none"/>
                        </wps:style>
                        <wps:bodyPr/>
                      </wps:wsp>
                      <wps:wsp>
                        <wps:cNvPr id="21876" name="Shape 21876"/>
                        <wps:cNvSpPr/>
                        <wps:spPr>
                          <a:xfrm>
                            <a:off x="187800" y="832852"/>
                            <a:ext cx="4817474" cy="0"/>
                          </a:xfrm>
                          <a:custGeom>
                            <a:avLst/>
                            <a:gdLst/>
                            <a:ahLst/>
                            <a:cxnLst/>
                            <a:rect l="0" t="0" r="0" b="0"/>
                            <a:pathLst>
                              <a:path w="4817474">
                                <a:moveTo>
                                  <a:pt x="0" y="0"/>
                                </a:moveTo>
                                <a:lnTo>
                                  <a:pt x="4817474" y="0"/>
                                </a:lnTo>
                              </a:path>
                            </a:pathLst>
                          </a:custGeom>
                          <a:ln w="8165" cap="flat">
                            <a:round/>
                          </a:ln>
                        </wps:spPr>
                        <wps:style>
                          <a:lnRef idx="1">
                            <a:srgbClr val="D9D9D9"/>
                          </a:lnRef>
                          <a:fillRef idx="0">
                            <a:srgbClr val="000000">
                              <a:alpha val="0"/>
                            </a:srgbClr>
                          </a:fillRef>
                          <a:effectRef idx="0">
                            <a:scrgbClr r="0" g="0" b="0"/>
                          </a:effectRef>
                          <a:fontRef idx="none"/>
                        </wps:style>
                        <wps:bodyPr/>
                      </wps:wsp>
                      <wps:wsp>
                        <wps:cNvPr id="21877" name="Shape 21877"/>
                        <wps:cNvSpPr/>
                        <wps:spPr>
                          <a:xfrm>
                            <a:off x="187800" y="653217"/>
                            <a:ext cx="4817474" cy="0"/>
                          </a:xfrm>
                          <a:custGeom>
                            <a:avLst/>
                            <a:gdLst/>
                            <a:ahLst/>
                            <a:cxnLst/>
                            <a:rect l="0" t="0" r="0" b="0"/>
                            <a:pathLst>
                              <a:path w="4817474">
                                <a:moveTo>
                                  <a:pt x="0" y="0"/>
                                </a:moveTo>
                                <a:lnTo>
                                  <a:pt x="4817474" y="0"/>
                                </a:lnTo>
                              </a:path>
                            </a:pathLst>
                          </a:custGeom>
                          <a:ln w="8165" cap="flat">
                            <a:round/>
                          </a:ln>
                        </wps:spPr>
                        <wps:style>
                          <a:lnRef idx="1">
                            <a:srgbClr val="D9D9D9"/>
                          </a:lnRef>
                          <a:fillRef idx="0">
                            <a:srgbClr val="000000">
                              <a:alpha val="0"/>
                            </a:srgbClr>
                          </a:fillRef>
                          <a:effectRef idx="0">
                            <a:scrgbClr r="0" g="0" b="0"/>
                          </a:effectRef>
                          <a:fontRef idx="none"/>
                        </wps:style>
                        <wps:bodyPr/>
                      </wps:wsp>
                      <wps:wsp>
                        <wps:cNvPr id="21878" name="Shape 21878"/>
                        <wps:cNvSpPr/>
                        <wps:spPr>
                          <a:xfrm>
                            <a:off x="187800" y="473582"/>
                            <a:ext cx="4817474" cy="1"/>
                          </a:xfrm>
                          <a:custGeom>
                            <a:avLst/>
                            <a:gdLst/>
                            <a:ahLst/>
                            <a:cxnLst/>
                            <a:rect l="0" t="0" r="0" b="0"/>
                            <a:pathLst>
                              <a:path w="4817474" h="1">
                                <a:moveTo>
                                  <a:pt x="0" y="0"/>
                                </a:moveTo>
                                <a:lnTo>
                                  <a:pt x="4817474" y="1"/>
                                </a:lnTo>
                              </a:path>
                            </a:pathLst>
                          </a:custGeom>
                          <a:ln w="8165" cap="flat">
                            <a:round/>
                          </a:ln>
                        </wps:spPr>
                        <wps:style>
                          <a:lnRef idx="1">
                            <a:srgbClr val="D9D9D9"/>
                          </a:lnRef>
                          <a:fillRef idx="0">
                            <a:srgbClr val="000000">
                              <a:alpha val="0"/>
                            </a:srgbClr>
                          </a:fillRef>
                          <a:effectRef idx="0">
                            <a:scrgbClr r="0" g="0" b="0"/>
                          </a:effectRef>
                          <a:fontRef idx="none"/>
                        </wps:style>
                        <wps:bodyPr/>
                      </wps:wsp>
                      <wps:wsp>
                        <wps:cNvPr id="21879" name="Shape 21879"/>
                        <wps:cNvSpPr/>
                        <wps:spPr>
                          <a:xfrm>
                            <a:off x="485830" y="649134"/>
                            <a:ext cx="4213249" cy="685878"/>
                          </a:xfrm>
                          <a:custGeom>
                            <a:avLst/>
                            <a:gdLst/>
                            <a:ahLst/>
                            <a:cxnLst/>
                            <a:rect l="0" t="0" r="0" b="0"/>
                            <a:pathLst>
                              <a:path w="4213249" h="685878">
                                <a:moveTo>
                                  <a:pt x="0" y="0"/>
                                </a:moveTo>
                                <a:lnTo>
                                  <a:pt x="604226" y="97983"/>
                                </a:lnTo>
                                <a:lnTo>
                                  <a:pt x="1208451" y="204130"/>
                                </a:lnTo>
                                <a:lnTo>
                                  <a:pt x="1804512" y="318443"/>
                                </a:lnTo>
                                <a:lnTo>
                                  <a:pt x="2408737" y="416426"/>
                                </a:lnTo>
                                <a:lnTo>
                                  <a:pt x="3012963" y="514408"/>
                                </a:lnTo>
                                <a:lnTo>
                                  <a:pt x="3609023" y="604226"/>
                                </a:lnTo>
                                <a:lnTo>
                                  <a:pt x="4213249" y="685878"/>
                                </a:lnTo>
                              </a:path>
                            </a:pathLst>
                          </a:custGeom>
                          <a:ln w="16330" cap="rnd">
                            <a:round/>
                          </a:ln>
                        </wps:spPr>
                        <wps:style>
                          <a:lnRef idx="1">
                            <a:srgbClr val="5B9BD5"/>
                          </a:lnRef>
                          <a:fillRef idx="0">
                            <a:srgbClr val="000000">
                              <a:alpha val="0"/>
                            </a:srgbClr>
                          </a:fillRef>
                          <a:effectRef idx="0">
                            <a:scrgbClr r="0" g="0" b="0"/>
                          </a:effectRef>
                          <a:fontRef idx="none"/>
                        </wps:style>
                        <wps:bodyPr/>
                      </wps:wsp>
                      <wps:wsp>
                        <wps:cNvPr id="21880" name="Shape 21880"/>
                        <wps:cNvSpPr/>
                        <wps:spPr>
                          <a:xfrm>
                            <a:off x="485830" y="649134"/>
                            <a:ext cx="4213249" cy="759365"/>
                          </a:xfrm>
                          <a:custGeom>
                            <a:avLst/>
                            <a:gdLst/>
                            <a:ahLst/>
                            <a:cxnLst/>
                            <a:rect l="0" t="0" r="0" b="0"/>
                            <a:pathLst>
                              <a:path w="4213249" h="759365">
                                <a:moveTo>
                                  <a:pt x="0" y="0"/>
                                </a:moveTo>
                                <a:lnTo>
                                  <a:pt x="604226" y="106148"/>
                                </a:lnTo>
                                <a:lnTo>
                                  <a:pt x="1208451" y="220461"/>
                                </a:lnTo>
                                <a:lnTo>
                                  <a:pt x="1804512" y="334774"/>
                                </a:lnTo>
                                <a:lnTo>
                                  <a:pt x="2408737" y="449087"/>
                                </a:lnTo>
                                <a:lnTo>
                                  <a:pt x="3012963" y="555234"/>
                                </a:lnTo>
                                <a:lnTo>
                                  <a:pt x="3609023" y="661382"/>
                                </a:lnTo>
                                <a:lnTo>
                                  <a:pt x="4213249" y="759365"/>
                                </a:lnTo>
                              </a:path>
                            </a:pathLst>
                          </a:custGeom>
                          <a:ln w="16330" cap="rnd">
                            <a:round/>
                          </a:ln>
                        </wps:spPr>
                        <wps:style>
                          <a:lnRef idx="1">
                            <a:srgbClr val="ED7D31"/>
                          </a:lnRef>
                          <a:fillRef idx="0">
                            <a:srgbClr val="000000">
                              <a:alpha val="0"/>
                            </a:srgbClr>
                          </a:fillRef>
                          <a:effectRef idx="0">
                            <a:scrgbClr r="0" g="0" b="0"/>
                          </a:effectRef>
                          <a:fontRef idx="none"/>
                        </wps:style>
                        <wps:bodyPr/>
                      </wps:wsp>
                      <wps:wsp>
                        <wps:cNvPr id="21881" name="Shape 21881"/>
                        <wps:cNvSpPr/>
                        <wps:spPr>
                          <a:xfrm>
                            <a:off x="485830" y="649134"/>
                            <a:ext cx="4213249" cy="783860"/>
                          </a:xfrm>
                          <a:custGeom>
                            <a:avLst/>
                            <a:gdLst/>
                            <a:ahLst/>
                            <a:cxnLst/>
                            <a:rect l="0" t="0" r="0" b="0"/>
                            <a:pathLst>
                              <a:path w="4213249" h="783860">
                                <a:moveTo>
                                  <a:pt x="0" y="0"/>
                                </a:moveTo>
                                <a:lnTo>
                                  <a:pt x="604226" y="106148"/>
                                </a:lnTo>
                                <a:lnTo>
                                  <a:pt x="1208451" y="220461"/>
                                </a:lnTo>
                                <a:lnTo>
                                  <a:pt x="1804512" y="351104"/>
                                </a:lnTo>
                                <a:lnTo>
                                  <a:pt x="2408737" y="449087"/>
                                </a:lnTo>
                                <a:lnTo>
                                  <a:pt x="3012963" y="563400"/>
                                </a:lnTo>
                                <a:lnTo>
                                  <a:pt x="3609023" y="669547"/>
                                </a:lnTo>
                                <a:lnTo>
                                  <a:pt x="4213249" y="783860"/>
                                </a:lnTo>
                              </a:path>
                            </a:pathLst>
                          </a:custGeom>
                          <a:ln w="16330" cap="rnd">
                            <a:round/>
                          </a:ln>
                        </wps:spPr>
                        <wps:style>
                          <a:lnRef idx="1">
                            <a:srgbClr val="A4A4A4"/>
                          </a:lnRef>
                          <a:fillRef idx="0">
                            <a:srgbClr val="000000">
                              <a:alpha val="0"/>
                            </a:srgbClr>
                          </a:fillRef>
                          <a:effectRef idx="0">
                            <a:scrgbClr r="0" g="0" b="0"/>
                          </a:effectRef>
                          <a:fontRef idx="none"/>
                        </wps:style>
                        <wps:bodyPr/>
                      </wps:wsp>
                      <wps:wsp>
                        <wps:cNvPr id="21882" name="Shape 21882"/>
                        <wps:cNvSpPr/>
                        <wps:spPr>
                          <a:xfrm>
                            <a:off x="485830" y="649134"/>
                            <a:ext cx="4213249" cy="726704"/>
                          </a:xfrm>
                          <a:custGeom>
                            <a:avLst/>
                            <a:gdLst/>
                            <a:ahLst/>
                            <a:cxnLst/>
                            <a:rect l="0" t="0" r="0" b="0"/>
                            <a:pathLst>
                              <a:path w="4213249" h="726704">
                                <a:moveTo>
                                  <a:pt x="0" y="0"/>
                                </a:moveTo>
                                <a:lnTo>
                                  <a:pt x="604226" y="97983"/>
                                </a:lnTo>
                                <a:lnTo>
                                  <a:pt x="1208451" y="204130"/>
                                </a:lnTo>
                                <a:lnTo>
                                  <a:pt x="1804512" y="302113"/>
                                </a:lnTo>
                                <a:lnTo>
                                  <a:pt x="2408737" y="408261"/>
                                </a:lnTo>
                                <a:lnTo>
                                  <a:pt x="3012963" y="514408"/>
                                </a:lnTo>
                                <a:lnTo>
                                  <a:pt x="3609023" y="620556"/>
                                </a:lnTo>
                                <a:lnTo>
                                  <a:pt x="4213249" y="726704"/>
                                </a:lnTo>
                              </a:path>
                            </a:pathLst>
                          </a:custGeom>
                          <a:ln w="16330" cap="rnd">
                            <a:round/>
                          </a:ln>
                        </wps:spPr>
                        <wps:style>
                          <a:lnRef idx="1">
                            <a:srgbClr val="FFC000"/>
                          </a:lnRef>
                          <a:fillRef idx="0">
                            <a:srgbClr val="000000">
                              <a:alpha val="0"/>
                            </a:srgbClr>
                          </a:fillRef>
                          <a:effectRef idx="0">
                            <a:scrgbClr r="0" g="0" b="0"/>
                          </a:effectRef>
                          <a:fontRef idx="none"/>
                        </wps:style>
                        <wps:bodyPr/>
                      </wps:wsp>
                      <wps:wsp>
                        <wps:cNvPr id="21883" name="Rectangle 21883"/>
                        <wps:cNvSpPr/>
                        <wps:spPr>
                          <a:xfrm>
                            <a:off x="57157" y="1514094"/>
                            <a:ext cx="32547" cy="108237"/>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21884" name="Rectangle 21884"/>
                        <wps:cNvSpPr/>
                        <wps:spPr>
                          <a:xfrm>
                            <a:off x="81652" y="1514094"/>
                            <a:ext cx="48869" cy="108237"/>
                          </a:xfrm>
                          <a:prstGeom prst="rect">
                            <a:avLst/>
                          </a:prstGeom>
                          <a:ln>
                            <a:noFill/>
                          </a:ln>
                        </wps:spPr>
                        <wps:txbx>
                          <w:txbxContent>
                            <w:p w:rsidR="00EE13F6" w:rsidRDefault="002E5BC4">
                              <w:r>
                                <w:rPr>
                                  <w:rFonts w:ascii="Times New Roman" w:eastAsia="Times New Roman" w:hAnsi="Times New Roman" w:cs="Times New Roman"/>
                                  <w:color w:val="585858"/>
                                  <w:sz w:val="12"/>
                                </w:rPr>
                                <w:t>6</w:t>
                              </w:r>
                            </w:p>
                          </w:txbxContent>
                        </wps:txbx>
                        <wps:bodyPr horzOverflow="overflow" vert="horz" lIns="0" tIns="0" rIns="0" bIns="0" rtlCol="0">
                          <a:noAutofit/>
                        </wps:bodyPr>
                      </wps:wsp>
                      <wps:wsp>
                        <wps:cNvPr id="21885" name="Rectangle 21885"/>
                        <wps:cNvSpPr/>
                        <wps:spPr>
                          <a:xfrm>
                            <a:off x="57157" y="1333854"/>
                            <a:ext cx="32547" cy="108237"/>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21886" name="Rectangle 21886"/>
                        <wps:cNvSpPr/>
                        <wps:spPr>
                          <a:xfrm>
                            <a:off x="81652" y="1333854"/>
                            <a:ext cx="48869" cy="108237"/>
                          </a:xfrm>
                          <a:prstGeom prst="rect">
                            <a:avLst/>
                          </a:prstGeom>
                          <a:ln>
                            <a:noFill/>
                          </a:ln>
                        </wps:spPr>
                        <wps:txbx>
                          <w:txbxContent>
                            <w:p w:rsidR="00EE13F6" w:rsidRDefault="002E5BC4">
                              <w:r>
                                <w:rPr>
                                  <w:rFonts w:ascii="Times New Roman" w:eastAsia="Times New Roman" w:hAnsi="Times New Roman" w:cs="Times New Roman"/>
                                  <w:color w:val="585858"/>
                                  <w:sz w:val="12"/>
                                </w:rPr>
                                <w:t>5</w:t>
                              </w:r>
                            </w:p>
                          </w:txbxContent>
                        </wps:txbx>
                        <wps:bodyPr horzOverflow="overflow" vert="horz" lIns="0" tIns="0" rIns="0" bIns="0" rtlCol="0">
                          <a:noAutofit/>
                        </wps:bodyPr>
                      </wps:wsp>
                      <wps:wsp>
                        <wps:cNvPr id="21887" name="Rectangle 21887"/>
                        <wps:cNvSpPr/>
                        <wps:spPr>
                          <a:xfrm>
                            <a:off x="57157" y="1153614"/>
                            <a:ext cx="32547" cy="108238"/>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21888" name="Rectangle 21888"/>
                        <wps:cNvSpPr/>
                        <wps:spPr>
                          <a:xfrm>
                            <a:off x="81652" y="1153614"/>
                            <a:ext cx="48869" cy="108238"/>
                          </a:xfrm>
                          <a:prstGeom prst="rect">
                            <a:avLst/>
                          </a:prstGeom>
                          <a:ln>
                            <a:noFill/>
                          </a:ln>
                        </wps:spPr>
                        <wps:txbx>
                          <w:txbxContent>
                            <w:p w:rsidR="00EE13F6" w:rsidRDefault="002E5BC4">
                              <w:r>
                                <w:rPr>
                                  <w:rFonts w:ascii="Times New Roman" w:eastAsia="Times New Roman" w:hAnsi="Times New Roman" w:cs="Times New Roman"/>
                                  <w:color w:val="585858"/>
                                  <w:sz w:val="12"/>
                                </w:rPr>
                                <w:t>4</w:t>
                              </w:r>
                            </w:p>
                          </w:txbxContent>
                        </wps:txbx>
                        <wps:bodyPr horzOverflow="overflow" vert="horz" lIns="0" tIns="0" rIns="0" bIns="0" rtlCol="0">
                          <a:noAutofit/>
                        </wps:bodyPr>
                      </wps:wsp>
                      <wps:wsp>
                        <wps:cNvPr id="21889" name="Rectangle 21889"/>
                        <wps:cNvSpPr/>
                        <wps:spPr>
                          <a:xfrm>
                            <a:off x="57157" y="973373"/>
                            <a:ext cx="32547" cy="108237"/>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21890" name="Rectangle 21890"/>
                        <wps:cNvSpPr/>
                        <wps:spPr>
                          <a:xfrm>
                            <a:off x="81652" y="973373"/>
                            <a:ext cx="48869" cy="108237"/>
                          </a:xfrm>
                          <a:prstGeom prst="rect">
                            <a:avLst/>
                          </a:prstGeom>
                          <a:ln>
                            <a:noFill/>
                          </a:ln>
                        </wps:spPr>
                        <wps:txbx>
                          <w:txbxContent>
                            <w:p w:rsidR="00EE13F6" w:rsidRDefault="002E5BC4">
                              <w:r>
                                <w:rPr>
                                  <w:rFonts w:ascii="Times New Roman" w:eastAsia="Times New Roman" w:hAnsi="Times New Roman" w:cs="Times New Roman"/>
                                  <w:color w:val="585858"/>
                                  <w:sz w:val="12"/>
                                </w:rPr>
                                <w:t>3</w:t>
                              </w:r>
                            </w:p>
                          </w:txbxContent>
                        </wps:txbx>
                        <wps:bodyPr horzOverflow="overflow" vert="horz" lIns="0" tIns="0" rIns="0" bIns="0" rtlCol="0">
                          <a:noAutofit/>
                        </wps:bodyPr>
                      </wps:wsp>
                      <wps:wsp>
                        <wps:cNvPr id="21891" name="Rectangle 21891"/>
                        <wps:cNvSpPr/>
                        <wps:spPr>
                          <a:xfrm>
                            <a:off x="57157" y="793133"/>
                            <a:ext cx="32547" cy="108237"/>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21892" name="Rectangle 21892"/>
                        <wps:cNvSpPr/>
                        <wps:spPr>
                          <a:xfrm>
                            <a:off x="81652" y="793133"/>
                            <a:ext cx="48869" cy="108237"/>
                          </a:xfrm>
                          <a:prstGeom prst="rect">
                            <a:avLst/>
                          </a:prstGeom>
                          <a:ln>
                            <a:noFill/>
                          </a:ln>
                        </wps:spPr>
                        <wps:txbx>
                          <w:txbxContent>
                            <w:p w:rsidR="00EE13F6" w:rsidRDefault="002E5BC4">
                              <w:r>
                                <w:rPr>
                                  <w:rFonts w:ascii="Times New Roman" w:eastAsia="Times New Roman" w:hAnsi="Times New Roman" w:cs="Times New Roman"/>
                                  <w:color w:val="585858"/>
                                  <w:sz w:val="12"/>
                                </w:rPr>
                                <w:t>2</w:t>
                              </w:r>
                            </w:p>
                          </w:txbxContent>
                        </wps:txbx>
                        <wps:bodyPr horzOverflow="overflow" vert="horz" lIns="0" tIns="0" rIns="0" bIns="0" rtlCol="0">
                          <a:noAutofit/>
                        </wps:bodyPr>
                      </wps:wsp>
                      <wps:wsp>
                        <wps:cNvPr id="21893" name="Rectangle 21893"/>
                        <wps:cNvSpPr/>
                        <wps:spPr>
                          <a:xfrm>
                            <a:off x="57157" y="612894"/>
                            <a:ext cx="32547" cy="108237"/>
                          </a:xfrm>
                          <a:prstGeom prst="rect">
                            <a:avLst/>
                          </a:prstGeom>
                          <a:ln>
                            <a:noFill/>
                          </a:ln>
                        </wps:spPr>
                        <wps:txbx>
                          <w:txbxContent>
                            <w:p w:rsidR="00EE13F6" w:rsidRDefault="002E5BC4">
                              <w:r>
                                <w:rPr>
                                  <w:rFonts w:ascii="Times New Roman" w:eastAsia="Times New Roman" w:hAnsi="Times New Roman" w:cs="Times New Roman"/>
                                  <w:color w:val="585858"/>
                                  <w:sz w:val="12"/>
                                </w:rPr>
                                <w:t>-</w:t>
                              </w:r>
                            </w:p>
                          </w:txbxContent>
                        </wps:txbx>
                        <wps:bodyPr horzOverflow="overflow" vert="horz" lIns="0" tIns="0" rIns="0" bIns="0" rtlCol="0">
                          <a:noAutofit/>
                        </wps:bodyPr>
                      </wps:wsp>
                      <wps:wsp>
                        <wps:cNvPr id="21894" name="Rectangle 21894"/>
                        <wps:cNvSpPr/>
                        <wps:spPr>
                          <a:xfrm>
                            <a:off x="81652" y="612894"/>
                            <a:ext cx="48869" cy="108237"/>
                          </a:xfrm>
                          <a:prstGeom prst="rect">
                            <a:avLst/>
                          </a:prstGeom>
                          <a:ln>
                            <a:noFill/>
                          </a:ln>
                        </wps:spPr>
                        <wps:txbx>
                          <w:txbxContent>
                            <w:p w:rsidR="00EE13F6" w:rsidRDefault="002E5BC4">
                              <w:r>
                                <w:rPr>
                                  <w:rFonts w:ascii="Times New Roman" w:eastAsia="Times New Roman" w:hAnsi="Times New Roman" w:cs="Times New Roman"/>
                                  <w:color w:val="585858"/>
                                  <w:sz w:val="12"/>
                                </w:rPr>
                                <w:t>1</w:t>
                              </w:r>
                            </w:p>
                          </w:txbxContent>
                        </wps:txbx>
                        <wps:bodyPr horzOverflow="overflow" vert="horz" lIns="0" tIns="0" rIns="0" bIns="0" rtlCol="0">
                          <a:noAutofit/>
                        </wps:bodyPr>
                      </wps:wsp>
                      <wps:wsp>
                        <wps:cNvPr id="21895" name="Rectangle 21895"/>
                        <wps:cNvSpPr/>
                        <wps:spPr>
                          <a:xfrm>
                            <a:off x="77284" y="433721"/>
                            <a:ext cx="49553" cy="119309"/>
                          </a:xfrm>
                          <a:prstGeom prst="rect">
                            <a:avLst/>
                          </a:prstGeom>
                          <a:ln>
                            <a:noFill/>
                          </a:ln>
                        </wps:spPr>
                        <wps:txbx>
                          <w:txbxContent>
                            <w:p w:rsidR="00EE13F6" w:rsidRDefault="002E5BC4">
                              <w:r>
                                <w:rPr>
                                  <w:color w:val="585858"/>
                                  <w:sz w:val="12"/>
                                </w:rPr>
                                <w:t>0</w:t>
                              </w:r>
                            </w:p>
                          </w:txbxContent>
                        </wps:txbx>
                        <wps:bodyPr horzOverflow="overflow" vert="horz" lIns="0" tIns="0" rIns="0" bIns="0" rtlCol="0">
                          <a:noAutofit/>
                        </wps:bodyPr>
                      </wps:wsp>
                      <wps:wsp>
                        <wps:cNvPr id="21896" name="Rectangle 21896"/>
                        <wps:cNvSpPr/>
                        <wps:spPr>
                          <a:xfrm>
                            <a:off x="325365" y="525219"/>
                            <a:ext cx="431375" cy="119308"/>
                          </a:xfrm>
                          <a:prstGeom prst="rect">
                            <a:avLst/>
                          </a:prstGeom>
                          <a:ln>
                            <a:noFill/>
                          </a:ln>
                        </wps:spPr>
                        <wps:txbx>
                          <w:txbxContent>
                            <w:p w:rsidR="00EE13F6" w:rsidRDefault="002E5BC4">
                              <w:r>
                                <w:rPr>
                                  <w:color w:val="585858"/>
                                  <w:sz w:val="12"/>
                                </w:rPr>
                                <w:t>Spr=50</w:t>
                              </w:r>
                              <w:r>
                                <w:rPr>
                                  <w:color w:val="585858"/>
                                  <w:sz w:val="12"/>
                                </w:rPr>
                                <w:tab/>
                                <w:t>b.p</w:t>
                              </w:r>
                            </w:p>
                          </w:txbxContent>
                        </wps:txbx>
                        <wps:bodyPr horzOverflow="overflow" vert="horz" lIns="0" tIns="0" rIns="0" bIns="0" rtlCol="0">
                          <a:noAutofit/>
                        </wps:bodyPr>
                      </wps:wsp>
                      <wps:wsp>
                        <wps:cNvPr id="21897" name="Rectangle 21897"/>
                        <wps:cNvSpPr/>
                        <wps:spPr>
                          <a:xfrm>
                            <a:off x="902703" y="525219"/>
                            <a:ext cx="485658" cy="119308"/>
                          </a:xfrm>
                          <a:prstGeom prst="rect">
                            <a:avLst/>
                          </a:prstGeom>
                          <a:ln>
                            <a:noFill/>
                          </a:ln>
                        </wps:spPr>
                        <wps:txbx>
                          <w:txbxContent>
                            <w:p w:rsidR="00EE13F6" w:rsidRDefault="002E5BC4">
                              <w:r>
                                <w:rPr>
                                  <w:color w:val="585858"/>
                                  <w:sz w:val="12"/>
                                </w:rPr>
                                <w:t>Spr=100</w:t>
                              </w:r>
                              <w:r>
                                <w:rPr>
                                  <w:color w:val="585858"/>
                                  <w:sz w:val="12"/>
                                </w:rPr>
                                <w:tab/>
                                <w:t>b.p</w:t>
                              </w:r>
                            </w:p>
                          </w:txbxContent>
                        </wps:txbx>
                        <wps:bodyPr horzOverflow="overflow" vert="horz" lIns="0" tIns="0" rIns="0" bIns="0" rtlCol="0">
                          <a:noAutofit/>
                        </wps:bodyPr>
                      </wps:wsp>
                      <wps:wsp>
                        <wps:cNvPr id="21898" name="Rectangle 21898"/>
                        <wps:cNvSpPr/>
                        <wps:spPr>
                          <a:xfrm>
                            <a:off x="1504536" y="525219"/>
                            <a:ext cx="485658" cy="119308"/>
                          </a:xfrm>
                          <a:prstGeom prst="rect">
                            <a:avLst/>
                          </a:prstGeom>
                          <a:ln>
                            <a:noFill/>
                          </a:ln>
                        </wps:spPr>
                        <wps:txbx>
                          <w:txbxContent>
                            <w:p w:rsidR="00EE13F6" w:rsidRDefault="002E5BC4">
                              <w:r>
                                <w:rPr>
                                  <w:color w:val="585858"/>
                                  <w:sz w:val="12"/>
                                </w:rPr>
                                <w:t>Spr=150</w:t>
                              </w:r>
                              <w:r>
                                <w:rPr>
                                  <w:color w:val="585858"/>
                                  <w:sz w:val="12"/>
                                </w:rPr>
                                <w:tab/>
                                <w:t>b.p</w:t>
                              </w:r>
                            </w:p>
                          </w:txbxContent>
                        </wps:txbx>
                        <wps:bodyPr horzOverflow="overflow" vert="horz" lIns="0" tIns="0" rIns="0" bIns="0" rtlCol="0">
                          <a:noAutofit/>
                        </wps:bodyPr>
                      </wps:wsp>
                      <wps:wsp>
                        <wps:cNvPr id="21899" name="Rectangle 21899"/>
                        <wps:cNvSpPr/>
                        <wps:spPr>
                          <a:xfrm>
                            <a:off x="2106368" y="525219"/>
                            <a:ext cx="485658" cy="119308"/>
                          </a:xfrm>
                          <a:prstGeom prst="rect">
                            <a:avLst/>
                          </a:prstGeom>
                          <a:ln>
                            <a:noFill/>
                          </a:ln>
                        </wps:spPr>
                        <wps:txbx>
                          <w:txbxContent>
                            <w:p w:rsidR="00EE13F6" w:rsidRDefault="002E5BC4">
                              <w:r>
                                <w:rPr>
                                  <w:color w:val="585858"/>
                                  <w:sz w:val="12"/>
                                </w:rPr>
                                <w:t>Spr=200</w:t>
                              </w:r>
                              <w:r>
                                <w:rPr>
                                  <w:color w:val="585858"/>
                                  <w:sz w:val="12"/>
                                </w:rPr>
                                <w:tab/>
                                <w:t>b.p</w:t>
                              </w:r>
                            </w:p>
                          </w:txbxContent>
                        </wps:txbx>
                        <wps:bodyPr horzOverflow="overflow" vert="horz" lIns="0" tIns="0" rIns="0" bIns="0" rtlCol="0">
                          <a:noAutofit/>
                        </wps:bodyPr>
                      </wps:wsp>
                      <wps:wsp>
                        <wps:cNvPr id="21900" name="Rectangle 21900"/>
                        <wps:cNvSpPr/>
                        <wps:spPr>
                          <a:xfrm>
                            <a:off x="2708201" y="525219"/>
                            <a:ext cx="485658" cy="119308"/>
                          </a:xfrm>
                          <a:prstGeom prst="rect">
                            <a:avLst/>
                          </a:prstGeom>
                          <a:ln>
                            <a:noFill/>
                          </a:ln>
                        </wps:spPr>
                        <wps:txbx>
                          <w:txbxContent>
                            <w:p w:rsidR="00EE13F6" w:rsidRDefault="002E5BC4">
                              <w:r>
                                <w:rPr>
                                  <w:color w:val="585858"/>
                                  <w:sz w:val="12"/>
                                </w:rPr>
                                <w:t>Spr=250</w:t>
                              </w:r>
                              <w:r>
                                <w:rPr>
                                  <w:color w:val="585858"/>
                                  <w:sz w:val="12"/>
                                </w:rPr>
                                <w:tab/>
                                <w:t>b.p</w:t>
                              </w:r>
                            </w:p>
                          </w:txbxContent>
                        </wps:txbx>
                        <wps:bodyPr horzOverflow="overflow" vert="horz" lIns="0" tIns="0" rIns="0" bIns="0" rtlCol="0">
                          <a:noAutofit/>
                        </wps:bodyPr>
                      </wps:wsp>
                      <wps:wsp>
                        <wps:cNvPr id="21901" name="Rectangle 21901"/>
                        <wps:cNvSpPr/>
                        <wps:spPr>
                          <a:xfrm>
                            <a:off x="3310035" y="525219"/>
                            <a:ext cx="485658" cy="119308"/>
                          </a:xfrm>
                          <a:prstGeom prst="rect">
                            <a:avLst/>
                          </a:prstGeom>
                          <a:ln>
                            <a:noFill/>
                          </a:ln>
                        </wps:spPr>
                        <wps:txbx>
                          <w:txbxContent>
                            <w:p w:rsidR="00EE13F6" w:rsidRDefault="002E5BC4">
                              <w:r>
                                <w:rPr>
                                  <w:color w:val="585858"/>
                                  <w:sz w:val="12"/>
                                </w:rPr>
                                <w:t>Spr=300</w:t>
                              </w:r>
                              <w:r>
                                <w:rPr>
                                  <w:color w:val="585858"/>
                                  <w:sz w:val="12"/>
                                </w:rPr>
                                <w:tab/>
                                <w:t>b.p</w:t>
                              </w:r>
                            </w:p>
                          </w:txbxContent>
                        </wps:txbx>
                        <wps:bodyPr horzOverflow="overflow" vert="horz" lIns="0" tIns="0" rIns="0" bIns="0" rtlCol="0">
                          <a:noAutofit/>
                        </wps:bodyPr>
                      </wps:wsp>
                      <wps:wsp>
                        <wps:cNvPr id="21902" name="Rectangle 21902"/>
                        <wps:cNvSpPr/>
                        <wps:spPr>
                          <a:xfrm>
                            <a:off x="3911868" y="525219"/>
                            <a:ext cx="485658" cy="119308"/>
                          </a:xfrm>
                          <a:prstGeom prst="rect">
                            <a:avLst/>
                          </a:prstGeom>
                          <a:ln>
                            <a:noFill/>
                          </a:ln>
                        </wps:spPr>
                        <wps:txbx>
                          <w:txbxContent>
                            <w:p w:rsidR="00EE13F6" w:rsidRDefault="002E5BC4">
                              <w:r>
                                <w:rPr>
                                  <w:color w:val="585858"/>
                                  <w:sz w:val="12"/>
                                </w:rPr>
                                <w:t>Spr=350</w:t>
                              </w:r>
                              <w:r>
                                <w:rPr>
                                  <w:color w:val="585858"/>
                                  <w:sz w:val="12"/>
                                </w:rPr>
                                <w:tab/>
                                <w:t>b.p</w:t>
                              </w:r>
                            </w:p>
                          </w:txbxContent>
                        </wps:txbx>
                        <wps:bodyPr horzOverflow="overflow" vert="horz" lIns="0" tIns="0" rIns="0" bIns="0" rtlCol="0">
                          <a:noAutofit/>
                        </wps:bodyPr>
                      </wps:wsp>
                      <wps:wsp>
                        <wps:cNvPr id="21903" name="Rectangle 21903"/>
                        <wps:cNvSpPr/>
                        <wps:spPr>
                          <a:xfrm>
                            <a:off x="4513701" y="525219"/>
                            <a:ext cx="485658" cy="119308"/>
                          </a:xfrm>
                          <a:prstGeom prst="rect">
                            <a:avLst/>
                          </a:prstGeom>
                          <a:ln>
                            <a:noFill/>
                          </a:ln>
                        </wps:spPr>
                        <wps:txbx>
                          <w:txbxContent>
                            <w:p w:rsidR="00EE13F6" w:rsidRDefault="002E5BC4">
                              <w:r>
                                <w:rPr>
                                  <w:color w:val="585858"/>
                                  <w:sz w:val="12"/>
                                </w:rPr>
                                <w:t>Spr=400</w:t>
                              </w:r>
                              <w:r>
                                <w:rPr>
                                  <w:color w:val="585858"/>
                                  <w:sz w:val="12"/>
                                </w:rPr>
                                <w:tab/>
                                <w:t>b.p</w:t>
                              </w:r>
                            </w:p>
                          </w:txbxContent>
                        </wps:txbx>
                        <wps:bodyPr horzOverflow="overflow" vert="horz" lIns="0" tIns="0" rIns="0" bIns="0" rtlCol="0">
                          <a:noAutofit/>
                        </wps:bodyPr>
                      </wps:wsp>
                      <wps:wsp>
                        <wps:cNvPr id="21904" name="Rectangle 21904"/>
                        <wps:cNvSpPr/>
                        <wps:spPr>
                          <a:xfrm>
                            <a:off x="863797" y="113016"/>
                            <a:ext cx="4768465" cy="185591"/>
                          </a:xfrm>
                          <a:prstGeom prst="rect">
                            <a:avLst/>
                          </a:prstGeom>
                          <a:ln>
                            <a:noFill/>
                          </a:ln>
                        </wps:spPr>
                        <wps:txbx>
                          <w:txbxContent>
                            <w:p w:rsidR="00EE13F6" w:rsidRDefault="002E5BC4">
                              <w:r>
                                <w:rPr>
                                  <w:b/>
                                  <w:color w:val="585858"/>
                                  <w:sz w:val="18"/>
                                </w:rPr>
                                <w:t>Short</w:t>
                              </w:r>
                              <w:r>
                                <w:rPr>
                                  <w:b/>
                                  <w:color w:val="585858"/>
                                  <w:sz w:val="18"/>
                                </w:rPr>
                                <w:tab/>
                                <w:t>Term</w:t>
                              </w:r>
                              <w:r>
                                <w:rPr>
                                  <w:b/>
                                  <w:color w:val="585858"/>
                                  <w:sz w:val="18"/>
                                </w:rPr>
                                <w:tab/>
                                <w:t>Impact</w:t>
                              </w:r>
                              <w:r>
                                <w:rPr>
                                  <w:b/>
                                  <w:color w:val="585858"/>
                                  <w:sz w:val="18"/>
                                </w:rPr>
                                <w:tab/>
                                <w:t>on</w:t>
                              </w:r>
                              <w:r>
                                <w:rPr>
                                  <w:b/>
                                  <w:color w:val="585858"/>
                                  <w:sz w:val="18"/>
                                </w:rPr>
                                <w:tab/>
                                <w:t>Theoretical</w:t>
                              </w:r>
                              <w:r>
                                <w:rPr>
                                  <w:b/>
                                  <w:color w:val="585858"/>
                                  <w:sz w:val="18"/>
                                </w:rPr>
                                <w:tab/>
                                <w:t>Equity</w:t>
                              </w:r>
                              <w:r>
                                <w:rPr>
                                  <w:b/>
                                  <w:color w:val="585858"/>
                                  <w:sz w:val="18"/>
                                </w:rPr>
                                <w:tab/>
                                <w:t>Share</w:t>
                              </w:r>
                              <w:r>
                                <w:rPr>
                                  <w:b/>
                                  <w:color w:val="585858"/>
                                  <w:sz w:val="18"/>
                                </w:rPr>
                                <w:tab/>
                                <w:t>Price</w:t>
                              </w:r>
                              <w:r>
                                <w:rPr>
                                  <w:b/>
                                  <w:color w:val="585858"/>
                                  <w:sz w:val="18"/>
                                </w:rPr>
                                <w:tab/>
                                <w:t>for</w:t>
                              </w:r>
                              <w:r>
                                <w:rPr>
                                  <w:b/>
                                  <w:color w:val="585858"/>
                                  <w:sz w:val="18"/>
                                </w:rPr>
                                <w:tab/>
                                <w:t>Optimum</w:t>
                              </w:r>
                              <w:r>
                                <w:rPr>
                                  <w:b/>
                                  <w:color w:val="585858"/>
                                  <w:sz w:val="18"/>
                                </w:rPr>
                                <w:tab/>
                                <w:t>Leverage</w:t>
                              </w:r>
                              <w:r>
                                <w:rPr>
                                  <w:b/>
                                  <w:color w:val="585858"/>
                                  <w:sz w:val="18"/>
                                </w:rPr>
                                <w:tab/>
                              </w:r>
                            </w:p>
                          </w:txbxContent>
                        </wps:txbx>
                        <wps:bodyPr horzOverflow="overflow" vert="horz" lIns="0" tIns="0" rIns="0" bIns="0" rtlCol="0">
                          <a:noAutofit/>
                        </wps:bodyPr>
                      </wps:wsp>
                      <wps:wsp>
                        <wps:cNvPr id="21905" name="Rectangle 21905"/>
                        <wps:cNvSpPr/>
                        <wps:spPr>
                          <a:xfrm>
                            <a:off x="1574170" y="251825"/>
                            <a:ext cx="2829394" cy="185591"/>
                          </a:xfrm>
                          <a:prstGeom prst="rect">
                            <a:avLst/>
                          </a:prstGeom>
                          <a:ln>
                            <a:noFill/>
                          </a:ln>
                        </wps:spPr>
                        <wps:txbx>
                          <w:txbxContent>
                            <w:p w:rsidR="00EE13F6" w:rsidRDefault="002E5BC4">
                              <w:r>
                                <w:rPr>
                                  <w:b/>
                                  <w:color w:val="585858"/>
                                  <w:sz w:val="18"/>
                                </w:rPr>
                                <w:t>Depending</w:t>
                              </w:r>
                              <w:r>
                                <w:rPr>
                                  <w:b/>
                                  <w:color w:val="585858"/>
                                  <w:sz w:val="18"/>
                                </w:rPr>
                                <w:tab/>
                                <w:t>Upon</w:t>
                              </w:r>
                              <w:r>
                                <w:rPr>
                                  <w:b/>
                                  <w:color w:val="585858"/>
                                  <w:sz w:val="18"/>
                                </w:rPr>
                                <w:tab/>
                                <w:t>Maturity</w:t>
                              </w:r>
                              <w:r>
                                <w:rPr>
                                  <w:b/>
                                  <w:color w:val="585858"/>
                                  <w:sz w:val="18"/>
                                </w:rPr>
                                <w:tab/>
                                <w:t>and</w:t>
                              </w:r>
                              <w:r>
                                <w:rPr>
                                  <w:b/>
                                  <w:color w:val="585858"/>
                                  <w:sz w:val="18"/>
                                </w:rPr>
                                <w:tab/>
                                <w:t>Credit</w:t>
                              </w:r>
                              <w:r>
                                <w:rPr>
                                  <w:b/>
                                  <w:color w:val="585858"/>
                                  <w:sz w:val="18"/>
                                </w:rPr>
                                <w:tab/>
                                <w:t>Spread</w:t>
                              </w:r>
                            </w:p>
                          </w:txbxContent>
                        </wps:txbx>
                        <wps:bodyPr horzOverflow="overflow" vert="horz" lIns="0" tIns="0" rIns="0" bIns="0" rtlCol="0">
                          <a:noAutofit/>
                        </wps:bodyPr>
                      </wps:wsp>
                      <wps:wsp>
                        <wps:cNvPr id="21906" name="Shape 21906"/>
                        <wps:cNvSpPr/>
                        <wps:spPr>
                          <a:xfrm>
                            <a:off x="1833090" y="1743273"/>
                            <a:ext cx="155139" cy="1"/>
                          </a:xfrm>
                          <a:custGeom>
                            <a:avLst/>
                            <a:gdLst/>
                            <a:ahLst/>
                            <a:cxnLst/>
                            <a:rect l="0" t="0" r="0" b="0"/>
                            <a:pathLst>
                              <a:path w="155139" h="1">
                                <a:moveTo>
                                  <a:pt x="0" y="0"/>
                                </a:moveTo>
                                <a:lnTo>
                                  <a:pt x="155139" y="1"/>
                                </a:lnTo>
                              </a:path>
                            </a:pathLst>
                          </a:custGeom>
                          <a:ln w="16330" cap="rnd">
                            <a:round/>
                          </a:ln>
                        </wps:spPr>
                        <wps:style>
                          <a:lnRef idx="1">
                            <a:srgbClr val="5B9BD5"/>
                          </a:lnRef>
                          <a:fillRef idx="0">
                            <a:srgbClr val="000000">
                              <a:alpha val="0"/>
                            </a:srgbClr>
                          </a:fillRef>
                          <a:effectRef idx="0">
                            <a:scrgbClr r="0" g="0" b="0"/>
                          </a:effectRef>
                          <a:fontRef idx="none"/>
                        </wps:style>
                        <wps:bodyPr/>
                      </wps:wsp>
                      <wps:wsp>
                        <wps:cNvPr id="21907" name="Rectangle 21907"/>
                        <wps:cNvSpPr/>
                        <wps:spPr>
                          <a:xfrm>
                            <a:off x="2006659" y="1698369"/>
                            <a:ext cx="136422" cy="119308"/>
                          </a:xfrm>
                          <a:prstGeom prst="rect">
                            <a:avLst/>
                          </a:prstGeom>
                          <a:ln>
                            <a:noFill/>
                          </a:ln>
                        </wps:spPr>
                        <wps:txbx>
                          <w:txbxContent>
                            <w:p w:rsidR="00EE13F6" w:rsidRDefault="002E5BC4">
                              <w:r>
                                <w:rPr>
                                  <w:color w:val="585858"/>
                                  <w:sz w:val="12"/>
                                </w:rPr>
                                <w:t>T=5</w:t>
                              </w:r>
                            </w:p>
                          </w:txbxContent>
                        </wps:txbx>
                        <wps:bodyPr horzOverflow="overflow" vert="horz" lIns="0" tIns="0" rIns="0" bIns="0" rtlCol="0">
                          <a:noAutofit/>
                        </wps:bodyPr>
                      </wps:wsp>
                      <wps:wsp>
                        <wps:cNvPr id="21908" name="Shape 21908"/>
                        <wps:cNvSpPr/>
                        <wps:spPr>
                          <a:xfrm>
                            <a:off x="2192359" y="1743273"/>
                            <a:ext cx="155139" cy="1"/>
                          </a:xfrm>
                          <a:custGeom>
                            <a:avLst/>
                            <a:gdLst/>
                            <a:ahLst/>
                            <a:cxnLst/>
                            <a:rect l="0" t="0" r="0" b="0"/>
                            <a:pathLst>
                              <a:path w="155139" h="1">
                                <a:moveTo>
                                  <a:pt x="0" y="0"/>
                                </a:moveTo>
                                <a:lnTo>
                                  <a:pt x="155139" y="1"/>
                                </a:lnTo>
                              </a:path>
                            </a:pathLst>
                          </a:custGeom>
                          <a:ln w="16330" cap="rnd">
                            <a:round/>
                          </a:ln>
                        </wps:spPr>
                        <wps:style>
                          <a:lnRef idx="1">
                            <a:srgbClr val="ED7D31"/>
                          </a:lnRef>
                          <a:fillRef idx="0">
                            <a:srgbClr val="000000">
                              <a:alpha val="0"/>
                            </a:srgbClr>
                          </a:fillRef>
                          <a:effectRef idx="0">
                            <a:scrgbClr r="0" g="0" b="0"/>
                          </a:effectRef>
                          <a:fontRef idx="none"/>
                        </wps:style>
                        <wps:bodyPr/>
                      </wps:wsp>
                      <wps:wsp>
                        <wps:cNvPr id="21909" name="Rectangle 21909"/>
                        <wps:cNvSpPr/>
                        <wps:spPr>
                          <a:xfrm>
                            <a:off x="2365603" y="1698369"/>
                            <a:ext cx="190706" cy="119308"/>
                          </a:xfrm>
                          <a:prstGeom prst="rect">
                            <a:avLst/>
                          </a:prstGeom>
                          <a:ln>
                            <a:noFill/>
                          </a:ln>
                        </wps:spPr>
                        <wps:txbx>
                          <w:txbxContent>
                            <w:p w:rsidR="00EE13F6" w:rsidRDefault="002E5BC4">
                              <w:r>
                                <w:rPr>
                                  <w:color w:val="585858"/>
                                  <w:sz w:val="12"/>
                                </w:rPr>
                                <w:t>T=10</w:t>
                              </w:r>
                            </w:p>
                          </w:txbxContent>
                        </wps:txbx>
                        <wps:bodyPr horzOverflow="overflow" vert="horz" lIns="0" tIns="0" rIns="0" bIns="0" rtlCol="0">
                          <a:noAutofit/>
                        </wps:bodyPr>
                      </wps:wsp>
                      <wps:wsp>
                        <wps:cNvPr id="21910" name="Shape 21910"/>
                        <wps:cNvSpPr/>
                        <wps:spPr>
                          <a:xfrm>
                            <a:off x="2592455" y="1743273"/>
                            <a:ext cx="155139" cy="1"/>
                          </a:xfrm>
                          <a:custGeom>
                            <a:avLst/>
                            <a:gdLst/>
                            <a:ahLst/>
                            <a:cxnLst/>
                            <a:rect l="0" t="0" r="0" b="0"/>
                            <a:pathLst>
                              <a:path w="155139" h="1">
                                <a:moveTo>
                                  <a:pt x="0" y="0"/>
                                </a:moveTo>
                                <a:lnTo>
                                  <a:pt x="155139" y="1"/>
                                </a:lnTo>
                              </a:path>
                            </a:pathLst>
                          </a:custGeom>
                          <a:ln w="16330" cap="rnd">
                            <a:round/>
                          </a:ln>
                        </wps:spPr>
                        <wps:style>
                          <a:lnRef idx="1">
                            <a:srgbClr val="A4A4A4"/>
                          </a:lnRef>
                          <a:fillRef idx="0">
                            <a:srgbClr val="000000">
                              <a:alpha val="0"/>
                            </a:srgbClr>
                          </a:fillRef>
                          <a:effectRef idx="0">
                            <a:scrgbClr r="0" g="0" b="0"/>
                          </a:effectRef>
                          <a:fontRef idx="none"/>
                        </wps:style>
                        <wps:bodyPr/>
                      </wps:wsp>
                      <wps:wsp>
                        <wps:cNvPr id="21911" name="Rectangle 21911"/>
                        <wps:cNvSpPr/>
                        <wps:spPr>
                          <a:xfrm>
                            <a:off x="2761780" y="1698369"/>
                            <a:ext cx="190706" cy="119308"/>
                          </a:xfrm>
                          <a:prstGeom prst="rect">
                            <a:avLst/>
                          </a:prstGeom>
                          <a:ln>
                            <a:noFill/>
                          </a:ln>
                        </wps:spPr>
                        <wps:txbx>
                          <w:txbxContent>
                            <w:p w:rsidR="00EE13F6" w:rsidRDefault="002E5BC4">
                              <w:r>
                                <w:rPr>
                                  <w:color w:val="585858"/>
                                  <w:sz w:val="12"/>
                                </w:rPr>
                                <w:t>T=15</w:t>
                              </w:r>
                            </w:p>
                          </w:txbxContent>
                        </wps:txbx>
                        <wps:bodyPr horzOverflow="overflow" vert="horz" lIns="0" tIns="0" rIns="0" bIns="0" rtlCol="0">
                          <a:noAutofit/>
                        </wps:bodyPr>
                      </wps:wsp>
                      <wps:wsp>
                        <wps:cNvPr id="21912" name="Shape 21912"/>
                        <wps:cNvSpPr/>
                        <wps:spPr>
                          <a:xfrm>
                            <a:off x="2984385" y="1743273"/>
                            <a:ext cx="155139" cy="1"/>
                          </a:xfrm>
                          <a:custGeom>
                            <a:avLst/>
                            <a:gdLst/>
                            <a:ahLst/>
                            <a:cxnLst/>
                            <a:rect l="0" t="0" r="0" b="0"/>
                            <a:pathLst>
                              <a:path w="155139" h="1">
                                <a:moveTo>
                                  <a:pt x="0" y="0"/>
                                </a:moveTo>
                                <a:lnTo>
                                  <a:pt x="155139" y="1"/>
                                </a:lnTo>
                              </a:path>
                            </a:pathLst>
                          </a:custGeom>
                          <a:ln w="16330" cap="rnd">
                            <a:round/>
                          </a:ln>
                        </wps:spPr>
                        <wps:style>
                          <a:lnRef idx="1">
                            <a:srgbClr val="FFC000"/>
                          </a:lnRef>
                          <a:fillRef idx="0">
                            <a:srgbClr val="000000">
                              <a:alpha val="0"/>
                            </a:srgbClr>
                          </a:fillRef>
                          <a:effectRef idx="0">
                            <a:scrgbClr r="0" g="0" b="0"/>
                          </a:effectRef>
                          <a:fontRef idx="none"/>
                        </wps:style>
                        <wps:bodyPr/>
                      </wps:wsp>
                      <wps:wsp>
                        <wps:cNvPr id="21913" name="Rectangle 21913"/>
                        <wps:cNvSpPr/>
                        <wps:spPr>
                          <a:xfrm>
                            <a:off x="3157957" y="1698369"/>
                            <a:ext cx="190706" cy="119308"/>
                          </a:xfrm>
                          <a:prstGeom prst="rect">
                            <a:avLst/>
                          </a:prstGeom>
                          <a:ln>
                            <a:noFill/>
                          </a:ln>
                        </wps:spPr>
                        <wps:txbx>
                          <w:txbxContent>
                            <w:p w:rsidR="00EE13F6" w:rsidRDefault="002E5BC4">
                              <w:r>
                                <w:rPr>
                                  <w:color w:val="585858"/>
                                  <w:sz w:val="12"/>
                                </w:rPr>
                                <w:t>T=20</w:t>
                              </w:r>
                            </w:p>
                          </w:txbxContent>
                        </wps:txbx>
                        <wps:bodyPr horzOverflow="overflow" vert="horz" lIns="0" tIns="0" rIns="0" bIns="0" rtlCol="0">
                          <a:noAutofit/>
                        </wps:bodyPr>
                      </wps:wsp>
                      <wps:wsp>
                        <wps:cNvPr id="21914" name="Shape 21914"/>
                        <wps:cNvSpPr/>
                        <wps:spPr>
                          <a:xfrm>
                            <a:off x="0" y="0"/>
                            <a:ext cx="5103257" cy="1877998"/>
                          </a:xfrm>
                          <a:custGeom>
                            <a:avLst/>
                            <a:gdLst/>
                            <a:ahLst/>
                            <a:cxnLst/>
                            <a:rect l="0" t="0" r="0" b="0"/>
                            <a:pathLst>
                              <a:path w="5103257" h="1877998">
                                <a:moveTo>
                                  <a:pt x="0" y="0"/>
                                </a:moveTo>
                                <a:lnTo>
                                  <a:pt x="5103257" y="0"/>
                                </a:lnTo>
                                <a:lnTo>
                                  <a:pt x="5103257" y="1877998"/>
                                </a:lnTo>
                                <a:lnTo>
                                  <a:pt x="0" y="1877998"/>
                                </a:lnTo>
                                <a:close/>
                              </a:path>
                            </a:pathLst>
                          </a:custGeom>
                          <a:ln w="816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207203" o:spid="_x0000_s1684" style="width:401.85pt;height:147.85pt;mso-position-horizontal-relative:char;mso-position-vertical-relative:line" coordsize="51032,1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">
                <v:shape id="Shape 21872" o:spid="_x0000_s1685" style="position:absolute;left:1878;top:15595;width:48174;height:0;visibility:visible;mso-wrap-style:square;v-text-anchor:top" coordsize="48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FssUA&#10;AADeAAAADwAAAGRycy9kb3ducmV2LnhtbESP0WoCMRRE3wv+Q7hCX4pmd4WtrEYpLUKfCtp+wO3m&#10;ulnc3GyTVNO/bwTBx2FmzjDrbbKDOJMPvWMF5bwAQdw63XOn4OtzN1uCCBFZ4+CYFPxRgO1m8rDG&#10;RrsL7+l8iJ3IEA4NKjAxjo2UoTVkMczdSJy9o/MWY5a+k9rjJcPtIKuiqKXFnvOCwZFeDbWnw69V&#10;kMJYf9cdL8oUORm/+Ph52z0p9ThNLysQkVK8h2/td62gKpfPFVzv5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AWyxQAAAN4AAAAPAAAAAAAAAAAAAAAAAJgCAABkcnMv&#10;ZG93bnJldi54bWxQSwUGAAAAAAQABAD1AAAAigMAAAAA&#10;" path="m,l4817474,e" filled="f" strokecolor="#d9d9d9" strokeweight=".22681mm">
                  <v:path arrowok="t" textboxrect="0,0,4817474,0"/>
                </v:shape>
                <v:shape id="Shape 21873" o:spid="_x0000_s1686" style="position:absolute;left:1878;top:13799;width:48174;height:0;visibility:visible;mso-wrap-style:square;v-text-anchor:top" coordsize="48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gKcUA&#10;AADeAAAADwAAAGRycy9kb3ducmV2LnhtbESP0WoCMRRE3wX/IVyhL6LZdWErq1FKi9CngrYfcLu5&#10;bhY3N9sk1fTvm0LBx2FmzjDbfbKDuJIPvWMF5bIAQdw63XOn4OP9sFiDCBFZ4+CYFPxQgP1uOtli&#10;o92Nj3Q9xU5kCIcGFZgYx0bK0BqyGJZuJM7e2XmLMUvfSe3xluF2kKuiqKXFnvOCwZGeDbWX07dV&#10;kMJYf9YdV2WKnIyv3r5eDnOlHmbpaQMiUor38H/7VStYlevHCv7u5Cs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KApxQAAAN4AAAAPAAAAAAAAAAAAAAAAAJgCAABkcnMv&#10;ZG93bnJldi54bWxQSwUGAAAAAAQABAD1AAAAigMAAAAA&#10;" path="m,l4817474,e" filled="f" strokecolor="#d9d9d9" strokeweight=".22681mm">
                  <v:path arrowok="t" textboxrect="0,0,4817474,0"/>
                </v:shape>
                <v:shape id="Shape 21874" o:spid="_x0000_s1687" style="position:absolute;left:1878;top:11921;width:48174;height:0;visibility:visible;mso-wrap-style:square;v-text-anchor:top" coordsize="48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4XcUA&#10;AADeAAAADwAAAGRycy9kb3ducmV2LnhtbESP0WoCMRRE3wv+Q7iFvhTNrpatrEYRi9AnodoPuG6u&#10;m6WbmzVJNf37Rij0cZiZM8xynWwvruRD51hBOSlAEDdOd9wq+DzuxnMQISJr7B2Tgh8KsF6NHpZY&#10;a3fjD7oeYisyhEONCkyMQy1laAxZDBM3EGfv7LzFmKVvpfZ4y3Dby2lRVNJix3nB4EBbQ83X4dsq&#10;SGGoTlXLszJFTsbP9pe33bNST49pswARKcX/8F/7XSuYlvPXF7jfy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ThdxQAAAN4AAAAPAAAAAAAAAAAAAAAAAJgCAABkcnMv&#10;ZG93bnJldi54bWxQSwUGAAAAAAQABAD1AAAAigMAAAAA&#10;" path="m,l4817474,e" filled="f" strokecolor="#d9d9d9" strokeweight=".22681mm">
                  <v:path arrowok="t" textboxrect="0,0,4817474,0"/>
                </v:shape>
                <v:shape id="Shape 21875" o:spid="_x0000_s1688" style="position:absolute;left:1878;top:10124;width:48174;height:0;visibility:visible;mso-wrap-style:square;v-text-anchor:top" coordsize="48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dxsUA&#10;AADeAAAADwAAAGRycy9kb3ducmV2LnhtbESP0WoCMRRE3wv+Q7iFvhTNrtKtrEYRi9AnodoPuG6u&#10;m6WbmzVJNf37Rij0cZiZM8xynWwvruRD51hBOSlAEDdOd9wq+DzuxnMQISJr7B2Tgh8KsF6NHpZY&#10;a3fjD7oeYisyhEONCkyMQy1laAxZDBM3EGfv7LzFmKVvpfZ4y3Dby2lRVNJix3nB4EBbQ83X4dsq&#10;SGGoTlXLszJFTsbP9pe33bNST49pswARKcX/8F/7XSuYlvPXF7jfy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Z3GxQAAAN4AAAAPAAAAAAAAAAAAAAAAAJgCAABkcnMv&#10;ZG93bnJldi54bWxQSwUGAAAAAAQABAD1AAAAigMAAAAA&#10;" path="m,l4817474,e" filled="f" strokecolor="#d9d9d9" strokeweight=".22681mm">
                  <v:path arrowok="t" textboxrect="0,0,4817474,0"/>
                </v:shape>
                <v:shape id="Shape 21876" o:spid="_x0000_s1689" style="position:absolute;left:1878;top:8328;width:48174;height:0;visibility:visible;mso-wrap-style:square;v-text-anchor:top" coordsize="48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DscQA&#10;AADeAAAADwAAAGRycy9kb3ducmV2LnhtbESP0WoCMRRE3wv9h3ALfSmaXYWtrEYRi+BTQdsPuN1c&#10;N4ubmzWJGv++KRR8HGbmDLNYJduLK/nQOVZQjgsQxI3THbcKvr+2oxmIEJE19o5JwZ0CrJbPTwus&#10;tbvxnq6H2IoM4VCjAhPjUEsZGkMWw9gNxNk7Om8xZulbqT3eMtz2clIUlbTYcV4wONDGUHM6XKyC&#10;FIbqp2p5WqbIyfjp5/lj+6bU60taz0FESvER/m/vtIJJOXuv4O9Ov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A7HEAAAA3gAAAA8AAAAAAAAAAAAAAAAAmAIAAGRycy9k&#10;b3ducmV2LnhtbFBLBQYAAAAABAAEAPUAAACJAwAAAAA=&#10;" path="m,l4817474,e" filled="f" strokecolor="#d9d9d9" strokeweight=".22681mm">
                  <v:path arrowok="t" textboxrect="0,0,4817474,0"/>
                </v:shape>
                <v:shape id="Shape 21877" o:spid="_x0000_s1690" style="position:absolute;left:1878;top:6532;width:48174;height:0;visibility:visible;mso-wrap-style:square;v-text-anchor:top" coordsize="4817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mKsQA&#10;AADeAAAADwAAAGRycy9kb3ducmV2LnhtbESP0WoCMRRE3wv+Q7hCX4pmV2GV1SilRehTQe0H3G6u&#10;m8XNzTZJNf37RhB8HGbmDLPeJtuLC/nQOVZQTgsQxI3THbcKvo67yRJEiMgae8ek4I8CbDejpzXW&#10;2l15T5dDbEWGcKhRgYlxqKUMjSGLYeoG4uydnLcYs/St1B6vGW57OSuKSlrsOC8YHOjNUHM+/FoF&#10;KQzVd9XyvEyRk/Hzz5/33YtSz+P0ugIRKcVH+N7+0Apm5XKxgNudfA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pirEAAAA3gAAAA8AAAAAAAAAAAAAAAAAmAIAAGRycy9k&#10;b3ducmV2LnhtbFBLBQYAAAAABAAEAPUAAACJAwAAAAA=&#10;" path="m,l4817474,e" filled="f" strokecolor="#d9d9d9" strokeweight=".22681mm">
                  <v:path arrowok="t" textboxrect="0,0,4817474,0"/>
                </v:shape>
                <v:shape id="Shape 21878" o:spid="_x0000_s1691" style="position:absolute;left:1878;top:4735;width:48174;height:0;visibility:visible;mso-wrap-style:square;v-text-anchor:top" coordsize="48174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XmsQA&#10;AADeAAAADwAAAGRycy9kb3ducmV2LnhtbERPPU/DMBDdkfofrENio05CVKoQpypVKzHA0AL7KT7i&#10;QHwOttsGfj0eKjE+ve96NdlBnMiH3rGCfJ6BIG6d7rlT8Pa6u12CCBFZ4+CYFPxQgFUzu6qx0u7M&#10;ezodYidSCIcKFZgYx0rK0BqyGOZuJE7ch/MWY4K+k9rjOYXbQRZZtpAWe04NBkfaGGq/Dker4FPf&#10;FY8vv2X+/u23cv9cTm4sjVI319P6AUSkKf6LL+4nraDIl/dpb7qTroB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Yl5rEAAAA3gAAAA8AAAAAAAAAAAAAAAAAmAIAAGRycy9k&#10;b3ducmV2LnhtbFBLBQYAAAAABAAEAPUAAACJAwAAAAA=&#10;" path="m,l4817474,1e" filled="f" strokecolor="#d9d9d9" strokeweight=".22681mm">
                  <v:path arrowok="t" textboxrect="0,0,4817474,1"/>
                </v:shape>
                <v:shape id="Shape 21879" o:spid="_x0000_s1692" style="position:absolute;left:4858;top:6491;width:42132;height:6859;visibility:visible;mso-wrap-style:square;v-text-anchor:top" coordsize="4213249,68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M8YA&#10;AADeAAAADwAAAGRycy9kb3ducmV2LnhtbESP3WrCQBSE7wu+w3KE3pS6ifgbXUVaA4IgaEuvD9lj&#10;EsyeDbtbTd++KwheDjPzDbNcd6YRV3K+tqwgHSQgiAuray4VfH/l7zMQPiBrbCyTgj/ysF71XpaY&#10;aXvjI11PoRQRwj5DBVUIbSalLyoy6Ae2JY7e2TqDIUpXSu3wFuGmkcMkmUiDNceFClv6qKi4nH6N&#10;gs0+Hdut/XnzqZOf+8MoP+Z1rtRrv9ssQATqwjP8aO+0gmE6m87hfid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gM8YAAADeAAAADwAAAAAAAAAAAAAAAACYAgAAZHJz&#10;L2Rvd25yZXYueG1sUEsFBgAAAAAEAAQA9QAAAIsDAAAAAA==&#10;" path="m,l604226,97983r604225,106147l1804512,318443r604225,97983l3012963,514408r596060,89818l4213249,685878e" filled="f" strokecolor="#5b9bd5" strokeweight=".45361mm">
                  <v:stroke endcap="round"/>
                  <v:path arrowok="t" textboxrect="0,0,4213249,685878"/>
                </v:shape>
                <v:shape id="Shape 21880" o:spid="_x0000_s1693" style="position:absolute;left:4858;top:6491;width:42132;height:7593;visibility:visible;mso-wrap-style:square;v-text-anchor:top" coordsize="4213249,75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Jr8MA&#10;AADeAAAADwAAAGRycy9kb3ducmV2LnhtbESPy4rCMBSG94LvEM6AG7GpLrR0jCLWAVeCF1wfmmPb&#10;meakJhntvP1kIbj8+W98y3VvWvEg5xvLCqZJCoK4tLrhSsHl/DXJQPiArLG1TAr+yMN6NRwsMdf2&#10;yUd6nEIl4gj7HBXUIXS5lL6syaBPbEccvZt1BkOUrpLa4TOOm1bO0nQuDTYcH2rsaFtT+XP6NQqu&#10;rhgz3ovv1iw2t8KkJR12XqnRR7/5BBGoD+/wq73XCmbTLIsAESei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jJr8MAAADeAAAADwAAAAAAAAAAAAAAAACYAgAAZHJzL2Rv&#10;d25yZXYueG1sUEsFBgAAAAAEAAQA9QAAAIgDAAAAAA==&#10;" path="m,l604226,106148r604225,114313l1804512,334774r604225,114313l3012963,555234r596060,106148l4213249,759365e" filled="f" strokecolor="#ed7d31" strokeweight=".45361mm">
                  <v:stroke endcap="round"/>
                  <v:path arrowok="t" textboxrect="0,0,4213249,759365"/>
                </v:shape>
                <v:shape id="Shape 21881" o:spid="_x0000_s1694" style="position:absolute;left:4858;top:6491;width:42132;height:7838;visibility:visible;mso-wrap-style:square;v-text-anchor:top" coordsize="4213249,78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5t5cYA&#10;AADeAAAADwAAAGRycy9kb3ducmV2LnhtbESPT4vCMBTE7wv7HcJb2Nua1oOUapS1ILjWi38OHh/N&#10;s+3avJQkq/XbbwTB4zAzv2Fmi8F04krOt5YVpKMEBHFldcu1guNh9ZWB8AFZY2eZFNzJw2L+/jbD&#10;XNsb7+i6D7WIEPY5KmhC6HMpfdWQQT+yPXH0ztYZDFG6WmqHtwg3nRwnyUQabDkuNNhT0VB12f8Z&#10;BeX5Z1s4f9jeN9mptKVb/hanQanPj+F7CiLQEF7hZ3utFYzTLEvhcSd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5t5cYAAADeAAAADwAAAAAAAAAAAAAAAACYAgAAZHJz&#10;L2Rvd25yZXYueG1sUEsFBgAAAAAEAAQA9QAAAIsDAAAAAA==&#10;" path="m,l604226,106148r604225,114313l1804512,351104r604225,97983l3012963,563400r596060,106147l4213249,783860e" filled="f" strokecolor="#a4a4a4" strokeweight=".45361mm">
                  <v:stroke endcap="round"/>
                  <v:path arrowok="t" textboxrect="0,0,4213249,783860"/>
                </v:shape>
                <v:shape id="Shape 21882" o:spid="_x0000_s1695" style="position:absolute;left:4858;top:6491;width:42132;height:7267;visibility:visible;mso-wrap-style:square;v-text-anchor:top" coordsize="4213249,726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bNsUA&#10;AADeAAAADwAAAGRycy9kb3ducmV2LnhtbESP0WrCQBRE3wX/YbmFvpmNodgQXUXEQn0RavyAS/aa&#10;TZq9G7JrTP++KxT6OMzMGWazm2wnRhp841jBMklBEFdON1wruJYfixyED8gaO8ek4Ic87Lbz2QYL&#10;7R78ReMl1CJC2BeowITQF1L6ypBFn7ieOHo3N1gMUQ611AM+Itx2MkvTlbTYcFww2NPBUPV9uVsF&#10;5Wk1dudjW5s0ewun9r3EfVsq9foy7dcgAk3hP/zX/tQKsmWeZ/C8E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Fs2xQAAAN4AAAAPAAAAAAAAAAAAAAAAAJgCAABkcnMv&#10;ZG93bnJldi54bWxQSwUGAAAAAAQABAD1AAAAigMAAAAA&#10;" path="m,l604226,97983r604225,106147l1804512,302113r604225,106148l3012963,514408r596060,106148l4213249,726704e" filled="f" strokecolor="#ffc000" strokeweight=".45361mm">
                  <v:stroke endcap="round"/>
                  <v:path arrowok="t" textboxrect="0,0,4213249,726704"/>
                </v:shape>
                <v:rect id="Rectangle 21883" o:spid="_x0000_s1696" style="position:absolute;left:571;top:15140;width:326;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Po8cA&#10;AADeAAAADwAAAGRycy9kb3ducmV2LnhtbESPQWvCQBSE7wX/w/KE3upGCyVG1xC0JTm2Kqi3R/aZ&#10;BLNvQ3Zr0v76bqHQ4zAz3zDrdDStuFPvGssK5rMIBHFpdcOVguPh7SkG4TyyxtYyKfgiB+lm8rDG&#10;RNuBP+i+95UIEHYJKqi97xIpXVmTQTezHXHwrrY36IPsK6l7HALctHIRRS/SYMNhocaOtjWVt/2n&#10;UZDHXXYu7PdQta+X/PR+Wu4OS6/U43TMViA8jf4//NcutILFPI6f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ZT6P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21884" o:spid="_x0000_s1697" style="position:absolute;left:816;top:15140;width:489;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X18cA&#10;AADeAAAADwAAAGRycy9kb3ducmV2LnhtbESPQWvCQBSE7wX/w/KE3upGKSVG1xC0JTm2Kqi3R/aZ&#10;BLNvQ3Zr0v76bqHQ4zAz3zDrdDStuFPvGssK5rMIBHFpdcOVguPh7SkG4TyyxtYyKfgiB+lm8rDG&#10;RNuBP+i+95UIEHYJKqi97xIpXVmTQTezHXHwrrY36IPsK6l7HALctHIRRS/SYMNhocaOtjWVt/2n&#10;UZDHXXYu7PdQta+X/PR+Wu4OS6/U43TMViA8jf4//NcutILFPI6f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w19f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6</w:t>
                        </w:r>
                      </w:p>
                    </w:txbxContent>
                  </v:textbox>
                </v:rect>
                <v:rect id="Rectangle 21885" o:spid="_x0000_s1698" style="position:absolute;left:571;top:13338;width:326;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yTMcA&#10;AADeAAAADwAAAGRycy9kb3ducmV2LnhtbESPQWvCQBSE7wX/w/KE3upGoSVG1xC0JTm2Kqi3R/aZ&#10;BLNvQ3Zr0v76bqHQ4zAz3zDrdDStuFPvGssK5rMIBHFpdcOVguPh7SkG4TyyxtYyKfgiB+lm8rDG&#10;RNuBP+i+95UIEHYJKqi97xIpXVmTQTezHXHwrrY36IPsK6l7HALctHIRRS/SYMNhocaOtjWVt/2n&#10;UZDHXXYu7PdQta+X/PR+Wu4OS6/U43TMViA8jf4//NcutILFPI6f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8ckz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21886" o:spid="_x0000_s1699" style="position:absolute;left:816;top:13338;width:489;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sO8YA&#10;AADeAAAADwAAAGRycy9kb3ducmV2LnhtbESPT4vCMBTE78J+h/AWvGmqB6nVKOKu6NE/C+rt0Tzb&#10;YvNSmmirn94Iwh6HmfkNM523phR3ql1hWcGgH4EgTq0uOFPwd1j1YhDOI2ssLZOCBzmYz746U0y0&#10;bXhH973PRICwS1BB7n2VSOnSnAy6vq2Ig3extUEfZJ1JXWMT4KaUwygaSYMFh4UcK1rmlF73N6Ng&#10;HVeL08Y+m6z8Pa+P2+P45zD2SnW/28UEhKfW/4c/7Y1WMBzE8Qj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7sO8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2"/>
                          </w:rPr>
                          <w:t>5</w:t>
                        </w:r>
                      </w:p>
                    </w:txbxContent>
                  </v:textbox>
                </v:rect>
                <v:rect id="Rectangle 21887" o:spid="_x0000_s1700" style="position:absolute;left:571;top:11536;width:326;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JoMcA&#10;AADeAAAADwAAAGRycy9kb3ducmV2LnhtbESPQWvCQBSE7wX/w/KE3upGD22MriFoS3JsVVBvj+wz&#10;CWbfhuzWpP313UKhx2FmvmHW6WhacafeNZYVzGcRCOLS6oYrBcfD21MMwnlkja1lUvBFDtLN5GGN&#10;ibYDf9B97ysRIOwSVFB73yVSurImg25mO+LgXW1v0AfZV1L3OAS4aeUiip6lwYbDQo0dbWsqb/tP&#10;oyCPu+xc2O+hal8v+en9tNwdll6px+mYrUB4Gv1/+K9daAWLeRy/wO+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iSaD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21888" o:spid="_x0000_s1701" style="position:absolute;left:816;top:11536;width:489;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0sQA&#10;AADeAAAADwAAAGRycy9kb3ducmV2LnhtbERPTWuDQBC9B/Iflin0lqzJIajNKqFJiMfWFNLeBneq&#10;UndW3I3a/vruodDj433v89l0YqTBtZYVbNYRCOLK6pZrBW/X8yoG4Tyyxs4yKfgmB3m2XOwx1Xbi&#10;VxpLX4sQwi5FBY33fSqlqxoy6Na2Jw7cpx0M+gCHWuoBpxBuOrmNop002HJoaLCn54aqr/JuFFzi&#10;/vBe2J+p7k4fl9vLLTleE6/U48N8eALhafb/4j93oRVsN3Ec9oY74Qr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93dL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2"/>
                          </w:rPr>
                          <w:t>4</w:t>
                        </w:r>
                      </w:p>
                    </w:txbxContent>
                  </v:textbox>
                </v:rect>
                <v:rect id="Rectangle 21889" o:spid="_x0000_s1702" style="position:absolute;left:571;top:9733;width:326;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4SccA&#10;AADeAAAADwAAAGRycy9kb3ducmV2LnhtbESPQWvCQBSE70L/w/IK3sxGDyVJXUVaxRxbU0h7e2Sf&#10;STD7NmS3JvbXdwsFj8PMfMOst5PpxJUG11pWsIxiEMSV1S3XCj6KwyIB4Tyyxs4yKbiRg+3mYbbG&#10;TNuR3+l68rUIEHYZKmi87zMpXdWQQRfZnjh4ZzsY9EEOtdQDjgFuOrmK4ydpsOWw0GBPLw1Vl9O3&#10;UXBM+t1nbn/Gutt/Hcu3Mn0tUq/U/HHaPYPwNPl7+L+dawWrZZK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xeEn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21890" o:spid="_x0000_s1703" style="position:absolute;left:816;top:9733;width:489;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HCcUA&#10;AADeAAAADwAAAGRycy9kb3ducmV2LnhtbESPzYrCMBSF98K8Q7gD7jTVxdBWo8iMosvRCuru0lzb&#10;YnNTmoyt8/RmIbg8nD+++bI3tbhT6yrLCibjCARxbnXFhYJjthnFIJxH1lhbJgUPcrBcfAzmmGrb&#10;8Z7uB1+IMMIuRQWl900qpctLMujGtiEO3tW2Bn2QbSF1i10YN7WcRtGXNFhxeCixoe+S8tvhzyjY&#10;xs3qvLP/XVGvL9vT7yn5yRKv1PCzX81AeOr9O/xq77SC6SROAk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kcJ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2"/>
                          </w:rPr>
                          <w:t>3</w:t>
                        </w:r>
                      </w:p>
                    </w:txbxContent>
                  </v:textbox>
                </v:rect>
                <v:rect id="Rectangle 21891" o:spid="_x0000_s1704" style="position:absolute;left:571;top:7931;width:326;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ksYA&#10;AADeAAAADwAAAGRycy9kb3ducmV2LnhtbESPQWvCQBSE7wX/w/IEb3UTD5JEVxFt0WOrgnp7ZJ9J&#10;MPs2ZFcT++u7hYLHYWa+YebL3tTiQa2rLCuIxxEI4tzqigsFx8PnewLCeWSNtWVS8CQHy8XgbY6Z&#10;th1/02PvCxEg7DJUUHrfZFK6vCSDbmwb4uBdbWvQB9kWUrfYBbip5SSKptJgxWGhxIbWJeW3/d0o&#10;2CbN6ryzP11Rf1y2p69TujmkXqnRsF/NQHjq/Sv8395pBZM4S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iks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21892" o:spid="_x0000_s1705" style="position:absolute;left:816;top:7931;width:489;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85cYA&#10;AADeAAAADwAAAGRycy9kb3ducmV2LnhtbESPQWvCQBSE7wX/w/IEb3VjDpJEVxFt0WOrgnp7ZJ9J&#10;MPs2ZFcT++u7hYLHYWa+YebL3tTiQa2rLCuYjCMQxLnVFRcKjofP9wSE88gaa8uk4EkOlovB2xwz&#10;bTv+psfeFyJA2GWooPS+yaR0eUkG3dg2xMG72tagD7ItpG6xC3BTyziKptJgxWGhxIbWJeW3/d0o&#10;2CbN6ryzP11Rf1y2p69TujmkXqnRsF/NQHjq/Sv8395pBfEkS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x85c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2"/>
                          </w:rPr>
                          <w:t>2</w:t>
                        </w:r>
                      </w:p>
                    </w:txbxContent>
                  </v:textbox>
                </v:rect>
                <v:rect id="Rectangle 21893" o:spid="_x0000_s1706" style="position:absolute;left:571;top:6128;width:326;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ZfscA&#10;AADeAAAADwAAAGRycy9kb3ducmV2LnhtbESPQWvCQBSE7wX/w/KE3upGhZJEVxGt6LEaQb09ss8k&#10;mH0bsluT9td3hUKPw8x8w8yXvanFg1pXWVYwHkUgiHOrKy4UnLLtWwzCeWSNtWVS8E0OlovByxxT&#10;bTs+0OPoCxEg7FJUUHrfpFK6vCSDbmQb4uDdbGvQB9kWUrfYBbip5SSK3qXBisNCiQ2tS8rvxy+j&#10;YBc3q8ve/nRF/XHdnT/PySZLvFKvw341A+Gp9//hv/ZeK5iM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A2X7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w:t>
                        </w:r>
                      </w:p>
                    </w:txbxContent>
                  </v:textbox>
                </v:rect>
                <v:rect id="Rectangle 21894" o:spid="_x0000_s1707" style="position:absolute;left:816;top:6128;width:489;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lBCscA&#10;AADeAAAADwAAAGRycy9kb3ducmV2LnhtbESPQWvCQBSE7wX/w/KE3upGkZJEVxGt6LEaQb09ss8k&#10;mH0bsluT9td3hUKPw8x8w8yXvanFg1pXWVYwHkUgiHOrKy4UnLLtWwzCeWSNtWVS8E0OlovByxxT&#10;bTs+0OPoCxEg7FJUUHrfpFK6vCSDbmQb4uDdbGvQB9kWUrfYBbip5SSK3qXBisNCiQ2tS8rvxy+j&#10;YBc3q8ve/nRF/XHdnT/PySZLvFKvw341A+Gp9//hv/ZeK5iM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pQQr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2"/>
                          </w:rPr>
                          <w:t>1</w:t>
                        </w:r>
                      </w:p>
                    </w:txbxContent>
                  </v:textbox>
                </v:rect>
                <v:rect id="Rectangle 21895" o:spid="_x0000_s1708" style="position:absolute;left:772;top:4337;width:496;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kkccA&#10;AADeAAAADwAAAGRycy9kb3ducmV2LnhtbESPQWvCQBSE7wX/w/KE3upGwZJEVxGt6LEaQb09ss8k&#10;mH0bsluT9td3hUKPw8x8w8yXvanFg1pXWVYwHkUgiHOrKy4UnLLtWwzCeWSNtWVS8E0OlovByxxT&#10;bTs+0OPoCxEg7FJUUHrfpFK6vCSDbmQb4uDdbGvQB9kWUrfYBbip5SSK3qXBisNCiQ2tS8rvxy+j&#10;YBc3q8ve/nRF/XHdnT/PySZLvFKvw341A+Gp9//hv/ZeK5iM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l5JHHAAAA3gAAAA8AAAAAAAAAAAAAAAAAmAIAAGRy&#10;cy9kb3ducmV2LnhtbFBLBQYAAAAABAAEAPUAAACMAwAAAAA=&#10;" filled="f" stroked="f">
                  <v:textbox inset="0,0,0,0">
                    <w:txbxContent>
                      <w:p w:rsidR="00EE13F6" w:rsidRDefault="002E5BC4">
                        <w:r>
                          <w:rPr>
                            <w:color w:val="585858"/>
                            <w:sz w:val="12"/>
                          </w:rPr>
                          <w:t>0</w:t>
                        </w:r>
                      </w:p>
                    </w:txbxContent>
                  </v:textbox>
                </v:rect>
                <v:rect id="Rectangle 21896" o:spid="_x0000_s1709" style="position:absolute;left:3253;top:5252;width:4314;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65sYA&#10;AADeAAAADwAAAGRycy9kb3ducmV2LnhtbESPT4vCMBTE7wt+h/AEb2uqB2mrUcQ/6NHVBfX2aJ5t&#10;sXkpTbTVT79ZWNjjMDO/YWaLzlTiSY0rLSsYDSMQxJnVJecKvk/bzxiE88gaK8uk4EUOFvPexwxT&#10;bVv+oufR5yJA2KWooPC+TqV0WUEG3dDWxMG72cagD7LJpW6wDXBTyXEUTaTBksNCgTWtCsrux4dR&#10;sIvr5WVv321eba678+GcrE+JV2rQ75ZTEJ46/x/+a++1gvEoTib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d65sYAAADeAAAADwAAAAAAAAAAAAAAAACYAgAAZHJz&#10;L2Rvd25yZXYueG1sUEsFBgAAAAAEAAQA9QAAAIsDAAAAAA==&#10;" filled="f" stroked="f">
                  <v:textbox inset="0,0,0,0">
                    <w:txbxContent>
                      <w:p w:rsidR="00EE13F6" w:rsidRDefault="002E5BC4">
                        <w:r>
                          <w:rPr>
                            <w:color w:val="585858"/>
                            <w:sz w:val="12"/>
                          </w:rPr>
                          <w:t>Spr=50</w:t>
                        </w:r>
                        <w:r>
                          <w:rPr>
                            <w:color w:val="585858"/>
                            <w:sz w:val="12"/>
                          </w:rPr>
                          <w:tab/>
                          <w:t>b.p</w:t>
                        </w:r>
                      </w:p>
                    </w:txbxContent>
                  </v:textbox>
                </v:rect>
                <v:rect id="Rectangle 21897" o:spid="_x0000_s1710" style="position:absolute;left:9027;top:5252;width:4856;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ffccA&#10;AADeAAAADwAAAGRycy9kb3ducmV2LnhtbESPQWvCQBSE7wX/w/KE3upGDzaJriJa0WM1gnp7ZJ9J&#10;MPs2ZLcm7a/vCoUeh5n5hpkve1OLB7WusqxgPIpAEOdWV1woOGXbtxiE88gaa8uk4JscLBeDlzmm&#10;2nZ8oMfRFyJA2KWooPS+SaV0eUkG3cg2xMG72dagD7ItpG6xC3BTy0kUTaXBisNCiQ2tS8rvxy+j&#10;YBc3q8ve/nRF/XHdnT/PySZLvFKvw341A+Gp9//hv/ZeK5iM4+Qd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333HAAAA3gAAAA8AAAAAAAAAAAAAAAAAmAIAAGRy&#10;cy9kb3ducmV2LnhtbFBLBQYAAAAABAAEAPUAAACMAwAAAAA=&#10;" filled="f" stroked="f">
                  <v:textbox inset="0,0,0,0">
                    <w:txbxContent>
                      <w:p w:rsidR="00EE13F6" w:rsidRDefault="002E5BC4">
                        <w:r>
                          <w:rPr>
                            <w:color w:val="585858"/>
                            <w:sz w:val="12"/>
                          </w:rPr>
                          <w:t>Spr=100</w:t>
                        </w:r>
                        <w:r>
                          <w:rPr>
                            <w:color w:val="585858"/>
                            <w:sz w:val="12"/>
                          </w:rPr>
                          <w:tab/>
                          <w:t>b.p</w:t>
                        </w:r>
                      </w:p>
                    </w:txbxContent>
                  </v:textbox>
                </v:rect>
                <v:rect id="Rectangle 21898" o:spid="_x0000_s1711" style="position:absolute;left:15045;top:5252;width:4856;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LD8MA&#10;AADeAAAADwAAAGRycy9kb3ducmV2LnhtbERPTYvCMBC9C/sfwix401QPS1uNIruKHlcrqLehGdti&#10;MylN1tb99eYgeHy87/myN7W4U+sqywom4wgEcW51xYWCY7YZxSCcR9ZYWyYFD3KwXHwM5phq2/Ge&#10;7gdfiBDCLkUFpfdNKqXLSzLoxrYhDtzVtgZ9gG0hdYtdCDe1nEbRlzRYcWgosaHvkvLb4c8o2MbN&#10;6ryz/11Rry/b0+8p+ckSr9Tws1/NQHjq/Vv8cu+0gukkTsL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LD8MAAADeAAAADwAAAAAAAAAAAAAAAACYAgAAZHJzL2Rv&#10;d25yZXYueG1sUEsFBgAAAAAEAAQA9QAAAIgDAAAAAA==&#10;" filled="f" stroked="f">
                  <v:textbox inset="0,0,0,0">
                    <w:txbxContent>
                      <w:p w:rsidR="00EE13F6" w:rsidRDefault="002E5BC4">
                        <w:r>
                          <w:rPr>
                            <w:color w:val="585858"/>
                            <w:sz w:val="12"/>
                          </w:rPr>
                          <w:t>Spr=150</w:t>
                        </w:r>
                        <w:r>
                          <w:rPr>
                            <w:color w:val="585858"/>
                            <w:sz w:val="12"/>
                          </w:rPr>
                          <w:tab/>
                          <w:t>b.p</w:t>
                        </w:r>
                      </w:p>
                    </w:txbxContent>
                  </v:textbox>
                </v:rect>
                <v:rect id="Rectangle 21899" o:spid="_x0000_s1712" style="position:absolute;left:21063;top:5252;width:4857;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ulMcA&#10;AADeAAAADwAAAGRycy9kb3ducmV2LnhtbESPQWvCQBSE70L/w/IK3nSTHEqSuoq0ijm2pmB7e2Sf&#10;STD7NmS3JvbXdwsFj8PMfMOsNpPpxJUG11pWEC8jEMSV1S3XCj7K/SIF4Tyyxs4yKbiRg836YbbC&#10;XNuR3+l69LUIEHY5Kmi873MpXdWQQbe0PXHwznYw6IMcaqkHHAPcdDKJoidpsOWw0GBPLw1Vl+O3&#10;UXBI++1nYX/Gutt9HU5vp+y1zLxS88dp+wzC0+Tv4f92oRUkcZp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o7pTHAAAA3gAAAA8AAAAAAAAAAAAAAAAAmAIAAGRy&#10;cy9kb3ducmV2LnhtbFBLBQYAAAAABAAEAPUAAACMAwAAAAA=&#10;" filled="f" stroked="f">
                  <v:textbox inset="0,0,0,0">
                    <w:txbxContent>
                      <w:p w:rsidR="00EE13F6" w:rsidRDefault="002E5BC4">
                        <w:r>
                          <w:rPr>
                            <w:color w:val="585858"/>
                            <w:sz w:val="12"/>
                          </w:rPr>
                          <w:t>Spr=200</w:t>
                        </w:r>
                        <w:r>
                          <w:rPr>
                            <w:color w:val="585858"/>
                            <w:sz w:val="12"/>
                          </w:rPr>
                          <w:tab/>
                          <w:t>b.p</w:t>
                        </w:r>
                      </w:p>
                    </w:txbxContent>
                  </v:textbox>
                </v:rect>
                <v:rect id="Rectangle 21900" o:spid="_x0000_s1713" style="position:absolute;left:27082;top:5252;width:4856;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dE8YA&#10;AADeAAAADwAAAGRycy9kb3ducmV2LnhtbESPzWqDQBSF94W8w3AL3TVjsghqM0poWuIyNYW0u4tz&#10;q1LnjjgTtXn6ziKQ5eH88W3z2XRipMG1lhWslhEI4srqlmsFn6f35xiE88gaO8uk4I8c5NniYYup&#10;thN/0Fj6WoQRdikqaLzvUyld1ZBBt7Q9cfB+7GDQBznUUg84hXHTyXUUbaTBlsNDgz29NlT9lhej&#10;4BD3u6/CXqe6e/s+nI/nZH9KvFJPj/PuBYSn2d/Dt3ahFaxXSRQAAk5A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ndE8YAAADeAAAADwAAAAAAAAAAAAAAAACYAgAAZHJz&#10;L2Rvd25yZXYueG1sUEsFBgAAAAAEAAQA9QAAAIsDAAAAAA==&#10;" filled="f" stroked="f">
                  <v:textbox inset="0,0,0,0">
                    <w:txbxContent>
                      <w:p w:rsidR="00EE13F6" w:rsidRDefault="002E5BC4">
                        <w:r>
                          <w:rPr>
                            <w:color w:val="585858"/>
                            <w:sz w:val="12"/>
                          </w:rPr>
                          <w:t>Spr=250</w:t>
                        </w:r>
                        <w:r>
                          <w:rPr>
                            <w:color w:val="585858"/>
                            <w:sz w:val="12"/>
                          </w:rPr>
                          <w:tab/>
                          <w:t>b.p</w:t>
                        </w:r>
                      </w:p>
                    </w:txbxContent>
                  </v:textbox>
                </v:rect>
                <v:rect id="Rectangle 21901" o:spid="_x0000_s1714" style="position:absolute;left:33100;top:5252;width:4856;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4iMYA&#10;AADeAAAADwAAAGRycy9kb3ducmV2LnhtbESPQYvCMBSE78L+h/AEb5rWg9iuUcRV9Ljqgru3R/Ns&#10;i81LaaKt++uNIHgcZuYbZrboTCVu1LjSsoJ4FIEgzqwuOVfwc9wMpyCcR9ZYWSYFd3KwmH/0Zphq&#10;2/KebgefiwBhl6KCwvs6ldJlBRl0I1sTB+9sG4M+yCaXusE2wE0lx1E0kQZLDgsF1rQqKLscrkbB&#10;dlovf3f2v82r9d/29H1Kvo6JV2rQ75afIDx1/h1+tXdawThOoh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V4iMYAAADeAAAADwAAAAAAAAAAAAAAAACYAgAAZHJz&#10;L2Rvd25yZXYueG1sUEsFBgAAAAAEAAQA9QAAAIsDAAAAAA==&#10;" filled="f" stroked="f">
                  <v:textbox inset="0,0,0,0">
                    <w:txbxContent>
                      <w:p w:rsidR="00EE13F6" w:rsidRDefault="002E5BC4">
                        <w:r>
                          <w:rPr>
                            <w:color w:val="585858"/>
                            <w:sz w:val="12"/>
                          </w:rPr>
                          <w:t>Spr=300</w:t>
                        </w:r>
                        <w:r>
                          <w:rPr>
                            <w:color w:val="585858"/>
                            <w:sz w:val="12"/>
                          </w:rPr>
                          <w:tab/>
                          <w:t>b.p</w:t>
                        </w:r>
                      </w:p>
                    </w:txbxContent>
                  </v:textbox>
                </v:rect>
                <v:rect id="Rectangle 21902" o:spid="_x0000_s1715" style="position:absolute;left:39118;top:5252;width:4857;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m/8cA&#10;AADeAAAADwAAAGRycy9kb3ducmV2LnhtbESPQWvCQBSE7wX/w/KE3pqNORQTXUW0xRytFlJvj+xr&#10;Epp9G7LbJPXXdwsFj8PMfMOst5NpxUC9aywrWEQxCOLS6oYrBe+X16clCOeRNbaWScEPOdhuZg9r&#10;zLQd+Y2Gs69EgLDLUEHtfZdJ6cqaDLrIdsTB+7S9QR9kX0nd4xjgppVJHD9Lgw2HhRo72tdUfp2/&#10;jYLjstt95PY2Vu3L9VicivRwSb1Sj/NptwLhafL38H871wqSRRon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n5v/HAAAA3gAAAA8AAAAAAAAAAAAAAAAAmAIAAGRy&#10;cy9kb3ducmV2LnhtbFBLBQYAAAAABAAEAPUAAACMAwAAAAA=&#10;" filled="f" stroked="f">
                  <v:textbox inset="0,0,0,0">
                    <w:txbxContent>
                      <w:p w:rsidR="00EE13F6" w:rsidRDefault="002E5BC4">
                        <w:r>
                          <w:rPr>
                            <w:color w:val="585858"/>
                            <w:sz w:val="12"/>
                          </w:rPr>
                          <w:t>Spr=350</w:t>
                        </w:r>
                        <w:r>
                          <w:rPr>
                            <w:color w:val="585858"/>
                            <w:sz w:val="12"/>
                          </w:rPr>
                          <w:tab/>
                          <w:t>b.p</w:t>
                        </w:r>
                      </w:p>
                    </w:txbxContent>
                  </v:textbox>
                </v:rect>
                <v:rect id="Rectangle 21903" o:spid="_x0000_s1716" style="position:absolute;left:45137;top:5252;width:4856;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ZMcA&#10;AADeAAAADwAAAGRycy9kb3ducmV2LnhtbESPQWvCQBSE7wX/w/KE3uomKRQTXUPQFj22Kqi3R/aZ&#10;BLNvQ3Zr0v76bqHQ4zAz3zDLfDStuFPvGssK4lkEgri0uuFKwfHw9jQH4TyyxtYyKfgiB/lq8rDE&#10;TNuBP+i+95UIEHYZKqi97zIpXVmTQTezHXHwrrY36IPsK6l7HALctDKJohdpsOGwUGNH65rK2/7T&#10;KNjOu+K8s99D1b5etqf3U7o5pF6px+lYLEB4Gv1/+K+90wqSOI2e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rQ2THAAAA3gAAAA8AAAAAAAAAAAAAAAAAmAIAAGRy&#10;cy9kb3ducmV2LnhtbFBLBQYAAAAABAAEAPUAAACMAwAAAAA=&#10;" filled="f" stroked="f">
                  <v:textbox inset="0,0,0,0">
                    <w:txbxContent>
                      <w:p w:rsidR="00EE13F6" w:rsidRDefault="002E5BC4">
                        <w:r>
                          <w:rPr>
                            <w:color w:val="585858"/>
                            <w:sz w:val="12"/>
                          </w:rPr>
                          <w:t>Spr=400</w:t>
                        </w:r>
                        <w:r>
                          <w:rPr>
                            <w:color w:val="585858"/>
                            <w:sz w:val="12"/>
                          </w:rPr>
                          <w:tab/>
                          <w:t>b.p</w:t>
                        </w:r>
                      </w:p>
                    </w:txbxContent>
                  </v:textbox>
                </v:rect>
                <v:rect id="Rectangle 21904" o:spid="_x0000_s1717" style="position:absolute;left:8637;top:1130;width:47685;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bEMcA&#10;AADeAAAADwAAAGRycy9kb3ducmV2LnhtbESPQWvCQBSE7wX/w/KE3uomoRQTXUPQFj22Kqi3R/aZ&#10;BLNvQ3Zr0v76bqHQ4zAz3zDLfDStuFPvGssK4lkEgri0uuFKwfHw9jQH4TyyxtYyKfgiB/lq8rDE&#10;TNuBP+i+95UIEHYZKqi97zIpXVmTQTezHXHwrrY36IPsK6l7HALctDKJohdpsOGwUGNH65rK2/7T&#10;KNjOu+K8s99D1b5etqf3U7o5pF6px+lYLEB4Gv1/+K+90wqSOI2e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C2xDHAAAA3gAAAA8AAAAAAAAAAAAAAAAAmAIAAGRy&#10;cy9kb3ducmV2LnhtbFBLBQYAAAAABAAEAPUAAACMAwAAAAA=&#10;" filled="f" stroked="f">
                  <v:textbox inset="0,0,0,0">
                    <w:txbxContent>
                      <w:p w:rsidR="00EE13F6" w:rsidRDefault="002E5BC4">
                        <w:r>
                          <w:rPr>
                            <w:b/>
                            <w:color w:val="585858"/>
                            <w:sz w:val="18"/>
                          </w:rPr>
                          <w:t>Short</w:t>
                        </w:r>
                        <w:r>
                          <w:rPr>
                            <w:b/>
                            <w:color w:val="585858"/>
                            <w:sz w:val="18"/>
                          </w:rPr>
                          <w:tab/>
                          <w:t>Term</w:t>
                        </w:r>
                        <w:r>
                          <w:rPr>
                            <w:b/>
                            <w:color w:val="585858"/>
                            <w:sz w:val="18"/>
                          </w:rPr>
                          <w:tab/>
                          <w:t>Impact</w:t>
                        </w:r>
                        <w:r>
                          <w:rPr>
                            <w:b/>
                            <w:color w:val="585858"/>
                            <w:sz w:val="18"/>
                          </w:rPr>
                          <w:tab/>
                          <w:t>on</w:t>
                        </w:r>
                        <w:r>
                          <w:rPr>
                            <w:b/>
                            <w:color w:val="585858"/>
                            <w:sz w:val="18"/>
                          </w:rPr>
                          <w:tab/>
                          <w:t>Theoretical</w:t>
                        </w:r>
                        <w:r>
                          <w:rPr>
                            <w:b/>
                            <w:color w:val="585858"/>
                            <w:sz w:val="18"/>
                          </w:rPr>
                          <w:tab/>
                          <w:t>Equity</w:t>
                        </w:r>
                        <w:r>
                          <w:rPr>
                            <w:b/>
                            <w:color w:val="585858"/>
                            <w:sz w:val="18"/>
                          </w:rPr>
                          <w:tab/>
                          <w:t>Share</w:t>
                        </w:r>
                        <w:r>
                          <w:rPr>
                            <w:b/>
                            <w:color w:val="585858"/>
                            <w:sz w:val="18"/>
                          </w:rPr>
                          <w:tab/>
                          <w:t>Price</w:t>
                        </w:r>
                        <w:r>
                          <w:rPr>
                            <w:b/>
                            <w:color w:val="585858"/>
                            <w:sz w:val="18"/>
                          </w:rPr>
                          <w:tab/>
                          <w:t>for</w:t>
                        </w:r>
                        <w:r>
                          <w:rPr>
                            <w:b/>
                            <w:color w:val="585858"/>
                            <w:sz w:val="18"/>
                          </w:rPr>
                          <w:tab/>
                          <w:t>Optimum</w:t>
                        </w:r>
                        <w:r>
                          <w:rPr>
                            <w:b/>
                            <w:color w:val="585858"/>
                            <w:sz w:val="18"/>
                          </w:rPr>
                          <w:tab/>
                          <w:t>Leverage</w:t>
                        </w:r>
                        <w:r>
                          <w:rPr>
                            <w:b/>
                            <w:color w:val="585858"/>
                            <w:sz w:val="18"/>
                          </w:rPr>
                          <w:tab/>
                        </w:r>
                      </w:p>
                    </w:txbxContent>
                  </v:textbox>
                </v:rect>
                <v:rect id="Rectangle 21905" o:spid="_x0000_s1718" style="position:absolute;left:15741;top:2518;width:28294;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i8cA&#10;AADeAAAADwAAAGRycy9kb3ducmV2LnhtbESPQWvCQBSE7wX/w/KE3uomgRYTXUPQFj22Kqi3R/aZ&#10;BLNvQ3Zr0v76bqHQ4zAz3zDLfDStuFPvGssK4lkEgri0uuFKwfHw9jQH4TyyxtYyKfgiB/lq8rDE&#10;TNuBP+i+95UIEHYZKqi97zIpXVmTQTezHXHwrrY36IPsK6l7HALctDKJohdpsOGwUGNH65rK2/7T&#10;KNjOu+K8s99D1b5etqf3U7o5pF6px+lYLEB4Gv1/+K+90wqSOI2e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OfovHAAAA3gAAAA8AAAAAAAAAAAAAAAAAmAIAAGRy&#10;cy9kb3ducmV2LnhtbFBLBQYAAAAABAAEAPUAAACMAwAAAAA=&#10;" filled="f" stroked="f">
                  <v:textbox inset="0,0,0,0">
                    <w:txbxContent>
                      <w:p w:rsidR="00EE13F6" w:rsidRDefault="002E5BC4">
                        <w:r>
                          <w:rPr>
                            <w:b/>
                            <w:color w:val="585858"/>
                            <w:sz w:val="18"/>
                          </w:rPr>
                          <w:t>Depending</w:t>
                        </w:r>
                        <w:r>
                          <w:rPr>
                            <w:b/>
                            <w:color w:val="585858"/>
                            <w:sz w:val="18"/>
                          </w:rPr>
                          <w:tab/>
                          <w:t>Upon</w:t>
                        </w:r>
                        <w:r>
                          <w:rPr>
                            <w:b/>
                            <w:color w:val="585858"/>
                            <w:sz w:val="18"/>
                          </w:rPr>
                          <w:tab/>
                          <w:t>Maturity</w:t>
                        </w:r>
                        <w:r>
                          <w:rPr>
                            <w:b/>
                            <w:color w:val="585858"/>
                            <w:sz w:val="18"/>
                          </w:rPr>
                          <w:tab/>
                          <w:t>and</w:t>
                        </w:r>
                        <w:r>
                          <w:rPr>
                            <w:b/>
                            <w:color w:val="585858"/>
                            <w:sz w:val="18"/>
                          </w:rPr>
                          <w:tab/>
                          <w:t>Credit</w:t>
                        </w:r>
                        <w:r>
                          <w:rPr>
                            <w:b/>
                            <w:color w:val="585858"/>
                            <w:sz w:val="18"/>
                          </w:rPr>
                          <w:tab/>
                          <w:t>Spread</w:t>
                        </w:r>
                      </w:p>
                    </w:txbxContent>
                  </v:textbox>
                </v:rect>
                <v:shape id="Shape 21906" o:spid="_x0000_s1719" style="position:absolute;left:18330;top:17432;width:1552;height:0;visibility:visible;mso-wrap-style:square;v-text-anchor:top" coordsize="155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9VMgA&#10;AADeAAAADwAAAGRycy9kb3ducmV2LnhtbESPQWvCQBSE7wX/w/IEL6VuohDb1I2IIHqrpqW0t0f2&#10;NQnJvg3ZVaO/3i0Uehxm5htmuRpMK87Uu9qygngagSAurK65VPDxvn16BuE8ssbWMim4koNVNnpY&#10;YqrthY90zn0pAoRdigoq77tUSldUZNBNbUccvB/bG/RB9qXUPV4C3LRyFkWJNFhzWKiwo01FRZOf&#10;jIJ80STU3o5u8bZ7/D58zePP3T5WajIe1q8gPA3+P/zX3msFs/glSuD3TrgCMr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R71UyAAAAN4AAAAPAAAAAAAAAAAAAAAAAJgCAABk&#10;cnMvZG93bnJldi54bWxQSwUGAAAAAAQABAD1AAAAjQMAAAAA&#10;" path="m,l155139,1e" filled="f" strokecolor="#5b9bd5" strokeweight=".45361mm">
                  <v:stroke endcap="round"/>
                  <v:path arrowok="t" textboxrect="0,0,155139,1"/>
                </v:shape>
                <v:rect id="Rectangle 21907" o:spid="_x0000_s1720" style="position:absolute;left:20066;top:16983;width:1364;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FZ8cA&#10;AADeAAAADwAAAGRycy9kb3ducmV2LnhtbESPQWvCQBSE7wX/w/KE3uomObQmuoagLXpsVVBvj+wz&#10;CWbfhuzWpP313UKhx2FmvmGW+WhacafeNZYVxLMIBHFpdcOVguPh7WkOwnlkja1lUvBFDvLV5GGJ&#10;mbYDf9B97ysRIOwyVFB732VSurImg25mO+LgXW1v0AfZV1L3OAS4aWUSRc/SYMNhocaO1jWVt/2n&#10;UbCdd8V5Z7+Hqn29bE/vp3RzSL1Sj9OxWIDwNPr/8F97pxUkcRq9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QRWfHAAAA3gAAAA8AAAAAAAAAAAAAAAAAmAIAAGRy&#10;cy9kb3ducmV2LnhtbFBLBQYAAAAABAAEAPUAAACMAwAAAAA=&#10;" filled="f" stroked="f">
                  <v:textbox inset="0,0,0,0">
                    <w:txbxContent>
                      <w:p w:rsidR="00EE13F6" w:rsidRDefault="002E5BC4">
                        <w:r>
                          <w:rPr>
                            <w:color w:val="585858"/>
                            <w:sz w:val="12"/>
                          </w:rPr>
                          <w:t>T=5</w:t>
                        </w:r>
                      </w:p>
                    </w:txbxContent>
                  </v:textbox>
                </v:rect>
                <v:shape id="Shape 21908" o:spid="_x0000_s1721" style="position:absolute;left:21923;top:17432;width:1551;height:0;visibility:visible;mso-wrap-style:square;v-text-anchor:top" coordsize="155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wcUA&#10;AADeAAAADwAAAGRycy9kb3ducmV2LnhtbERPz2vCMBS+C/4P4Qm7aWoPY3ZGGWLH2GBiO8Hjo3lr&#10;i81LSVLt9tcvh4HHj+/3ejuaTlzJ+dayguUiAUFcWd1yreCrzOdPIHxA1thZJgU/5GG7mU7WmGl7&#10;4yNdi1CLGMI+QwVNCH0mpa8aMugXtieO3Ld1BkOErpba4S2Gm06mSfIoDbYcGxrsaddQdSkGo+Di&#10;zOd56MpDXZ6Gd5vnr7/7j1Sph9n48gwi0Bju4n/3m1aQLldJ3Bvvx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X7BxQAAAN4AAAAPAAAAAAAAAAAAAAAAAJgCAABkcnMv&#10;ZG93bnJldi54bWxQSwUGAAAAAAQABAD1AAAAigMAAAAA&#10;" path="m,l155139,1e" filled="f" strokecolor="#ed7d31" strokeweight=".45361mm">
                  <v:stroke endcap="round"/>
                  <v:path arrowok="t" textboxrect="0,0,155139,1"/>
                </v:shape>
                <v:rect id="Rectangle 21909" o:spid="_x0000_s1722" style="position:absolute;left:23656;top:16983;width:1907;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0jsYA&#10;AADeAAAADwAAAGRycy9kb3ducmV2LnhtbESPT4vCMBTE74LfIbyFvWmqB7Fdo8iq6HH9A3Vvj+bZ&#10;FpuX0kTb3U9vBMHjMDO/YWaLzlTiTo0rLSsYDSMQxJnVJecKTsfNYArCeWSNlWVS8EcOFvN+b4aJ&#10;ti3v6X7wuQgQdgkqKLyvEyldVpBBN7Q1cfAutjHog2xyqRtsA9xUchxFE2mw5LBQYE3fBWXXw80o&#10;2E7r5Xln/9u8Wv9u0580Xh1jr9TnR7f8AuGp8+/wq73TCsajOIr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N0jsYAAADeAAAADwAAAAAAAAAAAAAAAACYAgAAZHJz&#10;L2Rvd25yZXYueG1sUEsFBgAAAAAEAAQA9QAAAIsDAAAAAA==&#10;" filled="f" stroked="f">
                  <v:textbox inset="0,0,0,0">
                    <w:txbxContent>
                      <w:p w:rsidR="00EE13F6" w:rsidRDefault="002E5BC4">
                        <w:r>
                          <w:rPr>
                            <w:color w:val="585858"/>
                            <w:sz w:val="12"/>
                          </w:rPr>
                          <w:t>T=10</w:t>
                        </w:r>
                      </w:p>
                    </w:txbxContent>
                  </v:textbox>
                </v:rect>
                <v:shape id="Shape 21910" o:spid="_x0000_s1723" style="position:absolute;left:25924;top:17432;width:1551;height:0;visibility:visible;mso-wrap-style:square;v-text-anchor:top" coordsize="155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Yt8cA&#10;AADeAAAADwAAAGRycy9kb3ducmV2LnhtbESPy2rCQBSG94W+w3AKbkKdJAtpo6MEQXCj4KUFd4fM&#10;MUmbORMzo0af3lkILn/+G99k1ptGXKhztWUFyTAGQVxYXXOpYL9bfH6BcB5ZY2OZFNzIwWz6/jbB&#10;TNsrb+iy9aUII+wyVFB532ZSuqIig25oW+LgHW1n0AfZlVJ3eA3jppFpHI+kwZrDQ4UtzSsq/rdn&#10;o+A07+/5Yf17+FtF0c8pjeJc7/ZKDT76fAzCU+9f4Wd7qRWkyXcSAAJOQ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mmLfHAAAA3gAAAA8AAAAAAAAAAAAAAAAAmAIAAGRy&#10;cy9kb3ducmV2LnhtbFBLBQYAAAAABAAEAPUAAACMAwAAAAA=&#10;" path="m,l155139,1e" filled="f" strokecolor="#a4a4a4" strokeweight=".45361mm">
                  <v:stroke endcap="round"/>
                  <v:path arrowok="t" textboxrect="0,0,155139,1"/>
                </v:shape>
                <v:rect id="Rectangle 21911" o:spid="_x0000_s1724" style="position:absolute;left:27617;top:16983;width:1907;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uVcYA&#10;AADeAAAADwAAAGRycy9kb3ducmV2LnhtbESPQYvCMBSE78L+h/AEb5rWg9iuUcRV9Ljqgru3R/Ns&#10;i81LaaKt++uNIHgcZuYbZrboTCVu1LjSsoJ4FIEgzqwuOVfwc9wMpyCcR9ZYWSYFd3KwmH/0Zphq&#10;2/KebgefiwBhl6KCwvs6ldJlBRl0I1sTB+9sG4M+yCaXusE2wE0lx1E0kQZLDgsF1rQqKLscrkbB&#10;dlovf3f2v82r9d/29H1Kvo6JV2rQ75afIDx1/h1+tXdawThO4h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zuVcYAAADeAAAADwAAAAAAAAAAAAAAAACYAgAAZHJz&#10;L2Rvd25yZXYueG1sUEsFBgAAAAAEAAQA9QAAAIsDAAAAAA==&#10;" filled="f" stroked="f">
                  <v:textbox inset="0,0,0,0">
                    <w:txbxContent>
                      <w:p w:rsidR="00EE13F6" w:rsidRDefault="002E5BC4">
                        <w:r>
                          <w:rPr>
                            <w:color w:val="585858"/>
                            <w:sz w:val="12"/>
                          </w:rPr>
                          <w:t>T=15</w:t>
                        </w:r>
                      </w:p>
                    </w:txbxContent>
                  </v:textbox>
                </v:rect>
                <v:shape id="Shape 21912" o:spid="_x0000_s1725" style="position:absolute;left:29843;top:17432;width:1552;height:0;visibility:visible;mso-wrap-style:square;v-text-anchor:top" coordsize="155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HVsgA&#10;AADeAAAADwAAAGRycy9kb3ducmV2LnhtbESPzW7CMBCE75V4B2sr9YKIkxxaSGMQ4kcqlXoo8ACr&#10;eBunxOsQu5C+fY2E1ONoZr7RlIvBtuJCvW8cK8iSFARx5XTDtYLjYTuZgvABWWPrmBT8kofFfPRQ&#10;YqHdlT/psg+1iBD2BSowIXSFlL4yZNEnriOO3pfrLYYo+1rqHq8RbluZp+mztNhwXDDY0cpQddr/&#10;WAWn73NmPsbT1PL23c42w3r30h6Uenoclq8gAg3hP3xvv2kFeTbLcrjdi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vUdWyAAAAN4AAAAPAAAAAAAAAAAAAAAAAJgCAABk&#10;cnMvZG93bnJldi54bWxQSwUGAAAAAAQABAD1AAAAjQMAAAAA&#10;" path="m,l155139,1e" filled="f" strokecolor="#ffc000" strokeweight=".45361mm">
                  <v:stroke endcap="round"/>
                  <v:path arrowok="t" textboxrect="0,0,155139,1"/>
                </v:shape>
                <v:rect id="Rectangle 21913" o:spid="_x0000_s1726" style="position:absolute;left:31579;top:16983;width:1907;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VuccA&#10;AADeAAAADwAAAGRycy9kb3ducmV2LnhtbESPQWvCQBSE7wX/w/KE3uomCsVEVxGt6LEaQb09ss8k&#10;mH0bsluT9td3hUKPw8x8w8yXvanFg1pXWVYQjyIQxLnVFRcKTtn2bQrCeWSNtWVS8E0OlovByxxT&#10;bTs+0OPoCxEg7FJUUHrfpFK6vCSDbmQb4uDdbGvQB9kWUrfYBbip5TiK3qXBisNCiQ2tS8rvxy+j&#10;YDdtVpe9/emK+uO6O3+ek02WeKVeh/1qBsJT7//Df+29VjCOk3g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y1bnHAAAA3gAAAA8AAAAAAAAAAAAAAAAAmAIAAGRy&#10;cy9kb3ducmV2LnhtbFBLBQYAAAAABAAEAPUAAACMAwAAAAA=&#10;" filled="f" stroked="f">
                  <v:textbox inset="0,0,0,0">
                    <w:txbxContent>
                      <w:p w:rsidR="00EE13F6" w:rsidRDefault="002E5BC4">
                        <w:r>
                          <w:rPr>
                            <w:color w:val="585858"/>
                            <w:sz w:val="12"/>
                          </w:rPr>
                          <w:t>T=20</w:t>
                        </w:r>
                      </w:p>
                    </w:txbxContent>
                  </v:textbox>
                </v:rect>
                <v:shape id="Shape 21914" o:spid="_x0000_s1727" style="position:absolute;width:51032;height:18779;visibility:visible;mso-wrap-style:square;v-text-anchor:top" coordsize="5103257,187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20MUA&#10;AADeAAAADwAAAGRycy9kb3ducmV2LnhtbESPQWsCMRSE74L/ITyhN82ulGK3RhFBaHsRdQ/t7ZE8&#10;s4ubl2UT1+2/NwXB4zAz3zDL9eAa0VMXas8K8lkGglh7U7NVUJ520wWIEJENNp5JwR8FWK/GoyUW&#10;xt/4QP0xWpEgHApUUMXYFlIGXZHDMPMtcfLOvnMYk+ysNB3eEtw1cp5lb9JhzWmhwpa2FenL8eoU&#10;9H5TaruX/uvHXAdnf3UZv4NSL5Nh8wEi0hCf4Uf70yiY5+/5K/zfSV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zbQxQAAAN4AAAAPAAAAAAAAAAAAAAAAAJgCAABkcnMv&#10;ZG93bnJldi54bWxQSwUGAAAAAAQABAD1AAAAigMAAAAA&#10;" path="m,l5103257,r,1877998l,1877998,,xe" filled="f" strokecolor="#d9d9d9" strokeweight=".22681mm">
                  <v:path arrowok="t" textboxrect="0,0,5103257,1877998"/>
                </v:shape>
                <w10:anchorlock/>
              </v:group>
            </w:pict>
          </mc:Fallback>
        </mc:AlternateContent>
      </w:r>
    </w:p>
    <w:p w:rsidR="00EE13F6" w:rsidRDefault="002E5BC4">
      <w:pPr>
        <w:spacing w:after="311" w:line="257" w:lineRule="auto"/>
        <w:ind w:left="752" w:right="468" w:hanging="767"/>
        <w:jc w:val="both"/>
      </w:pPr>
      <w:r>
        <w:rPr>
          <w:rFonts w:ascii="Cambria" w:eastAsia="Cambria" w:hAnsi="Cambria" w:cs="Cambria"/>
          <w:b/>
        </w:rPr>
        <w:t>2.3.2 The Short and Long Term Consequences of the FTT Introduction on The Theoretical Equity Share Price</w:t>
      </w:r>
    </w:p>
    <w:p w:rsidR="00EE13F6" w:rsidRDefault="002E5BC4">
      <w:pPr>
        <w:spacing w:after="135" w:line="264" w:lineRule="auto"/>
        <w:ind w:left="-5" w:right="468" w:hanging="10"/>
        <w:jc w:val="both"/>
      </w:pPr>
      <w:r>
        <w:rPr>
          <w:rFonts w:ascii="Cambria" w:eastAsia="Cambria" w:hAnsi="Cambria" w:cs="Cambria"/>
        </w:rPr>
        <w:t xml:space="preserve">We consider equation (23) with </w:t>
      </w:r>
      <w:r>
        <w:rPr>
          <w:rFonts w:ascii="Cambria" w:eastAsia="Cambria" w:hAnsi="Cambria" w:cs="Cambria"/>
          <w:i/>
        </w:rPr>
        <w:t xml:space="preserve">K </w:t>
      </w:r>
      <w:r>
        <w:rPr>
          <w:rFonts w:ascii="Cambria" w:eastAsia="Cambria" w:hAnsi="Cambria" w:cs="Cambria"/>
        </w:rPr>
        <w:t xml:space="preserve">= </w:t>
      </w:r>
      <w:r>
        <w:rPr>
          <w:rFonts w:ascii="Cambria" w:eastAsia="Cambria" w:hAnsi="Cambria" w:cs="Cambria"/>
          <w:i/>
        </w:rPr>
        <w:t>K</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 xml:space="preserve">= </w:t>
      </w:r>
      <w:r>
        <w:rPr>
          <w:rFonts w:ascii="Cambria" w:eastAsia="Cambria" w:hAnsi="Cambria" w:cs="Cambria"/>
          <w:i/>
        </w:rPr>
        <w:t>LP</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 xml:space="preserve">where </w:t>
      </w:r>
      <w:r>
        <w:rPr>
          <w:rFonts w:ascii="Cambria" w:eastAsia="Cambria" w:hAnsi="Cambria" w:cs="Cambria"/>
          <w:i/>
        </w:rPr>
        <w:t>P</w:t>
      </w:r>
      <w:r>
        <w:rPr>
          <w:rFonts w:ascii="Cambria" w:eastAsia="Cambria" w:hAnsi="Cambria" w:cs="Cambria"/>
          <w:vertAlign w:val="superscript"/>
        </w:rPr>
        <w:t>∗</w:t>
      </w:r>
      <w:r>
        <w:rPr>
          <w:rFonts w:ascii="Cambria" w:eastAsia="Cambria" w:hAnsi="Cambria" w:cs="Cambria"/>
          <w:vertAlign w:val="superscript"/>
        </w:rPr>
        <w:t xml:space="preserve"> </w:t>
      </w:r>
      <w:r>
        <w:rPr>
          <w:rFonts w:ascii="Cambria" w:eastAsia="Cambria" w:hAnsi="Cambria" w:cs="Cambria"/>
        </w:rPr>
        <w:t xml:space="preserve">is the outstanding amount of principal debt which maximizes the corporation value </w:t>
      </w:r>
      <w:r>
        <w:rPr>
          <w:rFonts w:ascii="Cambria" w:eastAsia="Cambria" w:hAnsi="Cambria" w:cs="Cambria"/>
          <w:i/>
        </w:rPr>
        <w:t xml:space="preserve">V </w:t>
      </w:r>
      <w:r>
        <w:rPr>
          <w:rFonts w:ascii="Cambria" w:eastAsia="Cambria" w:hAnsi="Cambria" w:cs="Cambria"/>
        </w:rPr>
        <w:t>in equation (2</w:t>
      </w:r>
      <w:r>
        <w:rPr>
          <w:rFonts w:ascii="Cambria" w:eastAsia="Cambria" w:hAnsi="Cambria" w:cs="Cambria"/>
        </w:rPr>
        <w:t xml:space="preserve">1). We consider that the main parameters such as </w:t>
      </w:r>
      <w:r>
        <w:rPr>
          <w:rFonts w:ascii="Cambria" w:eastAsia="Cambria" w:hAnsi="Cambria" w:cs="Cambria"/>
          <w:i/>
        </w:rPr>
        <w:t>δ</w:t>
      </w:r>
      <w:r>
        <w:rPr>
          <w:rFonts w:ascii="Cambria" w:eastAsia="Cambria" w:hAnsi="Cambria" w:cs="Cambria"/>
        </w:rPr>
        <w:t xml:space="preserve">, </w:t>
      </w:r>
      <w:r>
        <w:rPr>
          <w:rFonts w:ascii="Cambria" w:eastAsia="Cambria" w:hAnsi="Cambria" w:cs="Cambria"/>
          <w:i/>
        </w:rPr>
        <w:t>r</w:t>
      </w:r>
      <w:r>
        <w:rPr>
          <w:rFonts w:ascii="Cambria" w:eastAsia="Cambria" w:hAnsi="Cambria" w:cs="Cambria"/>
        </w:rPr>
        <w:t xml:space="preserve">, </w:t>
      </w:r>
      <w:r>
        <w:rPr>
          <w:rFonts w:ascii="Cambria" w:eastAsia="Cambria" w:hAnsi="Cambria" w:cs="Cambria"/>
          <w:i/>
        </w:rPr>
        <w:t>s</w:t>
      </w:r>
      <w:r>
        <w:rPr>
          <w:rFonts w:ascii="Cambria" w:eastAsia="Cambria" w:hAnsi="Cambria" w:cs="Cambria"/>
          <w:vertAlign w:val="superscript"/>
        </w:rPr>
        <w:t>∗</w:t>
      </w:r>
      <w:r>
        <w:rPr>
          <w:rFonts w:ascii="Cambria" w:eastAsia="Cambria" w:hAnsi="Cambria" w:cs="Cambria"/>
        </w:rPr>
        <w:t>, and consequently ROE are within the envelope discussed previously which leads to a decrease of the equity share price. As the parameters are within this envelope, we can expect a decrease of the eq</w:t>
      </w:r>
      <w:r>
        <w:rPr>
          <w:rFonts w:ascii="Cambria" w:eastAsia="Cambria" w:hAnsi="Cambria" w:cs="Cambria"/>
        </w:rPr>
        <w:t xml:space="preserve">uity price for the value </w:t>
      </w:r>
      <w:r>
        <w:rPr>
          <w:rFonts w:ascii="Cambria" w:eastAsia="Cambria" w:hAnsi="Cambria" w:cs="Cambria"/>
          <w:i/>
        </w:rPr>
        <w:t>P</w:t>
      </w:r>
      <w:r>
        <w:rPr>
          <w:rFonts w:ascii="Cambria" w:eastAsia="Cambria" w:hAnsi="Cambria" w:cs="Cambria"/>
          <w:vertAlign w:val="superscript"/>
        </w:rPr>
        <w:t>∗</w:t>
      </w:r>
      <w:r>
        <w:rPr>
          <w:rFonts w:ascii="Cambria" w:eastAsia="Cambria" w:hAnsi="Cambria" w:cs="Cambria"/>
        </w:rPr>
        <w:t>.</w:t>
      </w:r>
    </w:p>
    <w:p w:rsidR="00EE13F6" w:rsidRDefault="002E5BC4">
      <w:pPr>
        <w:spacing w:after="135" w:line="264" w:lineRule="auto"/>
        <w:ind w:left="-5" w:right="468" w:hanging="10"/>
        <w:jc w:val="both"/>
      </w:pPr>
      <w:r>
        <w:rPr>
          <w:rFonts w:ascii="Cambria" w:eastAsia="Cambria" w:hAnsi="Cambria" w:cs="Cambria"/>
        </w:rPr>
        <w:t>We draw a distinction between the short and long term impact.</w:t>
      </w:r>
    </w:p>
    <w:p w:rsidR="00EE13F6" w:rsidRDefault="002E5BC4">
      <w:pPr>
        <w:spacing w:after="135" w:line="264" w:lineRule="auto"/>
        <w:ind w:left="-5" w:right="468" w:hanging="10"/>
        <w:jc w:val="both"/>
      </w:pPr>
      <w:r>
        <w:rPr>
          <w:rFonts w:ascii="Cambria" w:eastAsia="Cambria" w:hAnsi="Cambria" w:cs="Cambria"/>
        </w:rPr>
        <w:t xml:space="preserve">The short term impact consists in the immediate adjustment of the equity share price following the increase of the asset volatility. Table 12 evidences this drop in </w:t>
      </w:r>
      <w:r>
        <w:rPr>
          <w:rFonts w:ascii="Cambria" w:eastAsia="Cambria" w:hAnsi="Cambria" w:cs="Cambria"/>
        </w:rPr>
        <w:t>equity prices for the optimal leverage depending upon the credit spread for different values of debt maturity.</w:t>
      </w:r>
    </w:p>
    <w:p w:rsidR="00EE13F6" w:rsidRDefault="002E5BC4">
      <w:pPr>
        <w:spacing w:after="135" w:line="264" w:lineRule="auto"/>
        <w:ind w:left="-5" w:right="468" w:hanging="10"/>
        <w:jc w:val="both"/>
      </w:pPr>
      <w:r>
        <w:rPr>
          <w:rFonts w:ascii="Cambria" w:eastAsia="Cambria" w:hAnsi="Cambria" w:cs="Cambria"/>
        </w:rPr>
        <w:t>The long term impact consists in the adjustment of both the capital structure and the equity share price. The long run is reached once all the fi</w:t>
      </w:r>
      <w:r>
        <w:rPr>
          <w:rFonts w:ascii="Cambria" w:eastAsia="Cambria" w:hAnsi="Cambria" w:cs="Cambria"/>
        </w:rPr>
        <w:t>xed term debt has been adjusted to its new principal amount. According to the model we are using, once the FTT is introduced, the number of years to reach the full long term effect of the FTT, is thus equal to the maturity of the debt. One can see on Table</w:t>
      </w:r>
      <w:r>
        <w:rPr>
          <w:rFonts w:ascii="Cambria" w:eastAsia="Cambria" w:hAnsi="Cambria" w:cs="Cambria"/>
        </w:rPr>
        <w:t xml:space="preserve"> 12 as well as figures 5 and 6 that the magnitude of the negative impact on the equity price increases very slightly with the debt maturity.</w:t>
      </w:r>
    </w:p>
    <w:p w:rsidR="00EE13F6" w:rsidRDefault="002E5BC4">
      <w:pPr>
        <w:spacing w:after="135" w:line="264" w:lineRule="auto"/>
        <w:ind w:left="-5" w:right="468" w:hanging="10"/>
        <w:jc w:val="both"/>
      </w:pPr>
      <w:r>
        <w:rPr>
          <w:rFonts w:ascii="Cambria" w:eastAsia="Cambria" w:hAnsi="Cambria" w:cs="Cambria"/>
        </w:rPr>
        <w:t>Table 13 displays the short and long term values of the drop in the theoretical equity share price depending upon t</w:t>
      </w:r>
      <w:r>
        <w:rPr>
          <w:rFonts w:ascii="Cambria" w:eastAsia="Cambria" w:hAnsi="Cambria" w:cs="Cambria"/>
        </w:rPr>
        <w:t>he corporate tax rate for average credit spreads comprised between 100 and 300 b.p.a and an average debt maturity of 5 years. One can see that corporations located within countries with a higher corporate tax rate will record a more important drop of the t</w:t>
      </w:r>
      <w:r>
        <w:rPr>
          <w:rFonts w:ascii="Cambria" w:eastAsia="Cambria" w:hAnsi="Cambria" w:cs="Cambria"/>
        </w:rPr>
        <w:t>heoretical equity share price. This distorsion will increase with the level of the credit spread.</w:t>
      </w:r>
    </w:p>
    <w:p w:rsidR="00EE13F6" w:rsidRDefault="002E5BC4">
      <w:pPr>
        <w:spacing w:after="135" w:line="264" w:lineRule="auto"/>
        <w:ind w:left="-5" w:right="468" w:hanging="10"/>
        <w:jc w:val="both"/>
      </w:pPr>
      <w:r>
        <w:rPr>
          <w:rFonts w:ascii="Cambria" w:eastAsia="Cambria" w:hAnsi="Cambria" w:cs="Cambria"/>
        </w:rPr>
        <w:t>Both short term and long term impact of the FTT on the theoretical equity share price are increasing with the credit spread, whereas the influence of maturity</w:t>
      </w:r>
      <w:r>
        <w:rPr>
          <w:rFonts w:ascii="Cambria" w:eastAsia="Cambria" w:hAnsi="Cambria" w:cs="Cambria"/>
        </w:rPr>
        <w:t xml:space="preserve"> is very little. as evidenced in figure 5..</w:t>
      </w:r>
    </w:p>
    <w:p w:rsidR="00EE13F6" w:rsidRDefault="002E5BC4">
      <w:pPr>
        <w:spacing w:after="192" w:line="264" w:lineRule="auto"/>
        <w:ind w:left="-5" w:right="468" w:hanging="10"/>
        <w:jc w:val="both"/>
      </w:pPr>
      <w:r>
        <w:rPr>
          <w:rFonts w:ascii="Cambria" w:eastAsia="Cambria" w:hAnsi="Cambria" w:cs="Cambria"/>
        </w:rPr>
        <w:t xml:space="preserve">As for the fixed capital structure, we can see on figures 7 and 8 that both short term and long term effects on the theoretical equity share price are strongly depending upon the corporate tax rate. For the same </w:t>
      </w:r>
      <w:r>
        <w:rPr>
          <w:rFonts w:ascii="Cambria" w:eastAsia="Cambria" w:hAnsi="Cambria" w:cs="Cambria"/>
        </w:rPr>
        <w:t xml:space="preserve">spread, and our base case, in terms of volatility, maturity and risk free rates, Table 12: </w:t>
      </w:r>
      <w:r>
        <w:rPr>
          <w:rFonts w:ascii="Cambria" w:eastAsia="Cambria" w:hAnsi="Cambria" w:cs="Cambria"/>
          <w:b/>
        </w:rPr>
        <w:t>Short and Long Term Impact (in percent) of the FTT at the Optimum Leverage for Various Credit Spreads (in b.p.a) Depending upon the maturity(</w:t>
      </w:r>
      <w:r>
        <w:rPr>
          <w:rFonts w:ascii="Cambria" w:eastAsia="Cambria" w:hAnsi="Cambria" w:cs="Cambria"/>
          <w:i/>
        </w:rPr>
        <w:t xml:space="preserve">r </w:t>
      </w:r>
      <w:r>
        <w:rPr>
          <w:rFonts w:ascii="Cambria" w:eastAsia="Cambria" w:hAnsi="Cambria" w:cs="Cambria"/>
        </w:rPr>
        <w:t>= 0</w:t>
      </w:r>
      <w:r>
        <w:rPr>
          <w:rFonts w:ascii="Cambria" w:eastAsia="Cambria" w:hAnsi="Cambria" w:cs="Cambria"/>
          <w:i/>
        </w:rPr>
        <w:t>.</w:t>
      </w:r>
      <w:r>
        <w:rPr>
          <w:rFonts w:ascii="Cambria" w:eastAsia="Cambria" w:hAnsi="Cambria" w:cs="Cambria"/>
        </w:rPr>
        <w:t>01</w:t>
      </w:r>
      <w:r>
        <w:rPr>
          <w:rFonts w:ascii="Cambria" w:eastAsia="Cambria" w:hAnsi="Cambria" w:cs="Cambria"/>
          <w:b/>
        </w:rPr>
        <w:t xml:space="preserve">; </w:t>
      </w: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35</w:t>
      </w:r>
      <w:r>
        <w:rPr>
          <w:rFonts w:ascii="Cambria" w:eastAsia="Cambria" w:hAnsi="Cambria" w:cs="Cambria"/>
          <w:b/>
        </w:rPr>
        <w:t xml:space="preserve">; </w:t>
      </w:r>
      <w:r>
        <w:rPr>
          <w:rFonts w:ascii="Cambria" w:eastAsia="Cambria" w:hAnsi="Cambria" w:cs="Cambria"/>
          <w:i/>
        </w:rPr>
        <w:t xml:space="preserve">α </w:t>
      </w:r>
      <w:r>
        <w:rPr>
          <w:rFonts w:ascii="Cambria" w:eastAsia="Cambria" w:hAnsi="Cambria" w:cs="Cambria"/>
        </w:rPr>
        <w:t xml:space="preserve">= </w:t>
      </w:r>
      <w:r>
        <w:rPr>
          <w:rFonts w:ascii="Cambria" w:eastAsia="Cambria" w:hAnsi="Cambria" w:cs="Cambria"/>
        </w:rPr>
        <w:t>0</w:t>
      </w:r>
      <w:r>
        <w:rPr>
          <w:rFonts w:ascii="Cambria" w:eastAsia="Cambria" w:hAnsi="Cambria" w:cs="Cambria"/>
          <w:i/>
        </w:rPr>
        <w:t>.</w:t>
      </w:r>
      <w:r>
        <w:rPr>
          <w:rFonts w:ascii="Cambria" w:eastAsia="Cambria" w:hAnsi="Cambria" w:cs="Cambria"/>
        </w:rPr>
        <w:t>50</w:t>
      </w:r>
      <w:r>
        <w:rPr>
          <w:rFonts w:ascii="Cambria" w:eastAsia="Cambria" w:hAnsi="Cambria" w:cs="Cambria"/>
          <w:b/>
        </w:rPr>
        <w:t xml:space="preserve">; </w:t>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 0</w:t>
      </w:r>
      <w:r>
        <w:rPr>
          <w:rFonts w:ascii="Cambria" w:eastAsia="Cambria" w:hAnsi="Cambria" w:cs="Cambria"/>
          <w:i/>
        </w:rPr>
        <w:t>.</w:t>
      </w:r>
      <w:r>
        <w:rPr>
          <w:rFonts w:ascii="Cambria" w:eastAsia="Cambria" w:hAnsi="Cambria" w:cs="Cambria"/>
        </w:rPr>
        <w:t>1;</w:t>
      </w:r>
      <w:r>
        <w:rPr>
          <w:rFonts w:ascii="Cambria" w:eastAsia="Cambria" w:hAnsi="Cambria" w:cs="Cambria"/>
          <w:i/>
        </w:rPr>
        <w:t xml:space="preserve">δ </w:t>
      </w:r>
      <w:r>
        <w:rPr>
          <w:rFonts w:ascii="Cambria" w:eastAsia="Cambria" w:hAnsi="Cambria" w:cs="Cambria"/>
        </w:rPr>
        <w:t>= 0</w:t>
      </w:r>
      <w:r>
        <w:rPr>
          <w:rFonts w:ascii="Cambria" w:eastAsia="Cambria" w:hAnsi="Cambria" w:cs="Cambria"/>
          <w:i/>
        </w:rPr>
        <w:t>.</w:t>
      </w:r>
      <w:r>
        <w:rPr>
          <w:rFonts w:ascii="Cambria" w:eastAsia="Cambria" w:hAnsi="Cambria" w:cs="Cambria"/>
        </w:rPr>
        <w:t>03</w:t>
      </w:r>
      <w:r>
        <w:rPr>
          <w:rFonts w:ascii="Cambria" w:eastAsia="Cambria" w:hAnsi="Cambria" w:cs="Cambria"/>
          <w:b/>
        </w:rPr>
        <w:t>)</w:t>
      </w:r>
    </w:p>
    <w:tbl>
      <w:tblPr>
        <w:tblStyle w:val="TableGrid"/>
        <w:tblW w:w="7726" w:type="dxa"/>
        <w:tblInd w:w="817" w:type="dxa"/>
        <w:tblCellMar>
          <w:top w:w="39" w:type="dxa"/>
          <w:left w:w="124" w:type="dxa"/>
          <w:bottom w:w="0" w:type="dxa"/>
          <w:right w:w="123" w:type="dxa"/>
        </w:tblCellMar>
        <w:tblLook w:val="04A0" w:firstRow="1" w:lastRow="0" w:firstColumn="1" w:lastColumn="0" w:noHBand="0" w:noVBand="1"/>
      </w:tblPr>
      <w:tblGrid>
        <w:gridCol w:w="1245"/>
        <w:gridCol w:w="1795"/>
        <w:gridCol w:w="2375"/>
        <w:gridCol w:w="2311"/>
      </w:tblGrid>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lastRenderedPageBreak/>
              <w:t>Maturity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Credit Spread</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Short Term Impact</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Long Term Impact</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0</w:t>
            </w:r>
            <w:r>
              <w:rPr>
                <w:rFonts w:ascii="Cambria" w:eastAsia="Cambria" w:hAnsi="Cambria" w:cs="Cambria"/>
                <w:i/>
              </w:rPr>
              <w:t>.</w:t>
            </w:r>
            <w:r>
              <w:rPr>
                <w:rFonts w:ascii="Cambria" w:eastAsia="Cambria" w:hAnsi="Cambria" w:cs="Cambria"/>
              </w:rPr>
              <w:t>97</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-0.93</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1</w:t>
            </w:r>
            <w:r>
              <w:rPr>
                <w:rFonts w:ascii="Cambria" w:eastAsia="Cambria" w:hAnsi="Cambria" w:cs="Cambria"/>
                <w:i/>
              </w:rPr>
              <w:t>.</w:t>
            </w:r>
            <w:r>
              <w:rPr>
                <w:rFonts w:ascii="Cambria" w:eastAsia="Cambria" w:hAnsi="Cambria" w:cs="Cambria"/>
              </w:rPr>
              <w:t>53</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-1.49</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150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2</w:t>
            </w:r>
            <w:r>
              <w:rPr>
                <w:rFonts w:ascii="Cambria" w:eastAsia="Cambria" w:hAnsi="Cambria" w:cs="Cambria"/>
                <w:i/>
              </w:rPr>
              <w:t>.</w:t>
            </w:r>
            <w:r>
              <w:rPr>
                <w:rFonts w:ascii="Cambria" w:eastAsia="Cambria" w:hAnsi="Cambria" w:cs="Cambria"/>
              </w:rPr>
              <w:t>12</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-2.07</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2</w:t>
            </w:r>
            <w:r>
              <w:rPr>
                <w:rFonts w:ascii="Cambria" w:eastAsia="Cambria" w:hAnsi="Cambria" w:cs="Cambria"/>
                <w:i/>
              </w:rPr>
              <w:t>.</w:t>
            </w:r>
            <w:r>
              <w:rPr>
                <w:rFonts w:ascii="Cambria" w:eastAsia="Cambria" w:hAnsi="Cambria" w:cs="Cambria"/>
              </w:rPr>
              <w:t>71</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-2.66</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250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3</w:t>
            </w:r>
            <w:r>
              <w:rPr>
                <w:rFonts w:ascii="Cambria" w:eastAsia="Cambria" w:hAnsi="Cambria" w:cs="Cambria"/>
                <w:i/>
              </w:rPr>
              <w:t>.</w:t>
            </w:r>
            <w:r>
              <w:rPr>
                <w:rFonts w:ascii="Cambria" w:eastAsia="Cambria" w:hAnsi="Cambria" w:cs="Cambria"/>
              </w:rPr>
              <w:t>28</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-3.23</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3</w:t>
            </w:r>
            <w:r>
              <w:rPr>
                <w:rFonts w:ascii="Cambria" w:eastAsia="Cambria" w:hAnsi="Cambria" w:cs="Cambria"/>
                <w:i/>
              </w:rPr>
              <w:t>.</w:t>
            </w:r>
            <w:r>
              <w:rPr>
                <w:rFonts w:ascii="Cambria" w:eastAsia="Cambria" w:hAnsi="Cambria" w:cs="Cambria"/>
              </w:rPr>
              <w:t>82</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-3.76</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350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4</w:t>
            </w:r>
            <w:r>
              <w:rPr>
                <w:rFonts w:ascii="Cambria" w:eastAsia="Cambria" w:hAnsi="Cambria" w:cs="Cambria"/>
                <w:i/>
              </w:rPr>
              <w:t>.</w:t>
            </w:r>
            <w:r>
              <w:rPr>
                <w:rFonts w:ascii="Cambria" w:eastAsia="Cambria" w:hAnsi="Cambria" w:cs="Cambria"/>
              </w:rPr>
              <w:t>32</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-4.26</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4</w:t>
            </w:r>
            <w:r>
              <w:rPr>
                <w:rFonts w:ascii="Cambria" w:eastAsia="Cambria" w:hAnsi="Cambria" w:cs="Cambria"/>
                <w:i/>
              </w:rPr>
              <w:t>.</w:t>
            </w:r>
            <w:r>
              <w:rPr>
                <w:rFonts w:ascii="Cambria" w:eastAsia="Cambria" w:hAnsi="Cambria" w:cs="Cambria"/>
              </w:rPr>
              <w:t>78</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-4.72</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10</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0</w:t>
            </w:r>
            <w:r>
              <w:rPr>
                <w:rFonts w:ascii="Cambria" w:eastAsia="Cambria" w:hAnsi="Cambria" w:cs="Cambria"/>
                <w:i/>
              </w:rPr>
              <w:t>.</w:t>
            </w:r>
            <w:r>
              <w:rPr>
                <w:rFonts w:ascii="Cambria" w:eastAsia="Cambria" w:hAnsi="Cambria" w:cs="Cambria"/>
              </w:rPr>
              <w:t>98</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-0.94</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10</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1</w:t>
            </w:r>
            <w:r>
              <w:rPr>
                <w:rFonts w:ascii="Cambria" w:eastAsia="Cambria" w:hAnsi="Cambria" w:cs="Cambria"/>
                <w:i/>
              </w:rPr>
              <w:t>.</w:t>
            </w:r>
            <w:r>
              <w:rPr>
                <w:rFonts w:ascii="Cambria" w:eastAsia="Cambria" w:hAnsi="Cambria" w:cs="Cambria"/>
              </w:rPr>
              <w:t>55</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-1.51</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10</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150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2</w:t>
            </w:r>
            <w:r>
              <w:rPr>
                <w:rFonts w:ascii="Cambria" w:eastAsia="Cambria" w:hAnsi="Cambria" w:cs="Cambria"/>
                <w:i/>
              </w:rPr>
              <w:t>.</w:t>
            </w:r>
            <w:r>
              <w:rPr>
                <w:rFonts w:ascii="Cambria" w:eastAsia="Cambria" w:hAnsi="Cambria" w:cs="Cambria"/>
              </w:rPr>
              <w:t>17</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-2.12</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10</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2</w:t>
            </w:r>
            <w:r>
              <w:rPr>
                <w:rFonts w:ascii="Cambria" w:eastAsia="Cambria" w:hAnsi="Cambria" w:cs="Cambria"/>
                <w:i/>
              </w:rPr>
              <w:t>.</w:t>
            </w:r>
            <w:r>
              <w:rPr>
                <w:rFonts w:ascii="Cambria" w:eastAsia="Cambria" w:hAnsi="Cambria" w:cs="Cambria"/>
              </w:rPr>
              <w:t>81</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-2.75</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10</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250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3</w:t>
            </w:r>
            <w:r>
              <w:rPr>
                <w:rFonts w:ascii="Cambria" w:eastAsia="Cambria" w:hAnsi="Cambria" w:cs="Cambria"/>
                <w:i/>
              </w:rPr>
              <w:t>.</w:t>
            </w:r>
            <w:r>
              <w:rPr>
                <w:rFonts w:ascii="Cambria" w:eastAsia="Cambria" w:hAnsi="Cambria" w:cs="Cambria"/>
              </w:rPr>
              <w:t>44</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-3.38</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10</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4</w:t>
            </w:r>
            <w:r>
              <w:rPr>
                <w:rFonts w:ascii="Cambria" w:eastAsia="Cambria" w:hAnsi="Cambria" w:cs="Cambria"/>
                <w:i/>
              </w:rPr>
              <w:t>.</w:t>
            </w:r>
            <w:r>
              <w:rPr>
                <w:rFonts w:ascii="Cambria" w:eastAsia="Cambria" w:hAnsi="Cambria" w:cs="Cambria"/>
              </w:rPr>
              <w:t>05</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-3.90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10</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350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4</w:t>
            </w:r>
            <w:r>
              <w:rPr>
                <w:rFonts w:ascii="Cambria" w:eastAsia="Cambria" w:hAnsi="Cambria" w:cs="Cambria"/>
                <w:i/>
              </w:rPr>
              <w:t>.</w:t>
            </w:r>
            <w:r>
              <w:rPr>
                <w:rFonts w:ascii="Cambria" w:eastAsia="Cambria" w:hAnsi="Cambria" w:cs="Cambria"/>
              </w:rPr>
              <w:t>63</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-4.58</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10</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5</w:t>
            </w:r>
            <w:r>
              <w:rPr>
                <w:rFonts w:ascii="Cambria" w:eastAsia="Cambria" w:hAnsi="Cambria" w:cs="Cambria"/>
                <w:i/>
              </w:rPr>
              <w:t>.</w:t>
            </w:r>
            <w:r>
              <w:rPr>
                <w:rFonts w:ascii="Cambria" w:eastAsia="Cambria" w:hAnsi="Cambria" w:cs="Cambria"/>
              </w:rPr>
              <w:t>19</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-5.13</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0</w:t>
            </w:r>
            <w:r>
              <w:rPr>
                <w:rFonts w:ascii="Cambria" w:eastAsia="Cambria" w:hAnsi="Cambria" w:cs="Cambria"/>
                <w:i/>
              </w:rPr>
              <w:t>.</w:t>
            </w:r>
            <w:r>
              <w:rPr>
                <w:rFonts w:ascii="Cambria" w:eastAsia="Cambria" w:hAnsi="Cambria" w:cs="Cambria"/>
              </w:rPr>
              <w:t>98</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-0.94</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1</w:t>
            </w:r>
            <w:r>
              <w:rPr>
                <w:rFonts w:ascii="Cambria" w:eastAsia="Cambria" w:hAnsi="Cambria" w:cs="Cambria"/>
                <w:i/>
              </w:rPr>
              <w:t>.</w:t>
            </w:r>
            <w:r>
              <w:rPr>
                <w:rFonts w:ascii="Cambria" w:eastAsia="Cambria" w:hAnsi="Cambria" w:cs="Cambria"/>
              </w:rPr>
              <w:t>56</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-1.51</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150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2</w:t>
            </w:r>
            <w:r>
              <w:rPr>
                <w:rFonts w:ascii="Cambria" w:eastAsia="Cambria" w:hAnsi="Cambria" w:cs="Cambria"/>
                <w:i/>
              </w:rPr>
              <w:t>.</w:t>
            </w:r>
            <w:r>
              <w:rPr>
                <w:rFonts w:ascii="Cambria" w:eastAsia="Cambria" w:hAnsi="Cambria" w:cs="Cambria"/>
              </w:rPr>
              <w:t>19</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-2.13</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2</w:t>
            </w:r>
            <w:r>
              <w:rPr>
                <w:rFonts w:ascii="Cambria" w:eastAsia="Cambria" w:hAnsi="Cambria" w:cs="Cambria"/>
                <w:i/>
              </w:rPr>
              <w:t>.</w:t>
            </w:r>
            <w:r>
              <w:rPr>
                <w:rFonts w:ascii="Cambria" w:eastAsia="Cambria" w:hAnsi="Cambria" w:cs="Cambria"/>
              </w:rPr>
              <w:t>82</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-2.77</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250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3</w:t>
            </w:r>
            <w:r>
              <w:rPr>
                <w:rFonts w:ascii="Cambria" w:eastAsia="Cambria" w:hAnsi="Cambria" w:cs="Cambria"/>
                <w:i/>
              </w:rPr>
              <w:t>.</w:t>
            </w:r>
            <w:r>
              <w:rPr>
                <w:rFonts w:ascii="Cambria" w:eastAsia="Cambria" w:hAnsi="Cambria" w:cs="Cambria"/>
              </w:rPr>
              <w:t>46</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-3.40</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4</w:t>
            </w:r>
            <w:r>
              <w:rPr>
                <w:rFonts w:ascii="Cambria" w:eastAsia="Cambria" w:hAnsi="Cambria" w:cs="Cambria"/>
                <w:i/>
              </w:rPr>
              <w:t>.</w:t>
            </w:r>
            <w:r>
              <w:rPr>
                <w:rFonts w:ascii="Cambria" w:eastAsia="Cambria" w:hAnsi="Cambria" w:cs="Cambria"/>
              </w:rPr>
              <w:t>09</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-4.03</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350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4</w:t>
            </w:r>
            <w:r>
              <w:rPr>
                <w:rFonts w:ascii="Cambria" w:eastAsia="Cambria" w:hAnsi="Cambria" w:cs="Cambria"/>
                <w:i/>
              </w:rPr>
              <w:t>.</w:t>
            </w:r>
            <w:r>
              <w:rPr>
                <w:rFonts w:ascii="Cambria" w:eastAsia="Cambria" w:hAnsi="Cambria" w:cs="Cambria"/>
              </w:rPr>
              <w:t>70</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-4.64</w:t>
            </w:r>
          </w:p>
        </w:tc>
      </w:tr>
      <w:tr w:rsidR="00EE13F6">
        <w:trPr>
          <w:trHeight w:val="279"/>
        </w:trPr>
        <w:tc>
          <w:tcPr>
            <w:tcW w:w="1244"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right="49"/>
              <w:jc w:val="center"/>
            </w:pPr>
            <w:r>
              <w:rPr>
                <w:rFonts w:ascii="Cambria" w:eastAsia="Cambria" w:hAnsi="Cambria" w:cs="Cambria"/>
              </w:rPr>
              <w:t>15</w:t>
            </w:r>
            <w:r>
              <w:rPr>
                <w:rFonts w:ascii="Cambria" w:eastAsia="Cambria" w:hAnsi="Cambria" w:cs="Cambria"/>
                <w:i/>
              </w:rPr>
              <w:t>Y</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5</w:t>
            </w:r>
            <w:r>
              <w:rPr>
                <w:rFonts w:ascii="Cambria" w:eastAsia="Cambria" w:hAnsi="Cambria" w:cs="Cambria"/>
                <w:i/>
              </w:rPr>
              <w:t>.</w:t>
            </w:r>
            <w:r>
              <w:rPr>
                <w:rFonts w:ascii="Cambria" w:eastAsia="Cambria" w:hAnsi="Cambria" w:cs="Cambria"/>
              </w:rPr>
              <w:t>30</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-5.24</w:t>
            </w:r>
          </w:p>
        </w:tc>
      </w:tr>
    </w:tbl>
    <w:p w:rsidR="00EE13F6" w:rsidRDefault="002E5BC4">
      <w:pPr>
        <w:spacing w:after="207" w:line="257" w:lineRule="auto"/>
        <w:ind w:left="-5" w:right="468" w:hanging="10"/>
        <w:jc w:val="both"/>
      </w:pPr>
      <w:r>
        <w:rPr>
          <w:rFonts w:ascii="Cambria" w:eastAsia="Cambria" w:hAnsi="Cambria" w:cs="Cambria"/>
        </w:rPr>
        <w:t xml:space="preserve">Table 13: </w:t>
      </w:r>
      <w:r>
        <w:rPr>
          <w:rFonts w:ascii="Cambria" w:eastAsia="Cambria" w:hAnsi="Cambria" w:cs="Cambria"/>
          <w:b/>
        </w:rPr>
        <w:t>Short and Long Term Impact (in percent) of the FTT at the Optimum Leverage for Various Corporate Tax Rates (</w:t>
      </w:r>
      <w:r>
        <w:rPr>
          <w:rFonts w:ascii="Cambria" w:eastAsia="Cambria" w:hAnsi="Cambria" w:cs="Cambria"/>
          <w:i/>
        </w:rPr>
        <w:t xml:space="preserve">r </w:t>
      </w:r>
      <w:r>
        <w:rPr>
          <w:rFonts w:ascii="Cambria" w:eastAsia="Cambria" w:hAnsi="Cambria" w:cs="Cambria"/>
        </w:rPr>
        <w:t>= 0</w:t>
      </w:r>
      <w:r>
        <w:rPr>
          <w:rFonts w:ascii="Cambria" w:eastAsia="Cambria" w:hAnsi="Cambria" w:cs="Cambria"/>
          <w:i/>
        </w:rPr>
        <w:t>.</w:t>
      </w:r>
      <w:r>
        <w:rPr>
          <w:rFonts w:ascii="Cambria" w:eastAsia="Cambria" w:hAnsi="Cambria" w:cs="Cambria"/>
        </w:rPr>
        <w:t>01</w:t>
      </w:r>
      <w:r>
        <w:rPr>
          <w:rFonts w:ascii="Cambria" w:eastAsia="Cambria" w:hAnsi="Cambria" w:cs="Cambria"/>
          <w:b/>
        </w:rPr>
        <w:t xml:space="preserve">; </w:t>
      </w:r>
      <w:r>
        <w:rPr>
          <w:rFonts w:ascii="Cambria" w:eastAsia="Cambria" w:hAnsi="Cambria" w:cs="Cambria"/>
          <w:i/>
        </w:rPr>
        <w:t xml:space="preserve">ρ </w:t>
      </w:r>
      <w:r>
        <w:rPr>
          <w:rFonts w:ascii="Cambria" w:eastAsia="Cambria" w:hAnsi="Cambria" w:cs="Cambria"/>
        </w:rPr>
        <w:t>= 0</w:t>
      </w:r>
      <w:r>
        <w:rPr>
          <w:rFonts w:ascii="Cambria" w:eastAsia="Cambria" w:hAnsi="Cambria" w:cs="Cambria"/>
          <w:i/>
        </w:rPr>
        <w:t>.</w:t>
      </w:r>
      <w:r>
        <w:rPr>
          <w:rFonts w:ascii="Cambria" w:eastAsia="Cambria" w:hAnsi="Cambria" w:cs="Cambria"/>
        </w:rPr>
        <w:t>35</w:t>
      </w:r>
      <w:r>
        <w:rPr>
          <w:rFonts w:ascii="Cambria" w:eastAsia="Cambria" w:hAnsi="Cambria" w:cs="Cambria"/>
          <w:b/>
        </w:rPr>
        <w:t xml:space="preserve">;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50</w:t>
      </w:r>
      <w:r>
        <w:rPr>
          <w:rFonts w:ascii="Cambria" w:eastAsia="Cambria" w:hAnsi="Cambria" w:cs="Cambria"/>
          <w:b/>
        </w:rPr>
        <w:t xml:space="preserve">; </w:t>
      </w:r>
      <w:r>
        <w:rPr>
          <w:rFonts w:ascii="Cambria" w:eastAsia="Cambria" w:hAnsi="Cambria" w:cs="Cambria"/>
          <w:i/>
        </w:rPr>
        <w:t>σ</w:t>
      </w:r>
      <w:r>
        <w:rPr>
          <w:rFonts w:ascii="Cambria" w:eastAsia="Cambria" w:hAnsi="Cambria" w:cs="Cambria"/>
          <w:i/>
          <w:vertAlign w:val="subscript"/>
        </w:rPr>
        <w:t xml:space="preserve">A </w:t>
      </w:r>
      <w:r>
        <w:rPr>
          <w:rFonts w:ascii="Cambria" w:eastAsia="Cambria" w:hAnsi="Cambria" w:cs="Cambria"/>
        </w:rPr>
        <w:t>= 0</w:t>
      </w:r>
      <w:r>
        <w:rPr>
          <w:rFonts w:ascii="Cambria" w:eastAsia="Cambria" w:hAnsi="Cambria" w:cs="Cambria"/>
          <w:i/>
        </w:rPr>
        <w:t>.</w:t>
      </w:r>
      <w:r>
        <w:rPr>
          <w:rFonts w:ascii="Cambria" w:eastAsia="Cambria" w:hAnsi="Cambria" w:cs="Cambria"/>
        </w:rPr>
        <w:t>1</w:t>
      </w:r>
      <w:r>
        <w:rPr>
          <w:rFonts w:ascii="Cambria" w:eastAsia="Cambria" w:hAnsi="Cambria" w:cs="Cambria"/>
          <w:b/>
        </w:rPr>
        <w:t>;</w:t>
      </w:r>
      <w:r>
        <w:rPr>
          <w:rFonts w:ascii="Cambria" w:eastAsia="Cambria" w:hAnsi="Cambria" w:cs="Cambria"/>
          <w:i/>
        </w:rPr>
        <w:t xml:space="preserve">δ </w:t>
      </w:r>
      <w:r>
        <w:rPr>
          <w:rFonts w:ascii="Cambria" w:eastAsia="Cambria" w:hAnsi="Cambria" w:cs="Cambria"/>
        </w:rPr>
        <w:t>= 0</w:t>
      </w:r>
      <w:r>
        <w:rPr>
          <w:rFonts w:ascii="Cambria" w:eastAsia="Cambria" w:hAnsi="Cambria" w:cs="Cambria"/>
          <w:i/>
        </w:rPr>
        <w:t>.</w:t>
      </w:r>
      <w:r>
        <w:rPr>
          <w:rFonts w:ascii="Cambria" w:eastAsia="Cambria" w:hAnsi="Cambria" w:cs="Cambria"/>
        </w:rPr>
        <w:t>03</w:t>
      </w:r>
      <w:r>
        <w:rPr>
          <w:rFonts w:ascii="Cambria" w:eastAsia="Cambria" w:hAnsi="Cambria" w:cs="Cambria"/>
          <w:b/>
        </w:rPr>
        <w:t>;</w:t>
      </w:r>
      <w:r>
        <w:rPr>
          <w:rFonts w:ascii="Cambria" w:eastAsia="Cambria" w:hAnsi="Cambria" w:cs="Cambria"/>
          <w:i/>
        </w:rPr>
        <w:t xml:space="preserve">T </w:t>
      </w:r>
      <w:r>
        <w:rPr>
          <w:rFonts w:ascii="Cambria" w:eastAsia="Cambria" w:hAnsi="Cambria" w:cs="Cambria"/>
        </w:rPr>
        <w:t>= 5</w:t>
      </w:r>
      <w:r>
        <w:rPr>
          <w:rFonts w:ascii="Cambria" w:eastAsia="Cambria" w:hAnsi="Cambria" w:cs="Cambria"/>
          <w:i/>
        </w:rPr>
        <w:t>Y ears</w:t>
      </w:r>
      <w:r>
        <w:rPr>
          <w:rFonts w:ascii="Cambria" w:eastAsia="Cambria" w:hAnsi="Cambria" w:cs="Cambria"/>
        </w:rPr>
        <w:t>)</w:t>
      </w:r>
    </w:p>
    <w:tbl>
      <w:tblPr>
        <w:tblStyle w:val="TableGrid"/>
        <w:tblW w:w="8806" w:type="dxa"/>
        <w:tblInd w:w="277" w:type="dxa"/>
        <w:tblCellMar>
          <w:top w:w="39" w:type="dxa"/>
          <w:left w:w="124" w:type="dxa"/>
          <w:bottom w:w="0" w:type="dxa"/>
          <w:right w:w="123" w:type="dxa"/>
        </w:tblCellMar>
        <w:tblLook w:val="04A0" w:firstRow="1" w:lastRow="0" w:firstColumn="1" w:lastColumn="0" w:noHBand="0" w:noVBand="1"/>
      </w:tblPr>
      <w:tblGrid>
        <w:gridCol w:w="2325"/>
        <w:gridCol w:w="1795"/>
        <w:gridCol w:w="2375"/>
        <w:gridCol w:w="2311"/>
      </w:tblGrid>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Corporate tax rate</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Credit Spread</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Short Term Impact</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Long Term Impact</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15</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0</w:t>
            </w:r>
            <w:r>
              <w:rPr>
                <w:rFonts w:ascii="Cambria" w:eastAsia="Cambria" w:hAnsi="Cambria" w:cs="Cambria"/>
                <w:i/>
              </w:rPr>
              <w:t>.</w:t>
            </w:r>
            <w:r>
              <w:rPr>
                <w:rFonts w:ascii="Cambria" w:eastAsia="Cambria" w:hAnsi="Cambria" w:cs="Cambria"/>
              </w:rPr>
              <w:t>36</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-0.33</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20</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0</w:t>
            </w:r>
            <w:r>
              <w:rPr>
                <w:rFonts w:ascii="Cambria" w:eastAsia="Cambria" w:hAnsi="Cambria" w:cs="Cambria"/>
                <w:i/>
              </w:rPr>
              <w:t>.</w:t>
            </w:r>
            <w:r>
              <w:rPr>
                <w:rFonts w:ascii="Cambria" w:eastAsia="Cambria" w:hAnsi="Cambria" w:cs="Cambria"/>
              </w:rPr>
              <w:t>61</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-0.58</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25</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0</w:t>
            </w:r>
            <w:r>
              <w:rPr>
                <w:rFonts w:ascii="Cambria" w:eastAsia="Cambria" w:hAnsi="Cambria" w:cs="Cambria"/>
                <w:i/>
              </w:rPr>
              <w:t>.</w:t>
            </w:r>
            <w:r>
              <w:rPr>
                <w:rFonts w:ascii="Cambria" w:eastAsia="Cambria" w:hAnsi="Cambria" w:cs="Cambria"/>
              </w:rPr>
              <w:t>90</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-0.86</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30</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1</w:t>
            </w:r>
            <w:r>
              <w:rPr>
                <w:rFonts w:ascii="Cambria" w:eastAsia="Cambria" w:hAnsi="Cambria" w:cs="Cambria"/>
                <w:i/>
              </w:rPr>
              <w:t>.</w:t>
            </w:r>
            <w:r>
              <w:rPr>
                <w:rFonts w:ascii="Cambria" w:eastAsia="Cambria" w:hAnsi="Cambria" w:cs="Cambria"/>
              </w:rPr>
              <w:t>21</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-1.17</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35</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1</w:t>
            </w:r>
            <w:r>
              <w:rPr>
                <w:rFonts w:ascii="Cambria" w:eastAsia="Cambria" w:hAnsi="Cambria" w:cs="Cambria"/>
                <w:i/>
              </w:rPr>
              <w:t>.</w:t>
            </w:r>
            <w:r>
              <w:rPr>
                <w:rFonts w:ascii="Cambria" w:eastAsia="Cambria" w:hAnsi="Cambria" w:cs="Cambria"/>
              </w:rPr>
              <w:t>53</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-1.49</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15</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0</w:t>
            </w:r>
            <w:r>
              <w:rPr>
                <w:rFonts w:ascii="Cambria" w:eastAsia="Cambria" w:hAnsi="Cambria" w:cs="Cambria"/>
                <w:i/>
              </w:rPr>
              <w:t>.</w:t>
            </w:r>
            <w:r>
              <w:rPr>
                <w:rFonts w:ascii="Cambria" w:eastAsia="Cambria" w:hAnsi="Cambria" w:cs="Cambria"/>
              </w:rPr>
              <w:t>76</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-0.72</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20</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1</w:t>
            </w:r>
            <w:r>
              <w:rPr>
                <w:rFonts w:ascii="Cambria" w:eastAsia="Cambria" w:hAnsi="Cambria" w:cs="Cambria"/>
                <w:i/>
              </w:rPr>
              <w:t>.</w:t>
            </w:r>
            <w:r>
              <w:rPr>
                <w:rFonts w:ascii="Cambria" w:eastAsia="Cambria" w:hAnsi="Cambria" w:cs="Cambria"/>
              </w:rPr>
              <w:t>22</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-1.18</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25</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1</w:t>
            </w:r>
            <w:r>
              <w:rPr>
                <w:rFonts w:ascii="Cambria" w:eastAsia="Cambria" w:hAnsi="Cambria" w:cs="Cambria"/>
                <w:i/>
              </w:rPr>
              <w:t>.</w:t>
            </w:r>
            <w:r>
              <w:rPr>
                <w:rFonts w:ascii="Cambria" w:eastAsia="Cambria" w:hAnsi="Cambria" w:cs="Cambria"/>
              </w:rPr>
              <w:t>72</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-1.67</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30</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2</w:t>
            </w:r>
            <w:r>
              <w:rPr>
                <w:rFonts w:ascii="Cambria" w:eastAsia="Cambria" w:hAnsi="Cambria" w:cs="Cambria"/>
                <w:i/>
              </w:rPr>
              <w:t>.</w:t>
            </w:r>
            <w:r>
              <w:rPr>
                <w:rFonts w:ascii="Cambria" w:eastAsia="Cambria" w:hAnsi="Cambria" w:cs="Cambria"/>
              </w:rPr>
              <w:t>33</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-2.17</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35</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2</w:t>
            </w:r>
            <w:r>
              <w:rPr>
                <w:rFonts w:ascii="Cambria" w:eastAsia="Cambria" w:hAnsi="Cambria" w:cs="Cambria"/>
                <w:i/>
              </w:rPr>
              <w:t>.</w:t>
            </w:r>
            <w:r>
              <w:rPr>
                <w:rFonts w:ascii="Cambria" w:eastAsia="Cambria" w:hAnsi="Cambria" w:cs="Cambria"/>
              </w:rPr>
              <w:t>71</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-2.66</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15</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1</w:t>
            </w:r>
            <w:r>
              <w:rPr>
                <w:rFonts w:ascii="Cambria" w:eastAsia="Cambria" w:hAnsi="Cambria" w:cs="Cambria"/>
                <w:i/>
              </w:rPr>
              <w:t>.</w:t>
            </w:r>
            <w:r>
              <w:rPr>
                <w:rFonts w:ascii="Cambria" w:eastAsia="Cambria" w:hAnsi="Cambria" w:cs="Cambria"/>
              </w:rPr>
              <w:t>24</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-1.19</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lastRenderedPageBreak/>
              <w:t>0</w:t>
            </w:r>
            <w:r>
              <w:rPr>
                <w:rFonts w:ascii="Cambria" w:eastAsia="Cambria" w:hAnsi="Cambria" w:cs="Cambria"/>
                <w:i/>
              </w:rPr>
              <w:t>.</w:t>
            </w:r>
            <w:r>
              <w:rPr>
                <w:rFonts w:ascii="Cambria" w:eastAsia="Cambria" w:hAnsi="Cambria" w:cs="Cambria"/>
              </w:rPr>
              <w:t>20</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1</w:t>
            </w:r>
            <w:r>
              <w:rPr>
                <w:rFonts w:ascii="Cambria" w:eastAsia="Cambria" w:hAnsi="Cambria" w:cs="Cambria"/>
                <w:i/>
              </w:rPr>
              <w:t>.</w:t>
            </w:r>
            <w:r>
              <w:rPr>
                <w:rFonts w:ascii="Cambria" w:eastAsia="Cambria" w:hAnsi="Cambria" w:cs="Cambria"/>
              </w:rPr>
              <w:t>92</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-1.87</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25</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2</w:t>
            </w:r>
            <w:r>
              <w:rPr>
                <w:rFonts w:ascii="Cambria" w:eastAsia="Cambria" w:hAnsi="Cambria" w:cs="Cambria"/>
                <w:i/>
              </w:rPr>
              <w:t>.</w:t>
            </w:r>
            <w:r>
              <w:rPr>
                <w:rFonts w:ascii="Cambria" w:eastAsia="Cambria" w:hAnsi="Cambria" w:cs="Cambria"/>
              </w:rPr>
              <w:t>60</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-2.55</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30</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3</w:t>
            </w:r>
            <w:r>
              <w:rPr>
                <w:rFonts w:ascii="Cambria" w:eastAsia="Cambria" w:hAnsi="Cambria" w:cs="Cambria"/>
                <w:i/>
              </w:rPr>
              <w:t>.</w:t>
            </w:r>
            <w:r>
              <w:rPr>
                <w:rFonts w:ascii="Cambria" w:eastAsia="Cambria" w:hAnsi="Cambria" w:cs="Cambria"/>
              </w:rPr>
              <w:t>24</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-3.19</w:t>
            </w:r>
          </w:p>
        </w:tc>
      </w:tr>
      <w:tr w:rsidR="00EE13F6">
        <w:trPr>
          <w:trHeight w:val="279"/>
        </w:trPr>
        <w:tc>
          <w:tcPr>
            <w:tcW w:w="2324"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w:t>
            </w:r>
            <w:r>
              <w:rPr>
                <w:rFonts w:ascii="Cambria" w:eastAsia="Cambria" w:hAnsi="Cambria" w:cs="Cambria"/>
                <w:i/>
              </w:rPr>
              <w:t>.</w:t>
            </w:r>
            <w:r>
              <w:rPr>
                <w:rFonts w:ascii="Cambria" w:eastAsia="Cambria" w:hAnsi="Cambria" w:cs="Cambria"/>
              </w:rPr>
              <w:t>35</w:t>
            </w:r>
          </w:p>
        </w:tc>
        <w:tc>
          <w:tcPr>
            <w:tcW w:w="179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300</w:t>
            </w:r>
          </w:p>
        </w:tc>
        <w:tc>
          <w:tcPr>
            <w:tcW w:w="2375"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w:t>
            </w:r>
            <w:r>
              <w:rPr>
                <w:rFonts w:ascii="Cambria" w:eastAsia="Cambria" w:hAnsi="Cambria" w:cs="Cambria"/>
              </w:rPr>
              <w:t>3</w:t>
            </w:r>
            <w:r>
              <w:rPr>
                <w:rFonts w:ascii="Cambria" w:eastAsia="Cambria" w:hAnsi="Cambria" w:cs="Cambria"/>
                <w:i/>
              </w:rPr>
              <w:t>.</w:t>
            </w:r>
            <w:r>
              <w:rPr>
                <w:rFonts w:ascii="Cambria" w:eastAsia="Cambria" w:hAnsi="Cambria" w:cs="Cambria"/>
              </w:rPr>
              <w:t>82</w:t>
            </w:r>
          </w:p>
        </w:tc>
        <w:tc>
          <w:tcPr>
            <w:tcW w:w="2311"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-3.76</w:t>
            </w:r>
          </w:p>
        </w:tc>
      </w:tr>
    </w:tbl>
    <w:p w:rsidR="00EE13F6" w:rsidRDefault="002E5BC4">
      <w:pPr>
        <w:spacing w:after="0" w:line="264" w:lineRule="auto"/>
        <w:ind w:left="-5" w:right="468" w:hanging="10"/>
        <w:jc w:val="both"/>
      </w:pPr>
      <w:r>
        <w:rPr>
          <w:rFonts w:ascii="Cambria" w:eastAsia="Cambria" w:hAnsi="Cambria" w:cs="Cambria"/>
        </w:rPr>
        <w:t>Figure 6: Long Term Reaction of the Expected Theoretical Share Price for an Optimal Capital</w:t>
      </w:r>
    </w:p>
    <w:p w:rsidR="00EE13F6" w:rsidRDefault="002E5BC4">
      <w:pPr>
        <w:spacing w:after="0" w:line="264" w:lineRule="auto"/>
        <w:ind w:left="-5" w:right="468" w:hanging="10"/>
        <w:jc w:val="both"/>
      </w:pPr>
      <w:r>
        <w:rPr>
          <w:rFonts w:ascii="Cambria" w:eastAsia="Cambria" w:hAnsi="Cambria" w:cs="Cambria"/>
        </w:rPr>
        <w:t>Structure Depending Upon Spread and Leverage</w:t>
      </w:r>
    </w:p>
    <w:p w:rsidR="00EE13F6" w:rsidRDefault="002E5BC4">
      <w:pPr>
        <w:spacing w:after="0"/>
        <w:ind w:left="662"/>
      </w:pPr>
      <w:r>
        <w:rPr>
          <w:noProof/>
        </w:rPr>
        <mc:AlternateContent>
          <mc:Choice Requires="wpg">
            <w:drawing>
              <wp:inline distT="0" distB="0" distL="0" distR="0">
                <wp:extent cx="5105911" cy="2555740"/>
                <wp:effectExtent l="0" t="0" r="0" b="0"/>
                <wp:docPr id="210721" name="Group 210721"/>
                <wp:cNvGraphicFramePr/>
                <a:graphic xmlns:a="http://schemas.openxmlformats.org/drawingml/2006/main">
                  <a:graphicData uri="http://schemas.microsoft.com/office/word/2010/wordprocessingGroup">
                    <wpg:wgp>
                      <wpg:cNvGrpSpPr/>
                      <wpg:grpSpPr>
                        <a:xfrm>
                          <a:off x="0" y="0"/>
                          <a:ext cx="5105911" cy="2555740"/>
                          <a:chOff x="0" y="0"/>
                          <a:chExt cx="5105911" cy="2555740"/>
                        </a:xfrm>
                      </wpg:grpSpPr>
                      <wps:wsp>
                        <wps:cNvPr id="22625" name="Shape 22625"/>
                        <wps:cNvSpPr/>
                        <wps:spPr>
                          <a:xfrm>
                            <a:off x="128065" y="2338585"/>
                            <a:ext cx="4911029" cy="0"/>
                          </a:xfrm>
                          <a:custGeom>
                            <a:avLst/>
                            <a:gdLst/>
                            <a:ahLst/>
                            <a:cxnLst/>
                            <a:rect l="0" t="0" r="0" b="0"/>
                            <a:pathLst>
                              <a:path w="4911029">
                                <a:moveTo>
                                  <a:pt x="0" y="0"/>
                                </a:moveTo>
                                <a:lnTo>
                                  <a:pt x="4911029" y="0"/>
                                </a:lnTo>
                              </a:path>
                            </a:pathLst>
                          </a:custGeom>
                          <a:ln w="5568" cap="flat">
                            <a:round/>
                          </a:ln>
                        </wps:spPr>
                        <wps:style>
                          <a:lnRef idx="1">
                            <a:srgbClr val="D9D9D9"/>
                          </a:lnRef>
                          <a:fillRef idx="0">
                            <a:srgbClr val="000000">
                              <a:alpha val="0"/>
                            </a:srgbClr>
                          </a:fillRef>
                          <a:effectRef idx="0">
                            <a:scrgbClr r="0" g="0" b="0"/>
                          </a:effectRef>
                          <a:fontRef idx="none"/>
                        </wps:style>
                        <wps:bodyPr/>
                      </wps:wsp>
                      <wps:wsp>
                        <wps:cNvPr id="22626" name="Shape 22626"/>
                        <wps:cNvSpPr/>
                        <wps:spPr>
                          <a:xfrm>
                            <a:off x="128065" y="1987797"/>
                            <a:ext cx="4911029" cy="0"/>
                          </a:xfrm>
                          <a:custGeom>
                            <a:avLst/>
                            <a:gdLst/>
                            <a:ahLst/>
                            <a:cxnLst/>
                            <a:rect l="0" t="0" r="0" b="0"/>
                            <a:pathLst>
                              <a:path w="4911029">
                                <a:moveTo>
                                  <a:pt x="0" y="0"/>
                                </a:moveTo>
                                <a:lnTo>
                                  <a:pt x="4911029" y="0"/>
                                </a:lnTo>
                              </a:path>
                            </a:pathLst>
                          </a:custGeom>
                          <a:ln w="5568" cap="flat">
                            <a:round/>
                          </a:ln>
                        </wps:spPr>
                        <wps:style>
                          <a:lnRef idx="1">
                            <a:srgbClr val="D9D9D9"/>
                          </a:lnRef>
                          <a:fillRef idx="0">
                            <a:srgbClr val="000000">
                              <a:alpha val="0"/>
                            </a:srgbClr>
                          </a:fillRef>
                          <a:effectRef idx="0">
                            <a:scrgbClr r="0" g="0" b="0"/>
                          </a:effectRef>
                          <a:fontRef idx="none"/>
                        </wps:style>
                        <wps:bodyPr/>
                      </wps:wsp>
                      <wps:wsp>
                        <wps:cNvPr id="22627" name="Shape 22627"/>
                        <wps:cNvSpPr/>
                        <wps:spPr>
                          <a:xfrm>
                            <a:off x="128065" y="1631442"/>
                            <a:ext cx="4911029" cy="0"/>
                          </a:xfrm>
                          <a:custGeom>
                            <a:avLst/>
                            <a:gdLst/>
                            <a:ahLst/>
                            <a:cxnLst/>
                            <a:rect l="0" t="0" r="0" b="0"/>
                            <a:pathLst>
                              <a:path w="4911029">
                                <a:moveTo>
                                  <a:pt x="0" y="0"/>
                                </a:moveTo>
                                <a:lnTo>
                                  <a:pt x="4911029" y="0"/>
                                </a:lnTo>
                              </a:path>
                            </a:pathLst>
                          </a:custGeom>
                          <a:ln w="5568" cap="flat">
                            <a:round/>
                          </a:ln>
                        </wps:spPr>
                        <wps:style>
                          <a:lnRef idx="1">
                            <a:srgbClr val="D9D9D9"/>
                          </a:lnRef>
                          <a:fillRef idx="0">
                            <a:srgbClr val="000000">
                              <a:alpha val="0"/>
                            </a:srgbClr>
                          </a:fillRef>
                          <a:effectRef idx="0">
                            <a:scrgbClr r="0" g="0" b="0"/>
                          </a:effectRef>
                          <a:fontRef idx="none"/>
                        </wps:style>
                        <wps:bodyPr/>
                      </wps:wsp>
                      <wps:wsp>
                        <wps:cNvPr id="22628" name="Shape 22628"/>
                        <wps:cNvSpPr/>
                        <wps:spPr>
                          <a:xfrm>
                            <a:off x="128065" y="1280654"/>
                            <a:ext cx="4911029" cy="0"/>
                          </a:xfrm>
                          <a:custGeom>
                            <a:avLst/>
                            <a:gdLst/>
                            <a:ahLst/>
                            <a:cxnLst/>
                            <a:rect l="0" t="0" r="0" b="0"/>
                            <a:pathLst>
                              <a:path w="4911029">
                                <a:moveTo>
                                  <a:pt x="0" y="0"/>
                                </a:moveTo>
                                <a:lnTo>
                                  <a:pt x="4911029" y="0"/>
                                </a:lnTo>
                              </a:path>
                            </a:pathLst>
                          </a:custGeom>
                          <a:ln w="5568" cap="flat">
                            <a:round/>
                          </a:ln>
                        </wps:spPr>
                        <wps:style>
                          <a:lnRef idx="1">
                            <a:srgbClr val="D9D9D9"/>
                          </a:lnRef>
                          <a:fillRef idx="0">
                            <a:srgbClr val="000000">
                              <a:alpha val="0"/>
                            </a:srgbClr>
                          </a:fillRef>
                          <a:effectRef idx="0">
                            <a:scrgbClr r="0" g="0" b="0"/>
                          </a:effectRef>
                          <a:fontRef idx="none"/>
                        </wps:style>
                        <wps:bodyPr/>
                      </wps:wsp>
                      <wps:wsp>
                        <wps:cNvPr id="22629" name="Shape 22629"/>
                        <wps:cNvSpPr/>
                        <wps:spPr>
                          <a:xfrm>
                            <a:off x="128065" y="929866"/>
                            <a:ext cx="4911029" cy="0"/>
                          </a:xfrm>
                          <a:custGeom>
                            <a:avLst/>
                            <a:gdLst/>
                            <a:ahLst/>
                            <a:cxnLst/>
                            <a:rect l="0" t="0" r="0" b="0"/>
                            <a:pathLst>
                              <a:path w="4911029">
                                <a:moveTo>
                                  <a:pt x="0" y="0"/>
                                </a:moveTo>
                                <a:lnTo>
                                  <a:pt x="4911029" y="0"/>
                                </a:lnTo>
                              </a:path>
                            </a:pathLst>
                          </a:custGeom>
                          <a:ln w="5568" cap="flat">
                            <a:round/>
                          </a:ln>
                        </wps:spPr>
                        <wps:style>
                          <a:lnRef idx="1">
                            <a:srgbClr val="D9D9D9"/>
                          </a:lnRef>
                          <a:fillRef idx="0">
                            <a:srgbClr val="000000">
                              <a:alpha val="0"/>
                            </a:srgbClr>
                          </a:fillRef>
                          <a:effectRef idx="0">
                            <a:scrgbClr r="0" g="0" b="0"/>
                          </a:effectRef>
                          <a:fontRef idx="none"/>
                        </wps:style>
                        <wps:bodyPr/>
                      </wps:wsp>
                      <wps:wsp>
                        <wps:cNvPr id="22630" name="Shape 22630"/>
                        <wps:cNvSpPr/>
                        <wps:spPr>
                          <a:xfrm>
                            <a:off x="128065" y="579078"/>
                            <a:ext cx="4911029" cy="0"/>
                          </a:xfrm>
                          <a:custGeom>
                            <a:avLst/>
                            <a:gdLst/>
                            <a:ahLst/>
                            <a:cxnLst/>
                            <a:rect l="0" t="0" r="0" b="0"/>
                            <a:pathLst>
                              <a:path w="4911029">
                                <a:moveTo>
                                  <a:pt x="0" y="0"/>
                                </a:moveTo>
                                <a:lnTo>
                                  <a:pt x="4911029" y="0"/>
                                </a:lnTo>
                              </a:path>
                            </a:pathLst>
                          </a:custGeom>
                          <a:ln w="5568" cap="flat">
                            <a:round/>
                          </a:ln>
                        </wps:spPr>
                        <wps:style>
                          <a:lnRef idx="1">
                            <a:srgbClr val="D9D9D9"/>
                          </a:lnRef>
                          <a:fillRef idx="0">
                            <a:srgbClr val="000000">
                              <a:alpha val="0"/>
                            </a:srgbClr>
                          </a:fillRef>
                          <a:effectRef idx="0">
                            <a:scrgbClr r="0" g="0" b="0"/>
                          </a:effectRef>
                          <a:fontRef idx="none"/>
                        </wps:style>
                        <wps:bodyPr/>
                      </wps:wsp>
                      <wps:wsp>
                        <wps:cNvPr id="22631" name="Shape 22631"/>
                        <wps:cNvSpPr/>
                        <wps:spPr>
                          <a:xfrm>
                            <a:off x="128065" y="228290"/>
                            <a:ext cx="4911029" cy="0"/>
                          </a:xfrm>
                          <a:custGeom>
                            <a:avLst/>
                            <a:gdLst/>
                            <a:ahLst/>
                            <a:cxnLst/>
                            <a:rect l="0" t="0" r="0" b="0"/>
                            <a:pathLst>
                              <a:path w="4911029">
                                <a:moveTo>
                                  <a:pt x="0" y="0"/>
                                </a:moveTo>
                                <a:lnTo>
                                  <a:pt x="4911029" y="0"/>
                                </a:lnTo>
                              </a:path>
                            </a:pathLst>
                          </a:custGeom>
                          <a:ln w="5568" cap="flat">
                            <a:round/>
                          </a:ln>
                        </wps:spPr>
                        <wps:style>
                          <a:lnRef idx="1">
                            <a:srgbClr val="D9D9D9"/>
                          </a:lnRef>
                          <a:fillRef idx="0">
                            <a:srgbClr val="000000">
                              <a:alpha val="0"/>
                            </a:srgbClr>
                          </a:fillRef>
                          <a:effectRef idx="0">
                            <a:scrgbClr r="0" g="0" b="0"/>
                          </a:effectRef>
                          <a:fontRef idx="none"/>
                        </wps:style>
                        <wps:bodyPr/>
                      </wps:wsp>
                      <wps:wsp>
                        <wps:cNvPr id="22632" name="Shape 22632"/>
                        <wps:cNvSpPr/>
                        <wps:spPr>
                          <a:xfrm>
                            <a:off x="431525" y="554022"/>
                            <a:ext cx="4298543" cy="1330767"/>
                          </a:xfrm>
                          <a:custGeom>
                            <a:avLst/>
                            <a:gdLst/>
                            <a:ahLst/>
                            <a:cxnLst/>
                            <a:rect l="0" t="0" r="0" b="0"/>
                            <a:pathLst>
                              <a:path w="4298543" h="1330767">
                                <a:moveTo>
                                  <a:pt x="0" y="0"/>
                                </a:moveTo>
                                <a:lnTo>
                                  <a:pt x="618055" y="200450"/>
                                </a:lnTo>
                                <a:lnTo>
                                  <a:pt x="1230541" y="400900"/>
                                </a:lnTo>
                                <a:lnTo>
                                  <a:pt x="1843028" y="606919"/>
                                </a:lnTo>
                                <a:lnTo>
                                  <a:pt x="2455515" y="807369"/>
                                </a:lnTo>
                                <a:lnTo>
                                  <a:pt x="3068001" y="996683"/>
                                </a:lnTo>
                                <a:lnTo>
                                  <a:pt x="3686057" y="1169293"/>
                                </a:lnTo>
                                <a:lnTo>
                                  <a:pt x="4298543" y="1330767"/>
                                </a:lnTo>
                              </a:path>
                            </a:pathLst>
                          </a:custGeom>
                          <a:ln w="11136" cap="rnd">
                            <a:round/>
                          </a:ln>
                        </wps:spPr>
                        <wps:style>
                          <a:lnRef idx="1">
                            <a:srgbClr val="5B9BD5"/>
                          </a:lnRef>
                          <a:fillRef idx="0">
                            <a:srgbClr val="000000">
                              <a:alpha val="0"/>
                            </a:srgbClr>
                          </a:fillRef>
                          <a:effectRef idx="0">
                            <a:scrgbClr r="0" g="0" b="0"/>
                          </a:effectRef>
                          <a:fontRef idx="none"/>
                        </wps:style>
                        <wps:bodyPr/>
                      </wps:wsp>
                      <wps:wsp>
                        <wps:cNvPr id="22633" name="Shape 22633"/>
                        <wps:cNvSpPr/>
                        <wps:spPr>
                          <a:xfrm>
                            <a:off x="431525" y="559590"/>
                            <a:ext cx="4298543" cy="1469968"/>
                          </a:xfrm>
                          <a:custGeom>
                            <a:avLst/>
                            <a:gdLst/>
                            <a:ahLst/>
                            <a:cxnLst/>
                            <a:rect l="0" t="0" r="0" b="0"/>
                            <a:pathLst>
                              <a:path w="4298543" h="1469968">
                                <a:moveTo>
                                  <a:pt x="0" y="0"/>
                                </a:moveTo>
                                <a:lnTo>
                                  <a:pt x="618055" y="200451"/>
                                </a:lnTo>
                                <a:lnTo>
                                  <a:pt x="1230541" y="412036"/>
                                </a:lnTo>
                                <a:lnTo>
                                  <a:pt x="1843028" y="634759"/>
                                </a:lnTo>
                                <a:lnTo>
                                  <a:pt x="2455515" y="857481"/>
                                </a:lnTo>
                                <a:lnTo>
                                  <a:pt x="3068001" y="1041227"/>
                                </a:lnTo>
                                <a:lnTo>
                                  <a:pt x="3686057" y="1280654"/>
                                </a:lnTo>
                                <a:lnTo>
                                  <a:pt x="4298543" y="1469968"/>
                                </a:lnTo>
                              </a:path>
                            </a:pathLst>
                          </a:custGeom>
                          <a:ln w="11136" cap="rnd">
                            <a:round/>
                          </a:ln>
                        </wps:spPr>
                        <wps:style>
                          <a:lnRef idx="1">
                            <a:srgbClr val="ED7D31"/>
                          </a:lnRef>
                          <a:fillRef idx="0">
                            <a:srgbClr val="000000">
                              <a:alpha val="0"/>
                            </a:srgbClr>
                          </a:fillRef>
                          <a:effectRef idx="0">
                            <a:scrgbClr r="0" g="0" b="0"/>
                          </a:effectRef>
                          <a:fontRef idx="none"/>
                        </wps:style>
                        <wps:bodyPr/>
                      </wps:wsp>
                      <wps:wsp>
                        <wps:cNvPr id="22634" name="Shape 22634"/>
                        <wps:cNvSpPr/>
                        <wps:spPr>
                          <a:xfrm>
                            <a:off x="431525" y="559590"/>
                            <a:ext cx="4298543" cy="1508944"/>
                          </a:xfrm>
                          <a:custGeom>
                            <a:avLst/>
                            <a:gdLst/>
                            <a:ahLst/>
                            <a:cxnLst/>
                            <a:rect l="0" t="0" r="0" b="0"/>
                            <a:pathLst>
                              <a:path w="4298543" h="1508944">
                                <a:moveTo>
                                  <a:pt x="0" y="0"/>
                                </a:moveTo>
                                <a:lnTo>
                                  <a:pt x="618055" y="200451"/>
                                </a:lnTo>
                                <a:lnTo>
                                  <a:pt x="1230541" y="417605"/>
                                </a:lnTo>
                                <a:lnTo>
                                  <a:pt x="1843028" y="640327"/>
                                </a:lnTo>
                                <a:lnTo>
                                  <a:pt x="2455515" y="863050"/>
                                </a:lnTo>
                                <a:lnTo>
                                  <a:pt x="3068001" y="1085772"/>
                                </a:lnTo>
                                <a:lnTo>
                                  <a:pt x="3686057" y="1297358"/>
                                </a:lnTo>
                                <a:lnTo>
                                  <a:pt x="4298543" y="1508944"/>
                                </a:lnTo>
                              </a:path>
                            </a:pathLst>
                          </a:custGeom>
                          <a:ln w="11136" cap="rnd">
                            <a:round/>
                          </a:ln>
                        </wps:spPr>
                        <wps:style>
                          <a:lnRef idx="1">
                            <a:srgbClr val="A4A4A4"/>
                          </a:lnRef>
                          <a:fillRef idx="0">
                            <a:srgbClr val="000000">
                              <a:alpha val="0"/>
                            </a:srgbClr>
                          </a:fillRef>
                          <a:effectRef idx="0">
                            <a:scrgbClr r="0" g="0" b="0"/>
                          </a:effectRef>
                          <a:fontRef idx="none"/>
                        </wps:style>
                        <wps:bodyPr/>
                      </wps:wsp>
                      <wps:wsp>
                        <wps:cNvPr id="22635" name="Shape 22635"/>
                        <wps:cNvSpPr/>
                        <wps:spPr>
                          <a:xfrm>
                            <a:off x="431525" y="554022"/>
                            <a:ext cx="4298543" cy="1397583"/>
                          </a:xfrm>
                          <a:custGeom>
                            <a:avLst/>
                            <a:gdLst/>
                            <a:ahLst/>
                            <a:cxnLst/>
                            <a:rect l="0" t="0" r="0" b="0"/>
                            <a:pathLst>
                              <a:path w="4298543" h="1397583">
                                <a:moveTo>
                                  <a:pt x="0" y="0"/>
                                </a:moveTo>
                                <a:lnTo>
                                  <a:pt x="618055" y="189314"/>
                                </a:lnTo>
                                <a:lnTo>
                                  <a:pt x="1230541" y="389765"/>
                                </a:lnTo>
                                <a:lnTo>
                                  <a:pt x="1843028" y="584647"/>
                                </a:lnTo>
                                <a:lnTo>
                                  <a:pt x="2455515" y="785096"/>
                                </a:lnTo>
                                <a:lnTo>
                                  <a:pt x="3068001" y="991115"/>
                                </a:lnTo>
                                <a:lnTo>
                                  <a:pt x="3686057" y="1191565"/>
                                </a:lnTo>
                                <a:lnTo>
                                  <a:pt x="4298543" y="1397583"/>
                                </a:lnTo>
                              </a:path>
                            </a:pathLst>
                          </a:custGeom>
                          <a:ln w="11136" cap="rnd">
                            <a:round/>
                          </a:ln>
                        </wps:spPr>
                        <wps:style>
                          <a:lnRef idx="1">
                            <a:srgbClr val="FFC000"/>
                          </a:lnRef>
                          <a:fillRef idx="0">
                            <a:srgbClr val="000000">
                              <a:alpha val="0"/>
                            </a:srgbClr>
                          </a:fillRef>
                          <a:effectRef idx="0">
                            <a:scrgbClr r="0" g="0" b="0"/>
                          </a:effectRef>
                          <a:fontRef idx="none"/>
                        </wps:style>
                        <wps:bodyPr/>
                      </wps:wsp>
                      <wps:wsp>
                        <wps:cNvPr id="22636" name="Rectangle 22636"/>
                        <wps:cNvSpPr/>
                        <wps:spPr>
                          <a:xfrm>
                            <a:off x="38977" y="2307584"/>
                            <a:ext cx="22194" cy="73809"/>
                          </a:xfrm>
                          <a:prstGeom prst="rect">
                            <a:avLst/>
                          </a:prstGeom>
                          <a:ln>
                            <a:noFill/>
                          </a:ln>
                        </wps:spPr>
                        <wps:txbx>
                          <w:txbxContent>
                            <w:p w:rsidR="00EE13F6" w:rsidRDefault="002E5BC4">
                              <w:r>
                                <w:rPr>
                                  <w:rFonts w:ascii="Times New Roman" w:eastAsia="Times New Roman" w:hAnsi="Times New Roman" w:cs="Times New Roman"/>
                                  <w:color w:val="585858"/>
                                  <w:sz w:val="8"/>
                                </w:rPr>
                                <w:t>-</w:t>
                              </w:r>
                            </w:p>
                          </w:txbxContent>
                        </wps:txbx>
                        <wps:bodyPr horzOverflow="overflow" vert="horz" lIns="0" tIns="0" rIns="0" bIns="0" rtlCol="0">
                          <a:noAutofit/>
                        </wps:bodyPr>
                      </wps:wsp>
                      <wps:wsp>
                        <wps:cNvPr id="22637" name="Rectangle 22637"/>
                        <wps:cNvSpPr/>
                        <wps:spPr>
                          <a:xfrm>
                            <a:off x="55681" y="2307584"/>
                            <a:ext cx="33325" cy="73809"/>
                          </a:xfrm>
                          <a:prstGeom prst="rect">
                            <a:avLst/>
                          </a:prstGeom>
                          <a:ln>
                            <a:noFill/>
                          </a:ln>
                        </wps:spPr>
                        <wps:txbx>
                          <w:txbxContent>
                            <w:p w:rsidR="00EE13F6" w:rsidRDefault="002E5BC4">
                              <w:r>
                                <w:rPr>
                                  <w:rFonts w:ascii="Times New Roman" w:eastAsia="Times New Roman" w:hAnsi="Times New Roman" w:cs="Times New Roman"/>
                                  <w:color w:val="585858"/>
                                  <w:sz w:val="8"/>
                                </w:rPr>
                                <w:t>6</w:t>
                              </w:r>
                            </w:p>
                          </w:txbxContent>
                        </wps:txbx>
                        <wps:bodyPr horzOverflow="overflow" vert="horz" lIns="0" tIns="0" rIns="0" bIns="0" rtlCol="0">
                          <a:noAutofit/>
                        </wps:bodyPr>
                      </wps:wsp>
                      <wps:wsp>
                        <wps:cNvPr id="22638" name="Rectangle 22638"/>
                        <wps:cNvSpPr/>
                        <wps:spPr>
                          <a:xfrm>
                            <a:off x="38977" y="1956300"/>
                            <a:ext cx="22194" cy="73809"/>
                          </a:xfrm>
                          <a:prstGeom prst="rect">
                            <a:avLst/>
                          </a:prstGeom>
                          <a:ln>
                            <a:noFill/>
                          </a:ln>
                        </wps:spPr>
                        <wps:txbx>
                          <w:txbxContent>
                            <w:p w:rsidR="00EE13F6" w:rsidRDefault="002E5BC4">
                              <w:r>
                                <w:rPr>
                                  <w:rFonts w:ascii="Times New Roman" w:eastAsia="Times New Roman" w:hAnsi="Times New Roman" w:cs="Times New Roman"/>
                                  <w:color w:val="585858"/>
                                  <w:sz w:val="8"/>
                                </w:rPr>
                                <w:t>-</w:t>
                              </w:r>
                            </w:p>
                          </w:txbxContent>
                        </wps:txbx>
                        <wps:bodyPr horzOverflow="overflow" vert="horz" lIns="0" tIns="0" rIns="0" bIns="0" rtlCol="0">
                          <a:noAutofit/>
                        </wps:bodyPr>
                      </wps:wsp>
                      <wps:wsp>
                        <wps:cNvPr id="22639" name="Rectangle 22639"/>
                        <wps:cNvSpPr/>
                        <wps:spPr>
                          <a:xfrm>
                            <a:off x="55681" y="1956300"/>
                            <a:ext cx="33325" cy="73809"/>
                          </a:xfrm>
                          <a:prstGeom prst="rect">
                            <a:avLst/>
                          </a:prstGeom>
                          <a:ln>
                            <a:noFill/>
                          </a:ln>
                        </wps:spPr>
                        <wps:txbx>
                          <w:txbxContent>
                            <w:p w:rsidR="00EE13F6" w:rsidRDefault="002E5BC4">
                              <w:r>
                                <w:rPr>
                                  <w:rFonts w:ascii="Times New Roman" w:eastAsia="Times New Roman" w:hAnsi="Times New Roman" w:cs="Times New Roman"/>
                                  <w:color w:val="585858"/>
                                  <w:sz w:val="8"/>
                                </w:rPr>
                                <w:t>5</w:t>
                              </w:r>
                            </w:p>
                          </w:txbxContent>
                        </wps:txbx>
                        <wps:bodyPr horzOverflow="overflow" vert="horz" lIns="0" tIns="0" rIns="0" bIns="0" rtlCol="0">
                          <a:noAutofit/>
                        </wps:bodyPr>
                      </wps:wsp>
                      <wps:wsp>
                        <wps:cNvPr id="22640" name="Rectangle 22640"/>
                        <wps:cNvSpPr/>
                        <wps:spPr>
                          <a:xfrm>
                            <a:off x="38977" y="1605016"/>
                            <a:ext cx="22194" cy="73809"/>
                          </a:xfrm>
                          <a:prstGeom prst="rect">
                            <a:avLst/>
                          </a:prstGeom>
                          <a:ln>
                            <a:noFill/>
                          </a:ln>
                        </wps:spPr>
                        <wps:txbx>
                          <w:txbxContent>
                            <w:p w:rsidR="00EE13F6" w:rsidRDefault="002E5BC4">
                              <w:r>
                                <w:rPr>
                                  <w:rFonts w:ascii="Times New Roman" w:eastAsia="Times New Roman" w:hAnsi="Times New Roman" w:cs="Times New Roman"/>
                                  <w:color w:val="585858"/>
                                  <w:sz w:val="8"/>
                                </w:rPr>
                                <w:t>-</w:t>
                              </w:r>
                            </w:p>
                          </w:txbxContent>
                        </wps:txbx>
                        <wps:bodyPr horzOverflow="overflow" vert="horz" lIns="0" tIns="0" rIns="0" bIns="0" rtlCol="0">
                          <a:noAutofit/>
                        </wps:bodyPr>
                      </wps:wsp>
                      <wps:wsp>
                        <wps:cNvPr id="22641" name="Rectangle 22641"/>
                        <wps:cNvSpPr/>
                        <wps:spPr>
                          <a:xfrm>
                            <a:off x="55681" y="1605016"/>
                            <a:ext cx="33325" cy="73809"/>
                          </a:xfrm>
                          <a:prstGeom prst="rect">
                            <a:avLst/>
                          </a:prstGeom>
                          <a:ln>
                            <a:noFill/>
                          </a:ln>
                        </wps:spPr>
                        <wps:txbx>
                          <w:txbxContent>
                            <w:p w:rsidR="00EE13F6" w:rsidRDefault="002E5BC4">
                              <w:r>
                                <w:rPr>
                                  <w:rFonts w:ascii="Times New Roman" w:eastAsia="Times New Roman" w:hAnsi="Times New Roman" w:cs="Times New Roman"/>
                                  <w:color w:val="585858"/>
                                  <w:sz w:val="8"/>
                                </w:rPr>
                                <w:t>4</w:t>
                              </w:r>
                            </w:p>
                          </w:txbxContent>
                        </wps:txbx>
                        <wps:bodyPr horzOverflow="overflow" vert="horz" lIns="0" tIns="0" rIns="0" bIns="0" rtlCol="0">
                          <a:noAutofit/>
                        </wps:bodyPr>
                      </wps:wsp>
                      <wps:wsp>
                        <wps:cNvPr id="22642" name="Rectangle 22642"/>
                        <wps:cNvSpPr/>
                        <wps:spPr>
                          <a:xfrm>
                            <a:off x="38977" y="1253731"/>
                            <a:ext cx="22194" cy="73809"/>
                          </a:xfrm>
                          <a:prstGeom prst="rect">
                            <a:avLst/>
                          </a:prstGeom>
                          <a:ln>
                            <a:noFill/>
                          </a:ln>
                        </wps:spPr>
                        <wps:txbx>
                          <w:txbxContent>
                            <w:p w:rsidR="00EE13F6" w:rsidRDefault="002E5BC4">
                              <w:r>
                                <w:rPr>
                                  <w:rFonts w:ascii="Times New Roman" w:eastAsia="Times New Roman" w:hAnsi="Times New Roman" w:cs="Times New Roman"/>
                                  <w:color w:val="585858"/>
                                  <w:sz w:val="8"/>
                                </w:rPr>
                                <w:t>-</w:t>
                              </w:r>
                            </w:p>
                          </w:txbxContent>
                        </wps:txbx>
                        <wps:bodyPr horzOverflow="overflow" vert="horz" lIns="0" tIns="0" rIns="0" bIns="0" rtlCol="0">
                          <a:noAutofit/>
                        </wps:bodyPr>
                      </wps:wsp>
                      <wps:wsp>
                        <wps:cNvPr id="22643" name="Rectangle 22643"/>
                        <wps:cNvSpPr/>
                        <wps:spPr>
                          <a:xfrm>
                            <a:off x="55681" y="1253731"/>
                            <a:ext cx="33325" cy="73809"/>
                          </a:xfrm>
                          <a:prstGeom prst="rect">
                            <a:avLst/>
                          </a:prstGeom>
                          <a:ln>
                            <a:noFill/>
                          </a:ln>
                        </wps:spPr>
                        <wps:txbx>
                          <w:txbxContent>
                            <w:p w:rsidR="00EE13F6" w:rsidRDefault="002E5BC4">
                              <w:r>
                                <w:rPr>
                                  <w:rFonts w:ascii="Times New Roman" w:eastAsia="Times New Roman" w:hAnsi="Times New Roman" w:cs="Times New Roman"/>
                                  <w:color w:val="585858"/>
                                  <w:sz w:val="8"/>
                                </w:rPr>
                                <w:t>3</w:t>
                              </w:r>
                            </w:p>
                          </w:txbxContent>
                        </wps:txbx>
                        <wps:bodyPr horzOverflow="overflow" vert="horz" lIns="0" tIns="0" rIns="0" bIns="0" rtlCol="0">
                          <a:noAutofit/>
                        </wps:bodyPr>
                      </wps:wsp>
                      <wps:wsp>
                        <wps:cNvPr id="22644" name="Rectangle 22644"/>
                        <wps:cNvSpPr/>
                        <wps:spPr>
                          <a:xfrm>
                            <a:off x="38977" y="902447"/>
                            <a:ext cx="22194" cy="73809"/>
                          </a:xfrm>
                          <a:prstGeom prst="rect">
                            <a:avLst/>
                          </a:prstGeom>
                          <a:ln>
                            <a:noFill/>
                          </a:ln>
                        </wps:spPr>
                        <wps:txbx>
                          <w:txbxContent>
                            <w:p w:rsidR="00EE13F6" w:rsidRDefault="002E5BC4">
                              <w:r>
                                <w:rPr>
                                  <w:rFonts w:ascii="Times New Roman" w:eastAsia="Times New Roman" w:hAnsi="Times New Roman" w:cs="Times New Roman"/>
                                  <w:color w:val="585858"/>
                                  <w:sz w:val="8"/>
                                </w:rPr>
                                <w:t>-</w:t>
                              </w:r>
                            </w:p>
                          </w:txbxContent>
                        </wps:txbx>
                        <wps:bodyPr horzOverflow="overflow" vert="horz" lIns="0" tIns="0" rIns="0" bIns="0" rtlCol="0">
                          <a:noAutofit/>
                        </wps:bodyPr>
                      </wps:wsp>
                      <wps:wsp>
                        <wps:cNvPr id="22645" name="Rectangle 22645"/>
                        <wps:cNvSpPr/>
                        <wps:spPr>
                          <a:xfrm>
                            <a:off x="55681" y="902447"/>
                            <a:ext cx="33325" cy="73809"/>
                          </a:xfrm>
                          <a:prstGeom prst="rect">
                            <a:avLst/>
                          </a:prstGeom>
                          <a:ln>
                            <a:noFill/>
                          </a:ln>
                        </wps:spPr>
                        <wps:txbx>
                          <w:txbxContent>
                            <w:p w:rsidR="00EE13F6" w:rsidRDefault="002E5BC4">
                              <w:r>
                                <w:rPr>
                                  <w:rFonts w:ascii="Times New Roman" w:eastAsia="Times New Roman" w:hAnsi="Times New Roman" w:cs="Times New Roman"/>
                                  <w:color w:val="585858"/>
                                  <w:sz w:val="8"/>
                                </w:rPr>
                                <w:t>2</w:t>
                              </w:r>
                            </w:p>
                          </w:txbxContent>
                        </wps:txbx>
                        <wps:bodyPr horzOverflow="overflow" vert="horz" lIns="0" tIns="0" rIns="0" bIns="0" rtlCol="0">
                          <a:noAutofit/>
                        </wps:bodyPr>
                      </wps:wsp>
                      <wps:wsp>
                        <wps:cNvPr id="22646" name="Rectangle 22646"/>
                        <wps:cNvSpPr/>
                        <wps:spPr>
                          <a:xfrm>
                            <a:off x="38977" y="551163"/>
                            <a:ext cx="22194" cy="73809"/>
                          </a:xfrm>
                          <a:prstGeom prst="rect">
                            <a:avLst/>
                          </a:prstGeom>
                          <a:ln>
                            <a:noFill/>
                          </a:ln>
                        </wps:spPr>
                        <wps:txbx>
                          <w:txbxContent>
                            <w:p w:rsidR="00EE13F6" w:rsidRDefault="002E5BC4">
                              <w:r>
                                <w:rPr>
                                  <w:rFonts w:ascii="Times New Roman" w:eastAsia="Times New Roman" w:hAnsi="Times New Roman" w:cs="Times New Roman"/>
                                  <w:color w:val="585858"/>
                                  <w:sz w:val="8"/>
                                </w:rPr>
                                <w:t>-</w:t>
                              </w:r>
                            </w:p>
                          </w:txbxContent>
                        </wps:txbx>
                        <wps:bodyPr horzOverflow="overflow" vert="horz" lIns="0" tIns="0" rIns="0" bIns="0" rtlCol="0">
                          <a:noAutofit/>
                        </wps:bodyPr>
                      </wps:wsp>
                      <wps:wsp>
                        <wps:cNvPr id="22647" name="Rectangle 22647"/>
                        <wps:cNvSpPr/>
                        <wps:spPr>
                          <a:xfrm>
                            <a:off x="55681" y="551163"/>
                            <a:ext cx="33325" cy="73809"/>
                          </a:xfrm>
                          <a:prstGeom prst="rect">
                            <a:avLst/>
                          </a:prstGeom>
                          <a:ln>
                            <a:noFill/>
                          </a:ln>
                        </wps:spPr>
                        <wps:txbx>
                          <w:txbxContent>
                            <w:p w:rsidR="00EE13F6" w:rsidRDefault="002E5BC4">
                              <w:r>
                                <w:rPr>
                                  <w:rFonts w:ascii="Times New Roman" w:eastAsia="Times New Roman" w:hAnsi="Times New Roman" w:cs="Times New Roman"/>
                                  <w:color w:val="585858"/>
                                  <w:sz w:val="8"/>
                                </w:rPr>
                                <w:t>1</w:t>
                              </w:r>
                            </w:p>
                          </w:txbxContent>
                        </wps:txbx>
                        <wps:bodyPr horzOverflow="overflow" vert="horz" lIns="0" tIns="0" rIns="0" bIns="0" rtlCol="0">
                          <a:noAutofit/>
                        </wps:bodyPr>
                      </wps:wsp>
                      <wps:wsp>
                        <wps:cNvPr id="22648" name="Rectangle 22648"/>
                        <wps:cNvSpPr/>
                        <wps:spPr>
                          <a:xfrm>
                            <a:off x="52702" y="200607"/>
                            <a:ext cx="33791" cy="81360"/>
                          </a:xfrm>
                          <a:prstGeom prst="rect">
                            <a:avLst/>
                          </a:prstGeom>
                          <a:ln>
                            <a:noFill/>
                          </a:ln>
                        </wps:spPr>
                        <wps:txbx>
                          <w:txbxContent>
                            <w:p w:rsidR="00EE13F6" w:rsidRDefault="002E5BC4">
                              <w:r>
                                <w:rPr>
                                  <w:color w:val="585858"/>
                                  <w:sz w:val="8"/>
                                </w:rPr>
                                <w:t>0</w:t>
                              </w:r>
                            </w:p>
                          </w:txbxContent>
                        </wps:txbx>
                        <wps:bodyPr horzOverflow="overflow" vert="horz" lIns="0" tIns="0" rIns="0" bIns="0" rtlCol="0">
                          <a:noAutofit/>
                        </wps:bodyPr>
                      </wps:wsp>
                      <wps:wsp>
                        <wps:cNvPr id="22649" name="Rectangle 22649"/>
                        <wps:cNvSpPr/>
                        <wps:spPr>
                          <a:xfrm>
                            <a:off x="322099" y="263001"/>
                            <a:ext cx="294165" cy="81360"/>
                          </a:xfrm>
                          <a:prstGeom prst="rect">
                            <a:avLst/>
                          </a:prstGeom>
                          <a:ln>
                            <a:noFill/>
                          </a:ln>
                        </wps:spPr>
                        <wps:txbx>
                          <w:txbxContent>
                            <w:p w:rsidR="00EE13F6" w:rsidRDefault="002E5BC4">
                              <w:r>
                                <w:rPr>
                                  <w:color w:val="585858"/>
                                  <w:sz w:val="8"/>
                                </w:rPr>
                                <w:t>Spr=50</w:t>
                              </w:r>
                              <w:r>
                                <w:rPr>
                                  <w:color w:val="585858"/>
                                  <w:sz w:val="8"/>
                                </w:rPr>
                                <w:tab/>
                                <w:t>b.p</w:t>
                              </w:r>
                            </w:p>
                          </w:txbxContent>
                        </wps:txbx>
                        <wps:bodyPr horzOverflow="overflow" vert="horz" lIns="0" tIns="0" rIns="0" bIns="0" rtlCol="0">
                          <a:noAutofit/>
                        </wps:bodyPr>
                      </wps:wsp>
                      <wps:wsp>
                        <wps:cNvPr id="22650" name="Rectangle 22650"/>
                        <wps:cNvSpPr/>
                        <wps:spPr>
                          <a:xfrm>
                            <a:off x="919035" y="263001"/>
                            <a:ext cx="331182" cy="81360"/>
                          </a:xfrm>
                          <a:prstGeom prst="rect">
                            <a:avLst/>
                          </a:prstGeom>
                          <a:ln>
                            <a:noFill/>
                          </a:ln>
                        </wps:spPr>
                        <wps:txbx>
                          <w:txbxContent>
                            <w:p w:rsidR="00EE13F6" w:rsidRDefault="002E5BC4">
                              <w:r>
                                <w:rPr>
                                  <w:color w:val="585858"/>
                                  <w:sz w:val="8"/>
                                </w:rPr>
                                <w:t>Spr=100</w:t>
                              </w:r>
                              <w:r>
                                <w:rPr>
                                  <w:color w:val="585858"/>
                                  <w:sz w:val="8"/>
                                </w:rPr>
                                <w:tab/>
                                <w:t>b.p</w:t>
                              </w:r>
                            </w:p>
                          </w:txbxContent>
                        </wps:txbx>
                        <wps:bodyPr horzOverflow="overflow" vert="horz" lIns="0" tIns="0" rIns="0" bIns="0" rtlCol="0">
                          <a:noAutofit/>
                        </wps:bodyPr>
                      </wps:wsp>
                      <wps:wsp>
                        <wps:cNvPr id="22651" name="Rectangle 22651"/>
                        <wps:cNvSpPr/>
                        <wps:spPr>
                          <a:xfrm>
                            <a:off x="1532674" y="263001"/>
                            <a:ext cx="331182" cy="81360"/>
                          </a:xfrm>
                          <a:prstGeom prst="rect">
                            <a:avLst/>
                          </a:prstGeom>
                          <a:ln>
                            <a:noFill/>
                          </a:ln>
                        </wps:spPr>
                        <wps:txbx>
                          <w:txbxContent>
                            <w:p w:rsidR="00EE13F6" w:rsidRDefault="002E5BC4">
                              <w:r>
                                <w:rPr>
                                  <w:color w:val="585858"/>
                                  <w:sz w:val="8"/>
                                </w:rPr>
                                <w:t>Spr=150</w:t>
                              </w:r>
                              <w:r>
                                <w:rPr>
                                  <w:color w:val="585858"/>
                                  <w:sz w:val="8"/>
                                </w:rPr>
                                <w:tab/>
                                <w:t>b.p</w:t>
                              </w:r>
                            </w:p>
                          </w:txbxContent>
                        </wps:txbx>
                        <wps:bodyPr horzOverflow="overflow" vert="horz" lIns="0" tIns="0" rIns="0" bIns="0" rtlCol="0">
                          <a:noAutofit/>
                        </wps:bodyPr>
                      </wps:wsp>
                      <wps:wsp>
                        <wps:cNvPr id="22652" name="Rectangle 22652"/>
                        <wps:cNvSpPr/>
                        <wps:spPr>
                          <a:xfrm>
                            <a:off x="2146312" y="263001"/>
                            <a:ext cx="331182" cy="81360"/>
                          </a:xfrm>
                          <a:prstGeom prst="rect">
                            <a:avLst/>
                          </a:prstGeom>
                          <a:ln>
                            <a:noFill/>
                          </a:ln>
                        </wps:spPr>
                        <wps:txbx>
                          <w:txbxContent>
                            <w:p w:rsidR="00EE13F6" w:rsidRDefault="002E5BC4">
                              <w:r>
                                <w:rPr>
                                  <w:color w:val="585858"/>
                                  <w:sz w:val="8"/>
                                </w:rPr>
                                <w:t>Spr=200</w:t>
                              </w:r>
                              <w:r>
                                <w:rPr>
                                  <w:color w:val="585858"/>
                                  <w:sz w:val="8"/>
                                </w:rPr>
                                <w:tab/>
                                <w:t>b.p</w:t>
                              </w:r>
                            </w:p>
                          </w:txbxContent>
                        </wps:txbx>
                        <wps:bodyPr horzOverflow="overflow" vert="horz" lIns="0" tIns="0" rIns="0" bIns="0" rtlCol="0">
                          <a:noAutofit/>
                        </wps:bodyPr>
                      </wps:wsp>
                      <wps:wsp>
                        <wps:cNvPr id="22653" name="Rectangle 22653"/>
                        <wps:cNvSpPr/>
                        <wps:spPr>
                          <a:xfrm>
                            <a:off x="2759951" y="263001"/>
                            <a:ext cx="331182" cy="81360"/>
                          </a:xfrm>
                          <a:prstGeom prst="rect">
                            <a:avLst/>
                          </a:prstGeom>
                          <a:ln>
                            <a:noFill/>
                          </a:ln>
                        </wps:spPr>
                        <wps:txbx>
                          <w:txbxContent>
                            <w:p w:rsidR="00EE13F6" w:rsidRDefault="002E5BC4">
                              <w:r>
                                <w:rPr>
                                  <w:color w:val="585858"/>
                                  <w:sz w:val="8"/>
                                </w:rPr>
                                <w:t>Spr=250</w:t>
                              </w:r>
                              <w:r>
                                <w:rPr>
                                  <w:color w:val="585858"/>
                                  <w:sz w:val="8"/>
                                </w:rPr>
                                <w:tab/>
                                <w:t>b.p</w:t>
                              </w:r>
                            </w:p>
                          </w:txbxContent>
                        </wps:txbx>
                        <wps:bodyPr horzOverflow="overflow" vert="horz" lIns="0" tIns="0" rIns="0" bIns="0" rtlCol="0">
                          <a:noAutofit/>
                        </wps:bodyPr>
                      </wps:wsp>
                      <wps:wsp>
                        <wps:cNvPr id="22654" name="Rectangle 22654"/>
                        <wps:cNvSpPr/>
                        <wps:spPr>
                          <a:xfrm>
                            <a:off x="3373591" y="263001"/>
                            <a:ext cx="331182" cy="81360"/>
                          </a:xfrm>
                          <a:prstGeom prst="rect">
                            <a:avLst/>
                          </a:prstGeom>
                          <a:ln>
                            <a:noFill/>
                          </a:ln>
                        </wps:spPr>
                        <wps:txbx>
                          <w:txbxContent>
                            <w:p w:rsidR="00EE13F6" w:rsidRDefault="002E5BC4">
                              <w:r>
                                <w:rPr>
                                  <w:color w:val="585858"/>
                                  <w:sz w:val="8"/>
                                </w:rPr>
                                <w:t>Spr=300</w:t>
                              </w:r>
                              <w:r>
                                <w:rPr>
                                  <w:color w:val="585858"/>
                                  <w:sz w:val="8"/>
                                </w:rPr>
                                <w:tab/>
                                <w:t>b.p</w:t>
                              </w:r>
                            </w:p>
                          </w:txbxContent>
                        </wps:txbx>
                        <wps:bodyPr horzOverflow="overflow" vert="horz" lIns="0" tIns="0" rIns="0" bIns="0" rtlCol="0">
                          <a:noAutofit/>
                        </wps:bodyPr>
                      </wps:wsp>
                      <wps:wsp>
                        <wps:cNvPr id="22655" name="Rectangle 22655"/>
                        <wps:cNvSpPr/>
                        <wps:spPr>
                          <a:xfrm>
                            <a:off x="3987229" y="263001"/>
                            <a:ext cx="331182" cy="81360"/>
                          </a:xfrm>
                          <a:prstGeom prst="rect">
                            <a:avLst/>
                          </a:prstGeom>
                          <a:ln>
                            <a:noFill/>
                          </a:ln>
                        </wps:spPr>
                        <wps:txbx>
                          <w:txbxContent>
                            <w:p w:rsidR="00EE13F6" w:rsidRDefault="002E5BC4">
                              <w:r>
                                <w:rPr>
                                  <w:color w:val="585858"/>
                                  <w:sz w:val="8"/>
                                </w:rPr>
                                <w:t>Spr=350</w:t>
                              </w:r>
                              <w:r>
                                <w:rPr>
                                  <w:color w:val="585858"/>
                                  <w:sz w:val="8"/>
                                </w:rPr>
                                <w:tab/>
                                <w:t>b.p</w:t>
                              </w:r>
                            </w:p>
                          </w:txbxContent>
                        </wps:txbx>
                        <wps:bodyPr horzOverflow="overflow" vert="horz" lIns="0" tIns="0" rIns="0" bIns="0" rtlCol="0">
                          <a:noAutofit/>
                        </wps:bodyPr>
                      </wps:wsp>
                      <wps:wsp>
                        <wps:cNvPr id="22656" name="Rectangle 22656"/>
                        <wps:cNvSpPr/>
                        <wps:spPr>
                          <a:xfrm>
                            <a:off x="4600869" y="263001"/>
                            <a:ext cx="331182" cy="81360"/>
                          </a:xfrm>
                          <a:prstGeom prst="rect">
                            <a:avLst/>
                          </a:prstGeom>
                          <a:ln>
                            <a:noFill/>
                          </a:ln>
                        </wps:spPr>
                        <wps:txbx>
                          <w:txbxContent>
                            <w:p w:rsidR="00EE13F6" w:rsidRDefault="002E5BC4">
                              <w:r>
                                <w:rPr>
                                  <w:color w:val="585858"/>
                                  <w:sz w:val="8"/>
                                </w:rPr>
                                <w:t>Spr=400</w:t>
                              </w:r>
                              <w:r>
                                <w:rPr>
                                  <w:color w:val="585858"/>
                                  <w:sz w:val="8"/>
                                </w:rPr>
                                <w:tab/>
                                <w:t>b.p</w:t>
                              </w:r>
                            </w:p>
                          </w:txbxContent>
                        </wps:txbx>
                        <wps:bodyPr horzOverflow="overflow" vert="horz" lIns="0" tIns="0" rIns="0" bIns="0" rtlCol="0">
                          <a:noAutofit/>
                        </wps:bodyPr>
                      </wps:wsp>
                      <wps:wsp>
                        <wps:cNvPr id="22657" name="Rectangle 22657"/>
                        <wps:cNvSpPr/>
                        <wps:spPr>
                          <a:xfrm>
                            <a:off x="616663" y="51059"/>
                            <a:ext cx="5142207" cy="126559"/>
                          </a:xfrm>
                          <a:prstGeom prst="rect">
                            <a:avLst/>
                          </a:prstGeom>
                          <a:ln>
                            <a:noFill/>
                          </a:ln>
                        </wps:spPr>
                        <wps:txbx>
                          <w:txbxContent>
                            <w:p w:rsidR="00EE13F6" w:rsidRDefault="002E5BC4">
                              <w:r>
                                <w:rPr>
                                  <w:b/>
                                  <w:color w:val="585858"/>
                                  <w:sz w:val="12"/>
                                </w:rPr>
                                <w:t>Long</w:t>
                              </w:r>
                              <w:r>
                                <w:rPr>
                                  <w:b/>
                                  <w:color w:val="585858"/>
                                  <w:sz w:val="12"/>
                                </w:rPr>
                                <w:tab/>
                                <w:t>Term</w:t>
                              </w:r>
                              <w:r>
                                <w:rPr>
                                  <w:b/>
                                  <w:color w:val="585858"/>
                                  <w:sz w:val="12"/>
                                </w:rPr>
                                <w:tab/>
                                <w:t>Impact</w:t>
                              </w:r>
                              <w:r>
                                <w:rPr>
                                  <w:b/>
                                  <w:color w:val="585858"/>
                                  <w:sz w:val="12"/>
                                </w:rPr>
                                <w:tab/>
                                <w:t>on</w:t>
                              </w:r>
                              <w:r>
                                <w:rPr>
                                  <w:b/>
                                  <w:color w:val="585858"/>
                                  <w:sz w:val="12"/>
                                </w:rPr>
                                <w:tab/>
                                <w:t>Theoretical</w:t>
                              </w:r>
                              <w:r>
                                <w:rPr>
                                  <w:b/>
                                  <w:color w:val="585858"/>
                                  <w:sz w:val="12"/>
                                </w:rPr>
                                <w:tab/>
                                <w:t>Equity</w:t>
                              </w:r>
                              <w:r>
                                <w:rPr>
                                  <w:b/>
                                  <w:color w:val="585858"/>
                                  <w:sz w:val="12"/>
                                </w:rPr>
                                <w:tab/>
                                <w:t>Share</w:t>
                              </w:r>
                              <w:r>
                                <w:rPr>
                                  <w:b/>
                                  <w:color w:val="585858"/>
                                  <w:sz w:val="12"/>
                                </w:rPr>
                                <w:tab/>
                                <w:t>Price</w:t>
                              </w:r>
                              <w:r>
                                <w:rPr>
                                  <w:b/>
                                  <w:color w:val="585858"/>
                                  <w:sz w:val="12"/>
                                </w:rPr>
                                <w:tab/>
                                <w:t>for</w:t>
                              </w:r>
                              <w:r>
                                <w:rPr>
                                  <w:b/>
                                  <w:color w:val="585858"/>
                                  <w:sz w:val="12"/>
                                </w:rPr>
                                <w:tab/>
                                <w:t>Optimum</w:t>
                              </w:r>
                              <w:r>
                                <w:rPr>
                                  <w:b/>
                                  <w:color w:val="585858"/>
                                  <w:sz w:val="12"/>
                                </w:rPr>
                                <w:tab/>
                                <w:t>Leverage</w:t>
                              </w:r>
                              <w:r>
                                <w:rPr>
                                  <w:b/>
                                  <w:color w:val="585858"/>
                                  <w:sz w:val="12"/>
                                </w:rPr>
                                <w:tab/>
                                <w:t>Depending</w:t>
                              </w:r>
                              <w:r>
                                <w:rPr>
                                  <w:b/>
                                  <w:color w:val="585858"/>
                                  <w:sz w:val="12"/>
                                </w:rPr>
                                <w:tab/>
                                <w:t>Upon</w:t>
                              </w:r>
                              <w:r>
                                <w:rPr>
                                  <w:b/>
                                  <w:color w:val="585858"/>
                                  <w:sz w:val="12"/>
                                </w:rPr>
                                <w:tab/>
                                <w:t>Maturity</w:t>
                              </w:r>
                              <w:r>
                                <w:rPr>
                                  <w:b/>
                                  <w:color w:val="585858"/>
                                  <w:sz w:val="12"/>
                                </w:rPr>
                                <w:tab/>
                                <w:t>and</w:t>
                              </w:r>
                              <w:r>
                                <w:rPr>
                                  <w:b/>
                                  <w:color w:val="585858"/>
                                  <w:sz w:val="12"/>
                                </w:rPr>
                                <w:tab/>
                                <w:t>Credit</w:t>
                              </w:r>
                              <w:r>
                                <w:rPr>
                                  <w:b/>
                                  <w:color w:val="585858"/>
                                  <w:sz w:val="12"/>
                                </w:rPr>
                                <w:tab/>
                                <w:t>Spread</w:t>
                              </w:r>
                            </w:p>
                          </w:txbxContent>
                        </wps:txbx>
                        <wps:bodyPr horzOverflow="overflow" vert="horz" lIns="0" tIns="0" rIns="0" bIns="0" rtlCol="0">
                          <a:noAutofit/>
                        </wps:bodyPr>
                      </wps:wsp>
                      <wps:wsp>
                        <wps:cNvPr id="22658" name="Shape 22658"/>
                        <wps:cNvSpPr/>
                        <wps:spPr>
                          <a:xfrm>
                            <a:off x="1795699" y="2408186"/>
                            <a:ext cx="105793" cy="1"/>
                          </a:xfrm>
                          <a:custGeom>
                            <a:avLst/>
                            <a:gdLst/>
                            <a:ahLst/>
                            <a:cxnLst/>
                            <a:rect l="0" t="0" r="0" b="0"/>
                            <a:pathLst>
                              <a:path w="105793" h="1">
                                <a:moveTo>
                                  <a:pt x="0" y="0"/>
                                </a:moveTo>
                                <a:lnTo>
                                  <a:pt x="105793" y="1"/>
                                </a:lnTo>
                              </a:path>
                            </a:pathLst>
                          </a:custGeom>
                          <a:ln w="11136" cap="rnd">
                            <a:round/>
                          </a:ln>
                        </wps:spPr>
                        <wps:style>
                          <a:lnRef idx="1">
                            <a:srgbClr val="5B9BD5"/>
                          </a:lnRef>
                          <a:fillRef idx="0">
                            <a:srgbClr val="000000">
                              <a:alpha val="0"/>
                            </a:srgbClr>
                          </a:fillRef>
                          <a:effectRef idx="0">
                            <a:scrgbClr r="0" g="0" b="0"/>
                          </a:effectRef>
                          <a:fontRef idx="none"/>
                        </wps:style>
                        <wps:bodyPr/>
                      </wps:wsp>
                      <wps:wsp>
                        <wps:cNvPr id="22659" name="Rectangle 22659"/>
                        <wps:cNvSpPr/>
                        <wps:spPr>
                          <a:xfrm>
                            <a:off x="1911491" y="2379551"/>
                            <a:ext cx="93030" cy="81360"/>
                          </a:xfrm>
                          <a:prstGeom prst="rect">
                            <a:avLst/>
                          </a:prstGeom>
                          <a:ln>
                            <a:noFill/>
                          </a:ln>
                        </wps:spPr>
                        <wps:txbx>
                          <w:txbxContent>
                            <w:p w:rsidR="00EE13F6" w:rsidRDefault="002E5BC4">
                              <w:r>
                                <w:rPr>
                                  <w:color w:val="585858"/>
                                  <w:sz w:val="8"/>
                                </w:rPr>
                                <w:t>T=5</w:t>
                              </w:r>
                            </w:p>
                          </w:txbxContent>
                        </wps:txbx>
                        <wps:bodyPr horzOverflow="overflow" vert="horz" lIns="0" tIns="0" rIns="0" bIns="0" rtlCol="0">
                          <a:noAutofit/>
                        </wps:bodyPr>
                      </wps:wsp>
                      <wps:wsp>
                        <wps:cNvPr id="22660" name="Shape 22660"/>
                        <wps:cNvSpPr/>
                        <wps:spPr>
                          <a:xfrm>
                            <a:off x="2040694" y="2408186"/>
                            <a:ext cx="105793" cy="1"/>
                          </a:xfrm>
                          <a:custGeom>
                            <a:avLst/>
                            <a:gdLst/>
                            <a:ahLst/>
                            <a:cxnLst/>
                            <a:rect l="0" t="0" r="0" b="0"/>
                            <a:pathLst>
                              <a:path w="105793" h="1">
                                <a:moveTo>
                                  <a:pt x="0" y="0"/>
                                </a:moveTo>
                                <a:lnTo>
                                  <a:pt x="105793" y="1"/>
                                </a:lnTo>
                              </a:path>
                            </a:pathLst>
                          </a:custGeom>
                          <a:ln w="11136" cap="rnd">
                            <a:round/>
                          </a:ln>
                        </wps:spPr>
                        <wps:style>
                          <a:lnRef idx="1">
                            <a:srgbClr val="ED7D31"/>
                          </a:lnRef>
                          <a:fillRef idx="0">
                            <a:srgbClr val="000000">
                              <a:alpha val="0"/>
                            </a:srgbClr>
                          </a:fillRef>
                          <a:effectRef idx="0">
                            <a:scrgbClr r="0" g="0" b="0"/>
                          </a:effectRef>
                          <a:fontRef idx="none"/>
                        </wps:style>
                        <wps:bodyPr/>
                      </wps:wsp>
                      <wps:wsp>
                        <wps:cNvPr id="22661" name="Rectangle 22661"/>
                        <wps:cNvSpPr/>
                        <wps:spPr>
                          <a:xfrm>
                            <a:off x="2156263" y="2379551"/>
                            <a:ext cx="130047" cy="81360"/>
                          </a:xfrm>
                          <a:prstGeom prst="rect">
                            <a:avLst/>
                          </a:prstGeom>
                          <a:ln>
                            <a:noFill/>
                          </a:ln>
                        </wps:spPr>
                        <wps:txbx>
                          <w:txbxContent>
                            <w:p w:rsidR="00EE13F6" w:rsidRDefault="002E5BC4">
                              <w:r>
                                <w:rPr>
                                  <w:color w:val="585858"/>
                                  <w:sz w:val="8"/>
                                </w:rPr>
                                <w:t>T=10</w:t>
                              </w:r>
                            </w:p>
                          </w:txbxContent>
                        </wps:txbx>
                        <wps:bodyPr horzOverflow="overflow" vert="horz" lIns="0" tIns="0" rIns="0" bIns="0" rtlCol="0">
                          <a:noAutofit/>
                        </wps:bodyPr>
                      </wps:wsp>
                      <wps:wsp>
                        <wps:cNvPr id="22662" name="Shape 22662"/>
                        <wps:cNvSpPr/>
                        <wps:spPr>
                          <a:xfrm>
                            <a:off x="2307961" y="2408186"/>
                            <a:ext cx="105793" cy="1"/>
                          </a:xfrm>
                          <a:custGeom>
                            <a:avLst/>
                            <a:gdLst/>
                            <a:ahLst/>
                            <a:cxnLst/>
                            <a:rect l="0" t="0" r="0" b="0"/>
                            <a:pathLst>
                              <a:path w="105793" h="1">
                                <a:moveTo>
                                  <a:pt x="0" y="0"/>
                                </a:moveTo>
                                <a:lnTo>
                                  <a:pt x="105793" y="1"/>
                                </a:lnTo>
                              </a:path>
                            </a:pathLst>
                          </a:custGeom>
                          <a:ln w="11136" cap="rnd">
                            <a:round/>
                          </a:ln>
                        </wps:spPr>
                        <wps:style>
                          <a:lnRef idx="1">
                            <a:srgbClr val="A4A4A4"/>
                          </a:lnRef>
                          <a:fillRef idx="0">
                            <a:srgbClr val="000000">
                              <a:alpha val="0"/>
                            </a:srgbClr>
                          </a:fillRef>
                          <a:effectRef idx="0">
                            <a:scrgbClr r="0" g="0" b="0"/>
                          </a:effectRef>
                          <a:fontRef idx="none"/>
                        </wps:style>
                        <wps:bodyPr/>
                      </wps:wsp>
                      <wps:wsp>
                        <wps:cNvPr id="22663" name="Rectangle 22663"/>
                        <wps:cNvSpPr/>
                        <wps:spPr>
                          <a:xfrm>
                            <a:off x="2426427" y="2379551"/>
                            <a:ext cx="130047" cy="81360"/>
                          </a:xfrm>
                          <a:prstGeom prst="rect">
                            <a:avLst/>
                          </a:prstGeom>
                          <a:ln>
                            <a:noFill/>
                          </a:ln>
                        </wps:spPr>
                        <wps:txbx>
                          <w:txbxContent>
                            <w:p w:rsidR="00EE13F6" w:rsidRDefault="002E5BC4">
                              <w:r>
                                <w:rPr>
                                  <w:color w:val="585858"/>
                                  <w:sz w:val="8"/>
                                </w:rPr>
                                <w:t>T=15</w:t>
                              </w:r>
                            </w:p>
                          </w:txbxContent>
                        </wps:txbx>
                        <wps:bodyPr horzOverflow="overflow" vert="horz" lIns="0" tIns="0" rIns="0" bIns="0" rtlCol="0">
                          <a:noAutofit/>
                        </wps:bodyPr>
                      </wps:wsp>
                      <wps:wsp>
                        <wps:cNvPr id="22664" name="Shape 22664"/>
                        <wps:cNvSpPr/>
                        <wps:spPr>
                          <a:xfrm>
                            <a:off x="2580796" y="2408186"/>
                            <a:ext cx="105793" cy="1"/>
                          </a:xfrm>
                          <a:custGeom>
                            <a:avLst/>
                            <a:gdLst/>
                            <a:ahLst/>
                            <a:cxnLst/>
                            <a:rect l="0" t="0" r="0" b="0"/>
                            <a:pathLst>
                              <a:path w="105793" h="1">
                                <a:moveTo>
                                  <a:pt x="0" y="0"/>
                                </a:moveTo>
                                <a:lnTo>
                                  <a:pt x="105793" y="1"/>
                                </a:lnTo>
                              </a:path>
                            </a:pathLst>
                          </a:custGeom>
                          <a:ln w="11136" cap="rnd">
                            <a:round/>
                          </a:ln>
                        </wps:spPr>
                        <wps:style>
                          <a:lnRef idx="1">
                            <a:srgbClr val="FFC000"/>
                          </a:lnRef>
                          <a:fillRef idx="0">
                            <a:srgbClr val="000000">
                              <a:alpha val="0"/>
                            </a:srgbClr>
                          </a:fillRef>
                          <a:effectRef idx="0">
                            <a:scrgbClr r="0" g="0" b="0"/>
                          </a:effectRef>
                          <a:fontRef idx="none"/>
                        </wps:style>
                        <wps:bodyPr/>
                      </wps:wsp>
                      <wps:wsp>
                        <wps:cNvPr id="22665" name="Rectangle 22665"/>
                        <wps:cNvSpPr/>
                        <wps:spPr>
                          <a:xfrm>
                            <a:off x="2696589" y="2379551"/>
                            <a:ext cx="130047" cy="81360"/>
                          </a:xfrm>
                          <a:prstGeom prst="rect">
                            <a:avLst/>
                          </a:prstGeom>
                          <a:ln>
                            <a:noFill/>
                          </a:ln>
                        </wps:spPr>
                        <wps:txbx>
                          <w:txbxContent>
                            <w:p w:rsidR="00EE13F6" w:rsidRDefault="002E5BC4">
                              <w:r>
                                <w:rPr>
                                  <w:color w:val="585858"/>
                                  <w:sz w:val="8"/>
                                </w:rPr>
                                <w:t>T=20</w:t>
                              </w:r>
                            </w:p>
                          </w:txbxContent>
                        </wps:txbx>
                        <wps:bodyPr horzOverflow="overflow" vert="horz" lIns="0" tIns="0" rIns="0" bIns="0" rtlCol="0">
                          <a:noAutofit/>
                        </wps:bodyPr>
                      </wps:wsp>
                      <wps:wsp>
                        <wps:cNvPr id="22666" name="Shape 22666"/>
                        <wps:cNvSpPr/>
                        <wps:spPr>
                          <a:xfrm>
                            <a:off x="0" y="0"/>
                            <a:ext cx="5105911" cy="2555740"/>
                          </a:xfrm>
                          <a:custGeom>
                            <a:avLst/>
                            <a:gdLst/>
                            <a:ahLst/>
                            <a:cxnLst/>
                            <a:rect l="0" t="0" r="0" b="0"/>
                            <a:pathLst>
                              <a:path w="5105911" h="2555740">
                                <a:moveTo>
                                  <a:pt x="0" y="0"/>
                                </a:moveTo>
                                <a:lnTo>
                                  <a:pt x="5105911" y="0"/>
                                </a:lnTo>
                                <a:lnTo>
                                  <a:pt x="5105911" y="2555740"/>
                                </a:lnTo>
                                <a:lnTo>
                                  <a:pt x="0" y="2555740"/>
                                </a:lnTo>
                                <a:close/>
                              </a:path>
                            </a:pathLst>
                          </a:custGeom>
                          <a:ln w="5568"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210721" o:spid="_x0000_s1728" style="width:402.05pt;height:201.25pt;mso-position-horizontal-relative:char;mso-position-vertical-relative:line" coordsize="51059,2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">
                <v:shape id="Shape 22625" o:spid="_x0000_s1729" style="position:absolute;left:1280;top:23385;width:49110;height:0;visibility:visible;mso-wrap-style:square;v-text-anchor:top" coordsize="4911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3O8MA&#10;AADeAAAADwAAAGRycy9kb3ducmV2LnhtbESP0WoCMRRE3wv+Q7hC32rWQK2sRhFBEd9W/YDL5pos&#10;bm7WTdTt3zeFQh+HmTnDLNeDb8WT+tgE1jCdFCCI62Aathou593HHERMyAbbwKThmyKsV6O3JZYm&#10;vLii5ylZkSEcS9TgUupKKWPtyGOchI44e9fQe0xZ9laaHl8Z7lupimImPTacFxx2tHVU304Pr+Gu&#10;DvP2XPk4LewxHe3V1V/7Suv38bBZgEg0pP/wX/tgNCg1U5/weydf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A3O8MAAADeAAAADwAAAAAAAAAAAAAAAACYAgAAZHJzL2Rv&#10;d25yZXYueG1sUEsFBgAAAAAEAAQA9QAAAIgDAAAAAA==&#10;" path="m,l4911029,e" filled="f" strokecolor="#d9d9d9" strokeweight=".15467mm">
                  <v:path arrowok="t" textboxrect="0,0,4911029,0"/>
                </v:shape>
                <v:shape id="Shape 22626" o:spid="_x0000_s1730" style="position:absolute;left:1280;top:19877;width:49110;height:0;visibility:visible;mso-wrap-style:square;v-text-anchor:top" coordsize="4911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pTMQA&#10;AADeAAAADwAAAGRycy9kb3ducmV2LnhtbESPwWrDMBBE74H+g9hCb4kcHdzgRjah0BJyc9IPWKyN&#10;ZGqtHEtN3L+vCoEch5l5w2yb2Q/iSlPsA2tYrwoQxF0wPVsNX6eP5QZETMgGh8Ck4ZciNPXTYouV&#10;CTdu6XpMVmQIxwo1uJTGSsrYOfIYV2Ekzt45TB5TlpOVZsJbhvtBqqIopcee84LDkd4ddd/HH6/h&#10;ovab4dT6uC7sIR3s2XWvn63WL8/z7g1Eojk9wvf23mhQqlQl/N/JV0D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qUzEAAAA3gAAAA8AAAAAAAAAAAAAAAAAmAIAAGRycy9k&#10;b3ducmV2LnhtbFBLBQYAAAAABAAEAPUAAACJAwAAAAA=&#10;" path="m,l4911029,e" filled="f" strokecolor="#d9d9d9" strokeweight=".15467mm">
                  <v:path arrowok="t" textboxrect="0,0,4911029,0"/>
                </v:shape>
                <v:shape id="Shape 22627" o:spid="_x0000_s1731" style="position:absolute;left:1280;top:16314;width:49110;height:0;visibility:visible;mso-wrap-style:square;v-text-anchor:top" coordsize="4911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M18MA&#10;AADeAAAADwAAAGRycy9kb3ducmV2LnhtbESPQYvCMBSE78L+h/AW9qapOahUoywLinir+gMezTMp&#10;27x0m6j1328EweMwM98wq83gW3GjPjaBNUwnBQjiOpiGrYbzaTtegIgJ2WAbmDQ8KMJm/TFaYWnC&#10;nSu6HZMVGcKxRA0upa6UMtaOPMZJ6Iizdwm9x5Rlb6Xp8Z7hvpWqKGbSY8N5wWFHP47q3+PVa/hT&#10;+0V7qnycFvaQDvbi6vmu0vrrc/hegkg0pHf41d4bDUrN1Byed/I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4M18MAAADeAAAADwAAAAAAAAAAAAAAAACYAgAAZHJzL2Rv&#10;d25yZXYueG1sUEsFBgAAAAAEAAQA9QAAAIgDAAAAAA==&#10;" path="m,l4911029,e" filled="f" strokecolor="#d9d9d9" strokeweight=".15467mm">
                  <v:path arrowok="t" textboxrect="0,0,4911029,0"/>
                </v:shape>
                <v:shape id="Shape 22628" o:spid="_x0000_s1732" style="position:absolute;left:1280;top:12806;width:49110;height:0;visibility:visible;mso-wrap-style:square;v-text-anchor:top" coordsize="4911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GYpb8A&#10;AADeAAAADwAAAGRycy9kb3ducmV2LnhtbERPzYrCMBC+C/sOYRa8aWoOKtUosrAi3qo+wNCMSbGZ&#10;dJus1rc3B8Hjx/e/3g6+FXfqYxNYw2xagCCug2nYaricfydLEDEhG2wDk4YnRdhuvkZrLE14cEX3&#10;U7Iih3AsUYNLqSuljLUjj3EaOuLMXUPvMWXYW2l6fORw30pVFHPpseHc4LCjH0f17fTvNfypw7I9&#10;Vz7OCntMR3t19WJfaT3+HnYrEImG9BG/3QejQam5ynvznXwF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UZilvwAAAN4AAAAPAAAAAAAAAAAAAAAAAJgCAABkcnMvZG93bnJl&#10;di54bWxQSwUGAAAAAAQABAD1AAAAhAMAAAAA&#10;" path="m,l4911029,e" filled="f" strokecolor="#d9d9d9" strokeweight=".15467mm">
                  <v:path arrowok="t" textboxrect="0,0,4911029,0"/>
                </v:shape>
                <v:shape id="Shape 22629" o:spid="_x0000_s1733" style="position:absolute;left:1280;top:9298;width:49110;height:0;visibility:visible;mso-wrap-style:square;v-text-anchor:top" coordsize="4911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9PsMA&#10;AADeAAAADwAAAGRycy9kb3ducmV2LnhtbESPQWsCMRSE70L/Q3gFb5o1B7Vbo5RCRbyt+gMem2ey&#10;uHlZN6mu/94UCh6HmfmGWW0G34ob9bEJrGE2LUAQ18E0bDWcjj+TJYiYkA22gUnDgyJs1m+jFZYm&#10;3Lmi2yFZkSEcS9TgUupKKWPtyGOcho44e+fQe0xZ9laaHu8Z7lupimIuPTacFxx29O2ovhx+vYar&#10;2i3bY+XjrLD7tLdnVy+2ldbj9+HrE0SiIb3C/+2d0aDUXH3A3518B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09PsMAAADeAAAADwAAAAAAAAAAAAAAAACYAgAAZHJzL2Rv&#10;d25yZXYueG1sUEsFBgAAAAAEAAQA9QAAAIgDAAAAAA==&#10;" path="m,l4911029,e" filled="f" strokecolor="#d9d9d9" strokeweight=".15467mm">
                  <v:path arrowok="t" textboxrect="0,0,4911029,0"/>
                </v:shape>
                <v:shape id="Shape 22630" o:spid="_x0000_s1734" style="position:absolute;left:1280;top:5790;width:49110;height:0;visibility:visible;mso-wrap-style:square;v-text-anchor:top" coordsize="4911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CfsEA&#10;AADeAAAADwAAAGRycy9kb3ducmV2LnhtbESPzYrCMBSF94LvEO6AO02toFKNMgiKuKv6AJfmmpRp&#10;bjpN1Pr2ZiG4PJw/vvW2d414UBdqzwqmkwwEceV1zUbB9bIfL0GEiKyx8UwKXhRguxkO1lho/+SS&#10;HudoRBrhUKACG2NbSBkqSw7DxLfEybv5zmFMsjNSd/hM466ReZbNpcOa04PFlnaWqr/z3Sn4z4/L&#10;5lK6MM3MKZ7MzVaLQ6nU6Kf/XYGI1Mdv+NM+agV5Pp8lgISTUE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An7BAAAA3gAAAA8AAAAAAAAAAAAAAAAAmAIAAGRycy9kb3du&#10;cmV2LnhtbFBLBQYAAAAABAAEAPUAAACGAwAAAAA=&#10;" path="m,l4911029,e" filled="f" strokecolor="#d9d9d9" strokeweight=".15467mm">
                  <v:path arrowok="t" textboxrect="0,0,4911029,0"/>
                </v:shape>
                <v:shape id="Shape 22631" o:spid="_x0000_s1735" style="position:absolute;left:1280;top:2282;width:49110;height:0;visibility:visible;mso-wrap-style:square;v-text-anchor:top" coordsize="4911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n5cMA&#10;AADeAAAADwAAAGRycy9kb3ducmV2LnhtbESP0YrCMBRE34X9h3AX9k3TVlCpRlkERXyr+gGX5poU&#10;m5tuE7X+/WZhwcdhZs4wq83gWvGgPjSeFeSTDARx7XXDRsHlvBsvQISIrLH1TApeFGCz/hitsNT+&#10;yRU9TtGIBOFQogIbY1dKGWpLDsPEd8TJu/reYUyyN1L3+Exw18oiy2bSYcNpwWJHW0v17XR3Cn6K&#10;w6I9Vy7kmTnGo7naer6vlPr6HL6XICIN8R3+bx+0gqKYTXP4u5O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Kn5cMAAADeAAAADwAAAAAAAAAAAAAAAACYAgAAZHJzL2Rv&#10;d25yZXYueG1sUEsFBgAAAAAEAAQA9QAAAIgDAAAAAA==&#10;" path="m,l4911029,e" filled="f" strokecolor="#d9d9d9" strokeweight=".15467mm">
                  <v:path arrowok="t" textboxrect="0,0,4911029,0"/>
                </v:shape>
                <v:shape id="Shape 22632" o:spid="_x0000_s1736" style="position:absolute;left:4315;top:5540;width:42985;height:13307;visibility:visible;mso-wrap-style:square;v-text-anchor:top" coordsize="4298543,133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ac8UA&#10;AADeAAAADwAAAGRycy9kb3ducmV2LnhtbESPQUsDMRSE70L/Q3gFbzZrhKLbpkVaRcGTW6nX181z&#10;E9y8LEnsrv/eCILHYWa+YdbbyffiTDG5wBquFxUI4jYYx52Gt8Pj1S2IlJEN9oFJwzcl2G5mF2us&#10;TRj5lc5N7kSBcKpRg815qKVMrSWPaREG4uJ9hOgxFxk7aSKOBe57qapqKT06LgsWB9pZaj+bL6/h&#10;qE7vFF+ao38wT+N+unMHOzqtL+fT/QpEpin/h//az0aDUssbBb93y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RpzxQAAAN4AAAAPAAAAAAAAAAAAAAAAAJgCAABkcnMv&#10;ZG93bnJldi54bWxQSwUGAAAAAAQABAD1AAAAigMAAAAA&#10;" path="m,l618055,200450r612486,200450l1843028,606919r612487,200450l3068001,996683r618056,172610l4298543,1330767e" filled="f" strokecolor="#5b9bd5" strokeweight=".30933mm">
                  <v:stroke endcap="round"/>
                  <v:path arrowok="t" textboxrect="0,0,4298543,1330767"/>
                </v:shape>
                <v:shape id="Shape 22633" o:spid="_x0000_s1737" style="position:absolute;left:4315;top:5595;width:42985;height:14700;visibility:visible;mso-wrap-style:square;v-text-anchor:top" coordsize="4298543,1469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FbcQA&#10;AADeAAAADwAAAGRycy9kb3ducmV2LnhtbESPQYvCMBSE7wv+h/AEb2tqZUWqUUQorN7sevH2TJ5t&#10;sXkpTVarv34jCHscZuYbZrnubSNu1PnasYLJOAFBrJ2puVRw/Mk/5yB8QDbYOCYFD/KwXg0+lpgZ&#10;d+cD3YpQighhn6GCKoQ2k9Lriiz6sWuJo3dxncUQZVdK0+E9wm0j0ySZSYs1x4UKW9pWpK/Fr1Vw&#10;3swPejepZZ7m+6fG4kvu8pNSo2G/WYAI1If/8Lv9bRSk6Ww6hde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pBW3EAAAA3gAAAA8AAAAAAAAAAAAAAAAAmAIAAGRycy9k&#10;b3ducmV2LnhtbFBLBQYAAAAABAAEAPUAAACJAwAAAAA=&#10;" path="m,l618055,200451r612486,211585l1843028,634759r612487,222722l3068001,1041227r618056,239427l4298543,1469968e" filled="f" strokecolor="#ed7d31" strokeweight=".30933mm">
                  <v:stroke endcap="round"/>
                  <v:path arrowok="t" textboxrect="0,0,4298543,1469968"/>
                </v:shape>
                <v:shape id="Shape 22634" o:spid="_x0000_s1738" style="position:absolute;left:4315;top:5595;width:42985;height:15090;visibility:visible;mso-wrap-style:square;v-text-anchor:top" coordsize="4298543,1508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LUccA&#10;AADeAAAADwAAAGRycy9kb3ducmV2LnhtbESPQWvCQBSE74X+h+UVeqsb0yIaXUVqC0XqwSh4fWSf&#10;SWz2bcg+Nf57t1DocZiZb5jZoneNulAXas8GhoMEFHHhbc2lgf3u82UMKgiyxcYzGbhRgMX88WGG&#10;mfVX3tIll1JFCIcMDVQibaZ1KCpyGAa+JY7e0XcOJcqu1LbDa4S7RqdJMtIOa44LFbb0XlHxk5+d&#10;gbz+3pyHK1kf5GO7Ot38ZLdsxJjnp345BSXUy3/4r/1lDaTp6PUNfu/EK6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C1HHAAAA3gAAAA8AAAAAAAAAAAAAAAAAmAIAAGRy&#10;cy9kb3ducmV2LnhtbFBLBQYAAAAABAAEAPUAAACMAwAAAAA=&#10;" path="m,l618055,200451r612486,217154l1843028,640327r612487,222723l3068001,1085772r618056,211586l4298543,1508944e" filled="f" strokecolor="#a4a4a4" strokeweight=".30933mm">
                  <v:stroke endcap="round"/>
                  <v:path arrowok="t" textboxrect="0,0,4298543,1508944"/>
                </v:shape>
                <v:shape id="Shape 22635" o:spid="_x0000_s1739" style="position:absolute;left:4315;top:5540;width:42985;height:13976;visibility:visible;mso-wrap-style:square;v-text-anchor:top" coordsize="4298543,139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gC8gA&#10;AADeAAAADwAAAGRycy9kb3ducmV2LnhtbESP3WrCQBSE7wu+w3IE7+rGSLWkrmKlQqGF1B9oL4/Z&#10;YxLMng27q0nfvlso9HKYmW+Yxao3jbiR87VlBZNxAoK4sLrmUsHxsL1/BOEDssbGMin4Jg+r5eBu&#10;gZm2He/otg+liBD2GSqoQmgzKX1RkUE/ti1x9M7WGQxRulJqh12Em0amSTKTBmuOCxW2tKmouOyv&#10;RoH/6t4PH6f55LnPX+rj5yZ3+JYrNRr26ycQgfrwH/5rv2oFaTqbPsDvnXg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yOALyAAAAN4AAAAPAAAAAAAAAAAAAAAAAJgCAABk&#10;cnMvZG93bnJldi54bWxQSwUGAAAAAAQABAD1AAAAjQMAAAAA&#10;" path="m,l618055,189314r612486,200451l1843028,584647r612487,200449l3068001,991115r618056,200450l4298543,1397583e" filled="f" strokecolor="#ffc000" strokeweight=".30933mm">
                  <v:stroke endcap="round"/>
                  <v:path arrowok="t" textboxrect="0,0,4298543,1397583"/>
                </v:shape>
                <v:rect id="Rectangle 22636" o:spid="_x0000_s1740" style="position:absolute;left:389;top:23075;width:222;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7DBscA&#10;AADeAAAADwAAAGRycy9kb3ducmV2LnhtbESPQWvCQBSE74L/YXlCb7oxhaBpVhFb0aPVgu3tkX0m&#10;wezbkF2TtL/eLRR6HGbmGyZbD6YWHbWusqxgPotAEOdWV1wo+DjvpgsQziNrrC2Tgm9ysF6NRxmm&#10;2vb8Tt3JFyJA2KWooPS+SaV0eUkG3cw2xMG72tagD7ItpG6xD3BTyziKEmmw4rBQYkPbkvLb6W4U&#10;7BfN5vNgf/qifvvaX46X5et56ZV6mgybFxCeBv8f/msftII4Tp4T+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wwb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8"/>
                          </w:rPr>
                          <w:t>-</w:t>
                        </w:r>
                      </w:p>
                    </w:txbxContent>
                  </v:textbox>
                </v:rect>
                <v:rect id="Rectangle 22637" o:spid="_x0000_s1741" style="position:absolute;left:556;top:23075;width:33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mncgA&#10;AADeAAAADwAAAGRycy9kb3ducmV2LnhtbESPT2vCQBTE7wW/w/KE3urGFNKYZhXRFj36D2xvj+xr&#10;Esy+DdmtSfvpu0LB4zAzv2HyxWAacaXO1ZYVTCcRCOLC6ppLBafj+1MKwnlkjY1lUvBDDhbz0UOO&#10;mbY97+l68KUIEHYZKqi8bzMpXVGRQTexLXHwvmxn0AfZlVJ32Ae4aWQcRYk0WHNYqLClVUXF5fBt&#10;FGzSdvmxtb992bx9bs6782x9nHmlHsfD8hWEp8Hfw//trVYQx8nzC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4madyAAAAN4AAAAPAAAAAAAAAAAAAAAAAJgCAABk&#10;cnMvZG93bnJldi54bWxQSwUGAAAAAAQABAD1AAAAjQMAAAAA&#10;" filled="f" stroked="f">
                  <v:textbox inset="0,0,0,0">
                    <w:txbxContent>
                      <w:p w:rsidR="00EE13F6" w:rsidRDefault="002E5BC4">
                        <w:r>
                          <w:rPr>
                            <w:rFonts w:ascii="Times New Roman" w:eastAsia="Times New Roman" w:hAnsi="Times New Roman" w:cs="Times New Roman"/>
                            <w:color w:val="585858"/>
                            <w:sz w:val="8"/>
                          </w:rPr>
                          <w:t>6</w:t>
                        </w:r>
                      </w:p>
                    </w:txbxContent>
                  </v:textbox>
                </v:rect>
                <v:rect id="Rectangle 22638" o:spid="_x0000_s1742" style="position:absolute;left:389;top:19563;width:222;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y78UA&#10;AADeAAAADwAAAGRycy9kb3ducmV2LnhtbERPy2qDQBTdF/oPwy1014y1EKLJRKRJ0WUehTS7i3Or&#10;UueOONNo+/WZRSDLw3mvssl04kKDay0reJ1FIIgrq1uuFXweP14WIJxH1thZJgV/5CBbPz6sMNV2&#10;5D1dDr4WIYRdigoa7/tUSlc1ZNDNbE8cuG87GPQBDrXUA44h3HQyjqK5NNhyaGiwp/eGqp/Dr1FQ&#10;LPr8q7T/Y91tz8Vpd0o2x8Qr9fw05UsQniZ/F9/cpVYQx/O3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fLv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8"/>
                          </w:rPr>
                          <w:t>-</w:t>
                        </w:r>
                      </w:p>
                    </w:txbxContent>
                  </v:textbox>
                </v:rect>
                <v:rect id="Rectangle 22639" o:spid="_x0000_s1743" style="position:absolute;left:556;top:19563;width:33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XdMYA&#10;AADeAAAADwAAAGRycy9kb3ducmV2LnhtbESPT2vCQBTE74V+h+UVvNVNI4iJriJtRY/+A/X2yL4m&#10;odm3Ibua6Kd3BcHjMDO/YSazzlTiQo0rLSv46kcgiDOrS84V7HeLzxEI55E1VpZJwZUczKbvbxNM&#10;tW15Q5etz0WAsEtRQeF9nUrpsoIMur6tiYP3ZxuDPsgml7rBNsBNJeMoGkqDJYeFAmv6Lij7356N&#10;guWonh9X9tbm1e9peVgfkp9d4pXqfXTzMQhPnX+Fn+2VVhDHw0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FXdM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8"/>
                          </w:rPr>
                          <w:t>5</w:t>
                        </w:r>
                      </w:p>
                    </w:txbxContent>
                  </v:textbox>
                </v:rect>
                <v:rect id="Rectangle 22640" o:spid="_x0000_s1744" style="position:absolute;left:389;top:16050;width:222;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NlMYA&#10;AADeAAAADwAAAGRycy9kb3ducmV2LnhtbESPy2qDQBSG94W+w3AK3TVjpYRoMhFpUnSZSyHN7uCc&#10;qtQ5I8402j59ZhHI8ue/8a2yyXTiQoNrLSt4nUUgiCurW64VfB4/XhYgnEfW2FkmBX/kIFs/Pqww&#10;1XbkPV0OvhZhhF2KChrv+1RKVzVk0M1sTxy8bzsY9EEOtdQDjmHcdDKOork02HJ4aLCn94aqn8Ov&#10;UVAs+vyrtP9j3W3PxWl3SjbHxCv1/DTlSxCeJn8P39qlVhDH87c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2NlM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8"/>
                          </w:rPr>
                          <w:t>-</w:t>
                        </w:r>
                      </w:p>
                    </w:txbxContent>
                  </v:textbox>
                </v:rect>
                <v:rect id="Rectangle 22641" o:spid="_x0000_s1745" style="position:absolute;left:556;top:16050;width:33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oD8YA&#10;AADeAAAADwAAAGRycy9kb3ducmV2LnhtbESPT4vCMBTE7wv7HcJb8LamFhGtRpFV0aN/FtTbo3m2&#10;ZZuX0kRb/fRGEPY4zMxvmMmsNaW4Ue0Kywp63QgEcWp1wZmC38PqewjCeWSNpWVScCcHs+nnxwQT&#10;bRve0W3vMxEg7BJUkHtfJVK6NCeDrmsr4uBdbG3QB1lnUtfYBLgpZRxFA2mw4LCQY0U/OaV/+6tR&#10;sB5W89PGPpqsXJ7Xx+1xtDiMvFKdr3Y+BuGp9f/hd3ujFcTxoN+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EoD8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8"/>
                          </w:rPr>
                          <w:t>4</w:t>
                        </w:r>
                      </w:p>
                    </w:txbxContent>
                  </v:textbox>
                </v:rect>
                <v:rect id="Rectangle 22642" o:spid="_x0000_s1746" style="position:absolute;left:389;top:12537;width:222;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2eMcA&#10;AADeAAAADwAAAGRycy9kb3ducmV2LnhtbESPQWvCQBSE74L/YXlCb7oxFEmiawi2osdWC9bbI/ua&#10;hGbfhuxq0v76bqHQ4zAz3zCbfDStuFPvGssKlosIBHFpdcOVgrfzfp6AcB5ZY2uZFHyRg3w7nWww&#10;03bgV7qffCUChF2GCmrvu0xKV9Zk0C1sRxy8D9sb9EH2ldQ9DgFuWhlH0UoabDgs1NjRrqby83Qz&#10;Cg5JV7wf7fdQtc/Xw+Xlkj6dU6/Uw2ws1iA8jf4//Nc+agVxvHqM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Ttnj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8"/>
                          </w:rPr>
                          <w:t>-</w:t>
                        </w:r>
                      </w:p>
                    </w:txbxContent>
                  </v:textbox>
                </v:rect>
                <v:rect id="Rectangle 22643" o:spid="_x0000_s1747" style="position:absolute;left:556;top:12537;width:33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8T48cA&#10;AADeAAAADwAAAGRycy9kb3ducmV2LnhtbESPT2vCQBTE7wW/w/IEb3VjWiSmriLaokf/FGxvj+xr&#10;Esy+DdnVRD+9Kwg9DjPzG2Y670wlLtS40rKC0TACQZxZXXKu4Pvw9ZqAcB5ZY2WZFFzJwXzWe5li&#10;qm3LO7rsfS4ChF2KCgrv61RKlxVk0A1tTRy8P9sY9EE2udQNtgFuKhlH0VgaLDksFFjTsqDstD8b&#10;BeukXvxs7K3Nq8/f9XF7nKwOE6/UoN8tPkB46vx/+NneaAVxPH5/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E+P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8"/>
                          </w:rPr>
                          <w:t>3</w:t>
                        </w:r>
                      </w:p>
                    </w:txbxContent>
                  </v:textbox>
                </v:rect>
                <v:rect id="Rectangle 22644" o:spid="_x0000_s1748" style="position:absolute;left:389;top:9024;width:222;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Ll8cA&#10;AADeAAAADwAAAGRycy9kb3ducmV2LnhtbESPS4vCQBCE74L/YWjBm04MIpp1FPGBHtcHuHtrMr1J&#10;MNMTMqPJ7q/fEQSPRVV9Rc2XrSnFg2pXWFYwGkYgiFOrC84UXM67wRSE88gaS8uk4JccLBfdzhwT&#10;bRs+0uPkMxEg7BJUkHtfJVK6NCeDbmgr4uD92NqgD7LOpK6xCXBTyjiKJtJgwWEhx4rWOaW3090o&#10;2E+r1dfB/jVZuf3eXz+vs8155pXq99rVBwhPrX+HX+2DVhDHk/E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2i5f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8"/>
                          </w:rPr>
                          <w:t>-</w:t>
                        </w:r>
                      </w:p>
                    </w:txbxContent>
                  </v:textbox>
                </v:rect>
                <v:rect id="Rectangle 22645" o:spid="_x0000_s1749" style="position:absolute;left:556;top:9024;width:33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uDMcA&#10;AADeAAAADwAAAGRycy9kb3ducmV2LnhtbESPT2vCQBTE7wW/w/IEb3VjaCWmriLaokf/FGxvj+xr&#10;Esy+DdnVRD+9Kwg9DjPzG2Y670wlLtS40rKC0TACQZxZXXKu4Pvw9ZqAcB5ZY2WZFFzJwXzWe5li&#10;qm3LO7rsfS4ChF2KCgrv61RKlxVk0A1tTRy8P9sY9EE2udQNtgFuKhlH0VgaLDksFFjTsqDstD8b&#10;BeukXvxs7K3Nq8/f9XF7nKwOE6/UoN8tPkB46vx/+NneaAVxPH57h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6Lgz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8"/>
                          </w:rPr>
                          <w:t>2</w:t>
                        </w:r>
                      </w:p>
                    </w:txbxContent>
                  </v:textbox>
                </v:rect>
                <v:rect id="Rectangle 22646" o:spid="_x0000_s1750" style="position:absolute;left:389;top:5511;width:222;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iwe8cA&#10;AADeAAAADwAAAGRycy9kb3ducmV2LnhtbESPQWvCQBSE74L/YXlCb7oxlKBpVhFb0aPVgu3tkX0m&#10;wezbkF2TtL/eLRR6HGbmGyZbD6YWHbWusqxgPotAEOdWV1wo+DjvpgsQziNrrC2Tgm9ysF6NRxmm&#10;2vb8Tt3JFyJA2KWooPS+SaV0eUkG3cw2xMG72tagD7ItpG6xD3BTyziKEmmw4rBQYkPbkvLb6W4U&#10;7BfN5vNgf/qifvvaX46X5et56ZV6mgybFxCeBv8f/msftII4Tp4T+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osHv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8"/>
                          </w:rPr>
                          <w:t>-</w:t>
                        </w:r>
                      </w:p>
                    </w:txbxContent>
                  </v:textbox>
                </v:rect>
                <v:rect id="Rectangle 22647" o:spid="_x0000_s1751" style="position:absolute;left:556;top:5511;width:33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V4MgA&#10;AADeAAAADwAAAGRycy9kb3ducmV2LnhtbESPT2vCQBTE7wW/w/KE3urGUNKYZhXRFj36D2xvj+xr&#10;Esy+DdmtSfvpu0LB4zAzv2HyxWAacaXO1ZYVTCcRCOLC6ppLBafj+1MKwnlkjY1lUvBDDhbz0UOO&#10;mbY97+l68KUIEHYZKqi8bzMpXVGRQTexLXHwvmxn0AfZlVJ32Ae4aWQcRYk0WHNYqLClVUXF5fBt&#10;FGzSdvmxtb992bx9bs6782x9nHmlHsfD8hWEp8Hfw//trVYQx8nzC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5BXgyAAAAN4AAAAPAAAAAAAAAAAAAAAAAJgCAABk&#10;cnMvZG93bnJldi54bWxQSwUGAAAAAAQABAD1AAAAjQMAAAAA&#10;" filled="f" stroked="f">
                  <v:textbox inset="0,0,0,0">
                    <w:txbxContent>
                      <w:p w:rsidR="00EE13F6" w:rsidRDefault="002E5BC4">
                        <w:r>
                          <w:rPr>
                            <w:rFonts w:ascii="Times New Roman" w:eastAsia="Times New Roman" w:hAnsi="Times New Roman" w:cs="Times New Roman"/>
                            <w:color w:val="585858"/>
                            <w:sz w:val="8"/>
                          </w:rPr>
                          <w:t>1</w:t>
                        </w:r>
                      </w:p>
                    </w:txbxContent>
                  </v:textbox>
                </v:rect>
                <v:rect id="Rectangle 22648" o:spid="_x0000_s1752" style="position:absolute;left:527;top:2006;width:337;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BksUA&#10;AADeAAAADwAAAGRycy9kb3ducmV2LnhtbERPy2qDQBTdF/oPwy1014yVEqLJRKRJ0WUehTS7i3Or&#10;UueOONNo+/WZRSDLw3mvssl04kKDay0reJ1FIIgrq1uuFXweP14WIJxH1thZJgV/5CBbPz6sMNV2&#10;5D1dDr4WIYRdigoa7/tUSlc1ZNDNbE8cuG87GPQBDrXUA44h3HQyjqK5NNhyaGiwp/eGqp/Dr1FQ&#10;LPr8q7T/Y91tz8Vpd0o2x8Qr9fw05UsQniZ/F9/cpVYQx/O3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GSxQAAAN4AAAAPAAAAAAAAAAAAAAAAAJgCAABkcnMv&#10;ZG93bnJldi54bWxQSwUGAAAAAAQABAD1AAAAigMAAAAA&#10;" filled="f" stroked="f">
                  <v:textbox inset="0,0,0,0">
                    <w:txbxContent>
                      <w:p w:rsidR="00EE13F6" w:rsidRDefault="002E5BC4">
                        <w:r>
                          <w:rPr>
                            <w:color w:val="585858"/>
                            <w:sz w:val="8"/>
                          </w:rPr>
                          <w:t>0</w:t>
                        </w:r>
                      </w:p>
                    </w:txbxContent>
                  </v:textbox>
                </v:rect>
                <v:rect id="Rectangle 22649" o:spid="_x0000_s1753" style="position:absolute;left:3220;top:2630;width:2942;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kCcYA&#10;AADeAAAADwAAAGRycy9kb3ducmV2LnhtbESPT2vCQBTE74V+h+UVvNVNg4iJriJtRY/+A/X2yL4m&#10;odm3Ibua6Kd3BcHjMDO/YSazzlTiQo0rLSv46kcgiDOrS84V7HeLzxEI55E1VpZJwZUczKbvbxNM&#10;tW15Q5etz0WAsEtRQeF9nUrpsoIMur6tiYP3ZxuDPsgml7rBNsBNJeMoGkqDJYeFAmv6Lij7356N&#10;guWonh9X9tbm1e9peVgfkp9d4pXqfXTzMQhPnX+Fn+2VVhDHw0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ckCcYAAADeAAAADwAAAAAAAAAAAAAAAACYAgAAZHJz&#10;L2Rvd25yZXYueG1sUEsFBgAAAAAEAAQA9QAAAIsDAAAAAA==&#10;" filled="f" stroked="f">
                  <v:textbox inset="0,0,0,0">
                    <w:txbxContent>
                      <w:p w:rsidR="00EE13F6" w:rsidRDefault="002E5BC4">
                        <w:r>
                          <w:rPr>
                            <w:color w:val="585858"/>
                            <w:sz w:val="8"/>
                          </w:rPr>
                          <w:t>Spr=50</w:t>
                        </w:r>
                        <w:r>
                          <w:rPr>
                            <w:color w:val="585858"/>
                            <w:sz w:val="8"/>
                          </w:rPr>
                          <w:tab/>
                          <w:t>b.p</w:t>
                        </w:r>
                      </w:p>
                    </w:txbxContent>
                  </v:textbox>
                </v:rect>
                <v:rect id="Rectangle 22650" o:spid="_x0000_s1754" style="position:absolute;left:9190;top:2630;width:3312;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bScYA&#10;AADeAAAADwAAAGRycy9kb3ducmV2LnhtbESPy2qDQBSG94W+w3AK3TVjhYZoMhFpUnSZSyHN7uCc&#10;qtQ5I8402j59ZhHI8ue/8a2yyXTiQoNrLSt4nUUgiCurW64VfB4/XhYgnEfW2FkmBX/kIFs/Pqww&#10;1XbkPV0OvhZhhF2KChrv+1RKVzVk0M1sTxy8bzsY9EEOtdQDjmHcdDKOork02HJ4aLCn94aqn8Ov&#10;UVAs+vyrtP9j3W3PxWl3SjbHxCv1/DTlSxCeJn8P39qlVhDH87c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QbScYAAADeAAAADwAAAAAAAAAAAAAAAACYAgAAZHJz&#10;L2Rvd25yZXYueG1sUEsFBgAAAAAEAAQA9QAAAIsDAAAAAA==&#10;" filled="f" stroked="f">
                  <v:textbox inset="0,0,0,0">
                    <w:txbxContent>
                      <w:p w:rsidR="00EE13F6" w:rsidRDefault="002E5BC4">
                        <w:r>
                          <w:rPr>
                            <w:color w:val="585858"/>
                            <w:sz w:val="8"/>
                          </w:rPr>
                          <w:t>Spr=100</w:t>
                        </w:r>
                        <w:r>
                          <w:rPr>
                            <w:color w:val="585858"/>
                            <w:sz w:val="8"/>
                          </w:rPr>
                          <w:tab/>
                          <w:t>b.p</w:t>
                        </w:r>
                      </w:p>
                    </w:txbxContent>
                  </v:textbox>
                </v:rect>
                <v:rect id="Rectangle 22651" o:spid="_x0000_s1755" style="position:absolute;left:15326;top:2630;width:3312;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sYA&#10;AADeAAAADwAAAGRycy9kb3ducmV2LnhtbESPT4vCMBTE7wv7HcJb8LamFhStRpFV0aN/FtTbo3m2&#10;ZZuX0kRb/fRGEPY4zMxvmMmsNaW4Ue0Kywp63QgEcWp1wZmC38PqewjCeWSNpWVScCcHs+nnxwQT&#10;bRve0W3vMxEg7BJUkHtfJVK6NCeDrmsr4uBdbG3QB1lnUtfYBLgpZRxFA2mw4LCQY0U/OaV/+6tR&#10;sB5W89PGPpqsXJ7Xx+1xtDiMvFKdr3Y+BuGp9f/hd3ujFcTxoN+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0sYAAADeAAAADwAAAAAAAAAAAAAAAACYAgAAZHJz&#10;L2Rvd25yZXYueG1sUEsFBgAAAAAEAAQA9QAAAIsDAAAAAA==&#10;" filled="f" stroked="f">
                  <v:textbox inset="0,0,0,0">
                    <w:txbxContent>
                      <w:p w:rsidR="00EE13F6" w:rsidRDefault="002E5BC4">
                        <w:r>
                          <w:rPr>
                            <w:color w:val="585858"/>
                            <w:sz w:val="8"/>
                          </w:rPr>
                          <w:t>Spr=150</w:t>
                        </w:r>
                        <w:r>
                          <w:rPr>
                            <w:color w:val="585858"/>
                            <w:sz w:val="8"/>
                          </w:rPr>
                          <w:tab/>
                          <w:t>b.p</w:t>
                        </w:r>
                      </w:p>
                    </w:txbxContent>
                  </v:textbox>
                </v:rect>
                <v:rect id="Rectangle 22652" o:spid="_x0000_s1756" style="position:absolute;left:21463;top:2630;width:3311;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gpccA&#10;AADeAAAADwAAAGRycy9kb3ducmV2LnhtbESPQWvCQBSE74L/YXlCb7oxUEmiawi2osdWC9bbI/ua&#10;hGbfhuxq0v76bqHQ4zAz3zCbfDStuFPvGssKlosIBHFpdcOVgrfzfp6AcB5ZY2uZFHyRg3w7nWww&#10;03bgV7qffCUChF2GCmrvu0xKV9Zk0C1sRxy8D9sb9EH2ldQ9DgFuWhlH0UoabDgs1NjRrqby83Qz&#10;Cg5JV7wf7fdQtc/Xw+Xlkj6dU6/Uw2ws1iA8jf4//Nc+agVxvHqM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IKXHAAAA3gAAAA8AAAAAAAAAAAAAAAAAmAIAAGRy&#10;cy9kb3ducmV2LnhtbFBLBQYAAAAABAAEAPUAAACMAwAAAAA=&#10;" filled="f" stroked="f">
                  <v:textbox inset="0,0,0,0">
                    <w:txbxContent>
                      <w:p w:rsidR="00EE13F6" w:rsidRDefault="002E5BC4">
                        <w:r>
                          <w:rPr>
                            <w:color w:val="585858"/>
                            <w:sz w:val="8"/>
                          </w:rPr>
                          <w:t>Spr=200</w:t>
                        </w:r>
                        <w:r>
                          <w:rPr>
                            <w:color w:val="585858"/>
                            <w:sz w:val="8"/>
                          </w:rPr>
                          <w:tab/>
                          <w:t>b.p</w:t>
                        </w:r>
                      </w:p>
                    </w:txbxContent>
                  </v:textbox>
                </v:rect>
                <v:rect id="Rectangle 22653" o:spid="_x0000_s1757" style="position:absolute;left:27599;top:2630;width:3312;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FPscA&#10;AADeAAAADwAAAGRycy9kb3ducmV2LnhtbESPT2vCQBTE7wW/w/IEb3VjSiWmriLaokf/FGxvj+xr&#10;Esy+DdnVRD+9Kwg9DjPzG2Y670wlLtS40rKC0TACQZxZXXKu4Pvw9ZqAcB5ZY2WZFFzJwXzWe5li&#10;qm3LO7rsfS4ChF2KCgrv61RKlxVk0A1tTRy8P9sY9EE2udQNtgFuKhlH0VgaLDksFFjTsqDstD8b&#10;BeukXvxs7K3Nq8/f9XF7nKwOE6/UoN8tPkB46vx/+NneaAVxPH5/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hT7HAAAA3gAAAA8AAAAAAAAAAAAAAAAAmAIAAGRy&#10;cy9kb3ducmV2LnhtbFBLBQYAAAAABAAEAPUAAACMAwAAAAA=&#10;" filled="f" stroked="f">
                  <v:textbox inset="0,0,0,0">
                    <w:txbxContent>
                      <w:p w:rsidR="00EE13F6" w:rsidRDefault="002E5BC4">
                        <w:r>
                          <w:rPr>
                            <w:color w:val="585858"/>
                            <w:sz w:val="8"/>
                          </w:rPr>
                          <w:t>Spr=250</w:t>
                        </w:r>
                        <w:r>
                          <w:rPr>
                            <w:color w:val="585858"/>
                            <w:sz w:val="8"/>
                          </w:rPr>
                          <w:tab/>
                          <w:t>b.p</w:t>
                        </w:r>
                      </w:p>
                    </w:txbxContent>
                  </v:textbox>
                </v:rect>
                <v:rect id="Rectangle 22654" o:spid="_x0000_s1758" style="position:absolute;left:33735;top:2630;width:3312;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dSscA&#10;AADeAAAADwAAAGRycy9kb3ducmV2LnhtbESPT2vCQBTE7wW/w/IEb3VjaCWmriLaokf/FGxvj+xr&#10;Esy+DdnVRD+9Kwg9DjPzG2Y670wlLtS40rKC0TACQZxZXXKu4Pvw9ZqAcB5ZY2WZFFzJwXzWe5li&#10;qm3LO7rsfS4ChF2KCgrv61RKlxVk0A1tTRy8P9sY9EE2udQNtgFuKhlH0VgaLDksFFjTsqDstD8b&#10;BeukXvxs7K3Nq8/f9XF7nKwOE6/UoN8tPkB46vx/+NneaAVxPH5/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vHUrHAAAA3gAAAA8AAAAAAAAAAAAAAAAAmAIAAGRy&#10;cy9kb3ducmV2LnhtbFBLBQYAAAAABAAEAPUAAACMAwAAAAA=&#10;" filled="f" stroked="f">
                  <v:textbox inset="0,0,0,0">
                    <w:txbxContent>
                      <w:p w:rsidR="00EE13F6" w:rsidRDefault="002E5BC4">
                        <w:r>
                          <w:rPr>
                            <w:color w:val="585858"/>
                            <w:sz w:val="8"/>
                          </w:rPr>
                          <w:t>Spr=300</w:t>
                        </w:r>
                        <w:r>
                          <w:rPr>
                            <w:color w:val="585858"/>
                            <w:sz w:val="8"/>
                          </w:rPr>
                          <w:tab/>
                          <w:t>b.p</w:t>
                        </w:r>
                      </w:p>
                    </w:txbxContent>
                  </v:textbox>
                </v:rect>
                <v:rect id="Rectangle 22655" o:spid="_x0000_s1759" style="position:absolute;left:39872;top:2630;width:3312;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40ccA&#10;AADeAAAADwAAAGRycy9kb3ducmV2LnhtbESPS4vCQBCE74L/YWjBm04MKJp1FPGBHtcHuHtrMr1J&#10;MNMTMqPJ7q/fEQSPRVV9Rc2XrSnFg2pXWFYwGkYgiFOrC84UXM67wRSE88gaS8uk4JccLBfdzhwT&#10;bRs+0uPkMxEg7BJUkHtfJVK6NCeDbmgr4uD92NqgD7LOpK6xCXBTyjiKJtJgwWEhx4rWOaW3090o&#10;2E+r1dfB/jVZuf3eXz+vs8155pXq99rVBwhPrX+HX+2DVhDHk/E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juNHHAAAA3gAAAA8AAAAAAAAAAAAAAAAAmAIAAGRy&#10;cy9kb3ducmV2LnhtbFBLBQYAAAAABAAEAPUAAACMAwAAAAA=&#10;" filled="f" stroked="f">
                  <v:textbox inset="0,0,0,0">
                    <w:txbxContent>
                      <w:p w:rsidR="00EE13F6" w:rsidRDefault="002E5BC4">
                        <w:r>
                          <w:rPr>
                            <w:color w:val="585858"/>
                            <w:sz w:val="8"/>
                          </w:rPr>
                          <w:t>Spr=350</w:t>
                        </w:r>
                        <w:r>
                          <w:rPr>
                            <w:color w:val="585858"/>
                            <w:sz w:val="8"/>
                          </w:rPr>
                          <w:tab/>
                          <w:t>b.p</w:t>
                        </w:r>
                      </w:p>
                    </w:txbxContent>
                  </v:textbox>
                </v:rect>
                <v:rect id="Rectangle 22656" o:spid="_x0000_s1760" style="position:absolute;left:46008;top:2630;width:3312;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mpscA&#10;AADeAAAADwAAAGRycy9kb3ducmV2LnhtbESPQWvCQBSE74L/YXlCb7ox0KBpVhFb0aPVgu3tkX0m&#10;wezbkF2TtL/eLRR6HGbmGyZbD6YWHbWusqxgPotAEOdWV1wo+DjvpgsQziNrrC2Tgm9ysF6NRxmm&#10;2vb8Tt3JFyJA2KWooPS+SaV0eUkG3cw2xMG72tagD7ItpG6xD3BTyziKEmmw4rBQYkPbkvLb6W4U&#10;7BfN5vNgf/qifvvaX46X5et56ZV6mgybFxCeBv8f/msftII4Tp4T+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xJqbHAAAA3gAAAA8AAAAAAAAAAAAAAAAAmAIAAGRy&#10;cy9kb3ducmV2LnhtbFBLBQYAAAAABAAEAPUAAACMAwAAAAA=&#10;" filled="f" stroked="f">
                  <v:textbox inset="0,0,0,0">
                    <w:txbxContent>
                      <w:p w:rsidR="00EE13F6" w:rsidRDefault="002E5BC4">
                        <w:r>
                          <w:rPr>
                            <w:color w:val="585858"/>
                            <w:sz w:val="8"/>
                          </w:rPr>
                          <w:t>Spr=400</w:t>
                        </w:r>
                        <w:r>
                          <w:rPr>
                            <w:color w:val="585858"/>
                            <w:sz w:val="8"/>
                          </w:rPr>
                          <w:tab/>
                          <w:t>b.p</w:t>
                        </w:r>
                      </w:p>
                    </w:txbxContent>
                  </v:textbox>
                </v:rect>
                <v:rect id="Rectangle 22657" o:spid="_x0000_s1761" style="position:absolute;left:6166;top:510;width:51422;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DPcgA&#10;AADeAAAADwAAAGRycy9kb3ducmV2LnhtbESPT2vCQBTE7wW/w/KE3urGQNOYZhXRFj36D2xvj+xr&#10;Esy+DdmtSfvpu0LB4zAzv2HyxWAacaXO1ZYVTCcRCOLC6ppLBafj+1MKwnlkjY1lUvBDDhbz0UOO&#10;mbY97+l68KUIEHYZKqi8bzMpXVGRQTexLXHwvmxn0AfZlVJ32Ae4aWQcRYk0WHNYqLClVUXF5fBt&#10;FGzSdvmxtb992bx9bs6782x9nHmlHsfD8hWEp8Hfw//trVYQx8nzC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PYM9yAAAAN4AAAAPAAAAAAAAAAAAAAAAAJgCAABk&#10;cnMvZG93bnJldi54bWxQSwUGAAAAAAQABAD1AAAAjQMAAAAA&#10;" filled="f" stroked="f">
                  <v:textbox inset="0,0,0,0">
                    <w:txbxContent>
                      <w:p w:rsidR="00EE13F6" w:rsidRDefault="002E5BC4">
                        <w:r>
                          <w:rPr>
                            <w:b/>
                            <w:color w:val="585858"/>
                            <w:sz w:val="12"/>
                          </w:rPr>
                          <w:t>Long</w:t>
                        </w:r>
                        <w:r>
                          <w:rPr>
                            <w:b/>
                            <w:color w:val="585858"/>
                            <w:sz w:val="12"/>
                          </w:rPr>
                          <w:tab/>
                          <w:t>Term</w:t>
                        </w:r>
                        <w:r>
                          <w:rPr>
                            <w:b/>
                            <w:color w:val="585858"/>
                            <w:sz w:val="12"/>
                          </w:rPr>
                          <w:tab/>
                          <w:t>Impact</w:t>
                        </w:r>
                        <w:r>
                          <w:rPr>
                            <w:b/>
                            <w:color w:val="585858"/>
                            <w:sz w:val="12"/>
                          </w:rPr>
                          <w:tab/>
                          <w:t>on</w:t>
                        </w:r>
                        <w:r>
                          <w:rPr>
                            <w:b/>
                            <w:color w:val="585858"/>
                            <w:sz w:val="12"/>
                          </w:rPr>
                          <w:tab/>
                          <w:t>Theoretical</w:t>
                        </w:r>
                        <w:r>
                          <w:rPr>
                            <w:b/>
                            <w:color w:val="585858"/>
                            <w:sz w:val="12"/>
                          </w:rPr>
                          <w:tab/>
                          <w:t>Equity</w:t>
                        </w:r>
                        <w:r>
                          <w:rPr>
                            <w:b/>
                            <w:color w:val="585858"/>
                            <w:sz w:val="12"/>
                          </w:rPr>
                          <w:tab/>
                          <w:t>Share</w:t>
                        </w:r>
                        <w:r>
                          <w:rPr>
                            <w:b/>
                            <w:color w:val="585858"/>
                            <w:sz w:val="12"/>
                          </w:rPr>
                          <w:tab/>
                          <w:t>Price</w:t>
                        </w:r>
                        <w:r>
                          <w:rPr>
                            <w:b/>
                            <w:color w:val="585858"/>
                            <w:sz w:val="12"/>
                          </w:rPr>
                          <w:tab/>
                          <w:t>for</w:t>
                        </w:r>
                        <w:r>
                          <w:rPr>
                            <w:b/>
                            <w:color w:val="585858"/>
                            <w:sz w:val="12"/>
                          </w:rPr>
                          <w:tab/>
                          <w:t>Optimum</w:t>
                        </w:r>
                        <w:r>
                          <w:rPr>
                            <w:b/>
                            <w:color w:val="585858"/>
                            <w:sz w:val="12"/>
                          </w:rPr>
                          <w:tab/>
                          <w:t>Leverage</w:t>
                        </w:r>
                        <w:r>
                          <w:rPr>
                            <w:b/>
                            <w:color w:val="585858"/>
                            <w:sz w:val="12"/>
                          </w:rPr>
                          <w:tab/>
                          <w:t>Depending</w:t>
                        </w:r>
                        <w:r>
                          <w:rPr>
                            <w:b/>
                            <w:color w:val="585858"/>
                            <w:sz w:val="12"/>
                          </w:rPr>
                          <w:tab/>
                          <w:t>Upon</w:t>
                        </w:r>
                        <w:r>
                          <w:rPr>
                            <w:b/>
                            <w:color w:val="585858"/>
                            <w:sz w:val="12"/>
                          </w:rPr>
                          <w:tab/>
                          <w:t>Maturity</w:t>
                        </w:r>
                        <w:r>
                          <w:rPr>
                            <w:b/>
                            <w:color w:val="585858"/>
                            <w:sz w:val="12"/>
                          </w:rPr>
                          <w:tab/>
                          <w:t>and</w:t>
                        </w:r>
                        <w:r>
                          <w:rPr>
                            <w:b/>
                            <w:color w:val="585858"/>
                            <w:sz w:val="12"/>
                          </w:rPr>
                          <w:tab/>
                          <w:t>Credit</w:t>
                        </w:r>
                        <w:r>
                          <w:rPr>
                            <w:b/>
                            <w:color w:val="585858"/>
                            <w:sz w:val="12"/>
                          </w:rPr>
                          <w:tab/>
                          <w:t>Spread</w:t>
                        </w:r>
                      </w:p>
                    </w:txbxContent>
                  </v:textbox>
                </v:rect>
                <v:shape id="Shape 22658" o:spid="_x0000_s1762" style="position:absolute;left:17956;top:24081;width:1058;height:0;visibility:visible;mso-wrap-style:square;v-text-anchor:top" coordsize="1057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pjsQA&#10;AADeAAAADwAAAGRycy9kb3ducmV2LnhtbERPz2vCMBS+C/sfwhN209RCZVSjdJ2DsduqKLs9kre2&#10;rHkpTWy7/345DHb8+H7vj7PtxEiDbx0r2KwTEMTamZZrBZfz6+oJhA/IBjvHpOCHPBwPD4s95sZN&#10;/EFjFWoRQ9jnqKAJoc+l9Lohi37teuLIfbnBYohwqKUZcIrhtpNpkmylxZZjQ4M9lQ3p7+puFbTT&#10;p76d3p8xu71U13LUlb0WpVKPy7nYgQg0h3/xn/vNKEjTbRb3xjvxCs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KY7EAAAA3gAAAA8AAAAAAAAAAAAAAAAAmAIAAGRycy9k&#10;b3ducmV2LnhtbFBLBQYAAAAABAAEAPUAAACJAwAAAAA=&#10;" path="m,l105793,1e" filled="f" strokecolor="#5b9bd5" strokeweight=".30933mm">
                  <v:stroke endcap="round"/>
                  <v:path arrowok="t" textboxrect="0,0,105793,1"/>
                </v:shape>
                <v:rect id="Rectangle 22659" o:spid="_x0000_s1763" style="position:absolute;left:19114;top:23795;width:931;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1MYA&#10;AADeAAAADwAAAGRycy9kb3ducmV2LnhtbESPT2vCQBTE74V+h+UVvNVNA4qJriJtRY/+A/X2yL4m&#10;odm3Ibua6Kd3BcHjMDO/YSazzlTiQo0rLSv46kcgiDOrS84V7HeLzxEI55E1VpZJwZUczKbvbxNM&#10;tW15Q5etz0WAsEtRQeF9nUrpsoIMur6tiYP3ZxuDPsgml7rBNsBNJeMoGkqDJYeFAmv6Lij7356N&#10;guWonh9X9tbm1e9peVgfkp9d4pXqfXTzMQhPnX+Fn+2VVhDHw0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y1MYAAADeAAAADwAAAAAAAAAAAAAAAACYAgAAZHJz&#10;L2Rvd25yZXYueG1sUEsFBgAAAAAEAAQA9QAAAIsDAAAAAA==&#10;" filled="f" stroked="f">
                  <v:textbox inset="0,0,0,0">
                    <w:txbxContent>
                      <w:p w:rsidR="00EE13F6" w:rsidRDefault="002E5BC4">
                        <w:r>
                          <w:rPr>
                            <w:color w:val="585858"/>
                            <w:sz w:val="8"/>
                          </w:rPr>
                          <w:t>T=5</w:t>
                        </w:r>
                      </w:p>
                    </w:txbxContent>
                  </v:textbox>
                </v:rect>
                <v:shape id="Shape 22660" o:spid="_x0000_s1764" style="position:absolute;left:20406;top:24081;width:1058;height:0;visibility:visible;mso-wrap-style:square;v-text-anchor:top" coordsize="1057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4T8YA&#10;AADeAAAADwAAAGRycy9kb3ducmV2LnhtbESPzWrCQBSF9wXfYbhCN0UnBho0OooUBDel1LQLd5fM&#10;NYlm7qQzYxLfvrModHk4f3yb3Wha0ZPzjWUFi3kCgri0uuFKwVdxmC1B+ICssbVMCh7kYbedPG0w&#10;13bgT+pPoRJxhH2OCuoQulxKX9Zk0M9tRxy9i3UGQ5SuktrhEMdNK9MkyaTBhuNDjR291VTeTnej&#10;4Ht4KR4OC//z+n7ls15+rNqqV+p5Ou7XIAKN4T/81z5qBWmaZREg4kQU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x4T8YAAADeAAAADwAAAAAAAAAAAAAAAACYAgAAZHJz&#10;L2Rvd25yZXYueG1sUEsFBgAAAAAEAAQA9QAAAIsDAAAAAA==&#10;" path="m,l105793,1e" filled="f" strokecolor="#ed7d31" strokeweight=".30933mm">
                  <v:stroke endcap="round"/>
                  <v:path arrowok="t" textboxrect="0,0,105793,1"/>
                </v:shape>
                <v:rect id="Rectangle 22661" o:spid="_x0000_s1765" style="position:absolute;left:21562;top:23795;width:1301;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b8cA&#10;AADeAAAADwAAAGRycy9kb3ducmV2LnhtbESPS4vCQBCE7wv+h6EFb+vEHIJGRxEf6NHHgu6tyfQm&#10;wUxPyIwm+uudhYU9FlX1FTVbdKYSD2pcaVnBaBiBIM6sLjlX8HXefo5BOI+ssbJMCp7kYDHvfcww&#10;1bblIz1OPhcBwi5FBYX3dSqlywoy6Ia2Jg7ej20M+iCbXOoG2wA3lYyjKJEGSw4LBda0Kii7ne5G&#10;wW5cL697+2rzavO9uxwuk/V54pUa9LvlFISnzv+H/9p7rSCOk2QEv3fCFZD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0dG/HAAAA3gAAAA8AAAAAAAAAAAAAAAAAmAIAAGRy&#10;cy9kb3ducmV2LnhtbFBLBQYAAAAABAAEAPUAAACMAwAAAAA=&#10;" filled="f" stroked="f">
                  <v:textbox inset="0,0,0,0">
                    <w:txbxContent>
                      <w:p w:rsidR="00EE13F6" w:rsidRDefault="002E5BC4">
                        <w:r>
                          <w:rPr>
                            <w:color w:val="585858"/>
                            <w:sz w:val="8"/>
                          </w:rPr>
                          <w:t>T=10</w:t>
                        </w:r>
                      </w:p>
                    </w:txbxContent>
                  </v:textbox>
                </v:rect>
                <v:shape id="Shape 22662" o:spid="_x0000_s1766" style="position:absolute;left:23079;top:24081;width:1058;height:0;visibility:visible;mso-wrap-style:square;v-text-anchor:top" coordsize="1057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s+sMA&#10;AADeAAAADwAAAGRycy9kb3ducmV2LnhtbESPQYvCMBSE7wv+h/AEb9vUHkKpRikLghcPqwt7fTTP&#10;pmzzUppo67/fCILHYWa+Ybb72fXiTmPoPGtYZzkI4sabjlsNP5fDZwkiRGSDvWfS8KAA+93iY4uV&#10;8RN/0/0cW5EgHCrUYGMcKilDY8lhyPxAnLyrHx3GJMdWmhGnBHe9LPJcSYcdpwWLA31Zav7ON6dB&#10;Huur+lV5OVlbms5dptODaq1Xy7negIg0x3f41T4aDUWhVAHPO+kK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xs+sMAAADeAAAADwAAAAAAAAAAAAAAAACYAgAAZHJzL2Rv&#10;d25yZXYueG1sUEsFBgAAAAAEAAQA9QAAAIgDAAAAAA==&#10;" path="m,l105793,1e" filled="f" strokecolor="#a4a4a4" strokeweight=".30933mm">
                  <v:stroke endcap="round"/>
                  <v:path arrowok="t" textboxrect="0,0,105793,1"/>
                </v:shape>
                <v:rect id="Rectangle 22663" o:spid="_x0000_s1767" style="position:absolute;left:24264;top:23795;width:1300;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Pg8cA&#10;AADeAAAADwAAAGRycy9kb3ducmV2LnhtbESPQWvCQBSE74L/YXlCb7oxhaBpVhFb0aPVgu3tkX0m&#10;wezbkF2TtL/eLRR6HGbmGyZbD6YWHbWusqxgPotAEOdWV1wo+DjvpgsQziNrrC2Tgm9ysF6NRxmm&#10;2vb8Tt3JFyJA2KWooPS+SaV0eUkG3cw2xMG72tagD7ItpG6xD3BTyziKEmmw4rBQYkPbkvLb6W4U&#10;7BfN5vNgf/qifvvaX46X5et56ZV6mgybFxCeBv8f/msftII4TpJn+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qT4PHAAAA3gAAAA8AAAAAAAAAAAAAAAAAmAIAAGRy&#10;cy9kb3ducmV2LnhtbFBLBQYAAAAABAAEAPUAAACMAwAAAAA=&#10;" filled="f" stroked="f">
                  <v:textbox inset="0,0,0,0">
                    <w:txbxContent>
                      <w:p w:rsidR="00EE13F6" w:rsidRDefault="002E5BC4">
                        <w:r>
                          <w:rPr>
                            <w:color w:val="585858"/>
                            <w:sz w:val="8"/>
                          </w:rPr>
                          <w:t>T=15</w:t>
                        </w:r>
                      </w:p>
                    </w:txbxContent>
                  </v:textbox>
                </v:rect>
                <v:shape id="Shape 22664" o:spid="_x0000_s1768" style="position:absolute;left:25807;top:24081;width:1058;height:0;visibility:visible;mso-wrap-style:square;v-text-anchor:top" coordsize="1057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knccA&#10;AADeAAAADwAAAGRycy9kb3ducmV2LnhtbESPzWsCMRTE70L/h/AKvWnWpSxlNYoItt2DBz+g9fbY&#10;vP3AzcuSpLr+90YQehxm5jfMfDmYTlzI+daygukkAUFcWt1yreB42Iw/QPiArLGzTApu5GG5eBnN&#10;Mdf2yju67EMtIoR9jgqaEPpcSl82ZNBPbE8cvco6gyFKV0vt8BrhppNpkmTSYMtxocGe1g2V5/2f&#10;UfDliqLfugq3q/Nn9fN7KKrN7qTU2+uwmoEINIT/8LP9rRWkaZa9w+N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opJ3HAAAA3gAAAA8AAAAAAAAAAAAAAAAAmAIAAGRy&#10;cy9kb3ducmV2LnhtbFBLBQYAAAAABAAEAPUAAACMAwAAAAA=&#10;" path="m,l105793,1e" filled="f" strokecolor="#ffc000" strokeweight=".30933mm">
                  <v:stroke endcap="round"/>
                  <v:path arrowok="t" textboxrect="0,0,105793,1"/>
                </v:shape>
                <v:rect id="Rectangle 22665" o:spid="_x0000_s1769" style="position:absolute;left:26965;top:23795;width:1301;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ybMcA&#10;AADeAAAADwAAAGRycy9kb3ducmV2LnhtbESPQWvCQBSE74L/YXlCb7ox0KBpVhFb0aPVgu3tkX0m&#10;wezbkF2TtL/eLRR6HGbmGyZbD6YWHbWusqxgPotAEOdWV1wo+DjvpgsQziNrrC2Tgm9ysF6NRxmm&#10;2vb8Tt3JFyJA2KWooPS+SaV0eUkG3cw2xMG72tagD7ItpG6xD3BTyziKEmmw4rBQYkPbkvLb6W4U&#10;7BfN5vNgf/qifvvaX46X5et56ZV6mgybFxCeBv8f/msftII4TpJn+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PcmzHAAAA3gAAAA8AAAAAAAAAAAAAAAAAmAIAAGRy&#10;cy9kb3ducmV2LnhtbFBLBQYAAAAABAAEAPUAAACMAwAAAAA=&#10;" filled="f" stroked="f">
                  <v:textbox inset="0,0,0,0">
                    <w:txbxContent>
                      <w:p w:rsidR="00EE13F6" w:rsidRDefault="002E5BC4">
                        <w:r>
                          <w:rPr>
                            <w:color w:val="585858"/>
                            <w:sz w:val="8"/>
                          </w:rPr>
                          <w:t>T=20</w:t>
                        </w:r>
                      </w:p>
                    </w:txbxContent>
                  </v:textbox>
                </v:rect>
                <v:shape id="Shape 22666" o:spid="_x0000_s1770" style="position:absolute;width:51059;height:25557;visibility:visible;mso-wrap-style:square;v-text-anchor:top" coordsize="5105911,255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6RccA&#10;AADeAAAADwAAAGRycy9kb3ducmV2LnhtbESPQWvCQBSE7wX/w/KE3urGQFOJriEECi2th6ZevD2y&#10;zySafRuz2xj/vVso9DjMfDPMJptMJ0YaXGtZwXIRgSCurG65VrD/fn1agXAeWWNnmRTcyEG2nT1s&#10;MNX2yl80lr4WoYRdigoa7/tUSlc1ZNAtbE8cvKMdDPogh1rqAa+h3HQyjqJEGmw5LDTYU9FQdS5/&#10;jIL4cIt492JW5iN/ni7F8vB5Kt+VepxP+RqEp8n/h//oNx24OEkS+L0TroD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b+kXHAAAA3gAAAA8AAAAAAAAAAAAAAAAAmAIAAGRy&#10;cy9kb3ducmV2LnhtbFBLBQYAAAAABAAEAPUAAACMAwAAAAA=&#10;" path="m,l5105911,r,2555740l,2555740,,xe" filled="f" strokecolor="#d9d9d9" strokeweight=".15467mm">
                  <v:path arrowok="t" textboxrect="0,0,5105911,2555740"/>
                </v:shape>
                <w10:anchorlock/>
              </v:group>
            </w:pict>
          </mc:Fallback>
        </mc:AlternateContent>
      </w:r>
    </w:p>
    <w:p w:rsidR="00EE13F6" w:rsidRDefault="002E5BC4">
      <w:pPr>
        <w:spacing w:after="0" w:line="264" w:lineRule="auto"/>
        <w:ind w:left="-5" w:right="468" w:hanging="10"/>
        <w:jc w:val="both"/>
      </w:pPr>
      <w:r>
        <w:rPr>
          <w:rFonts w:ascii="Cambria" w:eastAsia="Cambria" w:hAnsi="Cambria" w:cs="Cambria"/>
        </w:rPr>
        <w:t>Figure 7: Short Term Reaction of the Expected Theoretical Share Price for an Optimal Capital Structure Depending U</w:t>
      </w:r>
      <w:r>
        <w:rPr>
          <w:rFonts w:ascii="Cambria" w:eastAsia="Cambria" w:hAnsi="Cambria" w:cs="Cambria"/>
        </w:rPr>
        <w:t>pon Spread and Corporate Tax rate</w:t>
      </w:r>
    </w:p>
    <w:p w:rsidR="00EE13F6" w:rsidRDefault="002E5BC4">
      <w:pPr>
        <w:spacing w:after="743"/>
        <w:ind w:left="663"/>
      </w:pPr>
      <w:r>
        <w:rPr>
          <w:noProof/>
        </w:rPr>
        <mc:AlternateContent>
          <mc:Choice Requires="wpg">
            <w:drawing>
              <wp:inline distT="0" distB="0" distL="0" distR="0">
                <wp:extent cx="5104479" cy="2882121"/>
                <wp:effectExtent l="0" t="0" r="0" b="0"/>
                <wp:docPr id="210863" name="Group 210863"/>
                <wp:cNvGraphicFramePr/>
                <a:graphic xmlns:a="http://schemas.openxmlformats.org/drawingml/2006/main">
                  <a:graphicData uri="http://schemas.microsoft.com/office/word/2010/wordprocessingGroup">
                    <wpg:wgp>
                      <wpg:cNvGrpSpPr/>
                      <wpg:grpSpPr>
                        <a:xfrm>
                          <a:off x="0" y="0"/>
                          <a:ext cx="5104479" cy="2882121"/>
                          <a:chOff x="0" y="0"/>
                          <a:chExt cx="5104479" cy="2882121"/>
                        </a:xfrm>
                      </wpg:grpSpPr>
                      <wps:wsp>
                        <wps:cNvPr id="22674" name="Shape 22674"/>
                        <wps:cNvSpPr/>
                        <wps:spPr>
                          <a:xfrm>
                            <a:off x="243070" y="2791837"/>
                            <a:ext cx="4861408" cy="0"/>
                          </a:xfrm>
                          <a:custGeom>
                            <a:avLst/>
                            <a:gdLst/>
                            <a:ahLst/>
                            <a:cxnLst/>
                            <a:rect l="0" t="0" r="0" b="0"/>
                            <a:pathLst>
                              <a:path w="4861408">
                                <a:moveTo>
                                  <a:pt x="0" y="0"/>
                                </a:moveTo>
                                <a:lnTo>
                                  <a:pt x="4861408" y="0"/>
                                </a:lnTo>
                              </a:path>
                            </a:pathLst>
                          </a:custGeom>
                          <a:ln w="6945" cap="flat">
                            <a:round/>
                          </a:ln>
                        </wps:spPr>
                        <wps:style>
                          <a:lnRef idx="1">
                            <a:srgbClr val="D9D9D9"/>
                          </a:lnRef>
                          <a:fillRef idx="0">
                            <a:srgbClr val="000000">
                              <a:alpha val="0"/>
                            </a:srgbClr>
                          </a:fillRef>
                          <a:effectRef idx="0">
                            <a:scrgbClr r="0" g="0" b="0"/>
                          </a:effectRef>
                          <a:fontRef idx="none"/>
                        </wps:style>
                        <wps:bodyPr/>
                      </wps:wsp>
                      <wps:wsp>
                        <wps:cNvPr id="22675" name="Shape 22675"/>
                        <wps:cNvSpPr/>
                        <wps:spPr>
                          <a:xfrm>
                            <a:off x="243070" y="2451539"/>
                            <a:ext cx="4861408" cy="0"/>
                          </a:xfrm>
                          <a:custGeom>
                            <a:avLst/>
                            <a:gdLst/>
                            <a:ahLst/>
                            <a:cxnLst/>
                            <a:rect l="0" t="0" r="0" b="0"/>
                            <a:pathLst>
                              <a:path w="4861408">
                                <a:moveTo>
                                  <a:pt x="0" y="0"/>
                                </a:moveTo>
                                <a:lnTo>
                                  <a:pt x="4861408" y="0"/>
                                </a:lnTo>
                              </a:path>
                            </a:pathLst>
                          </a:custGeom>
                          <a:ln w="6945" cap="flat">
                            <a:round/>
                          </a:ln>
                        </wps:spPr>
                        <wps:style>
                          <a:lnRef idx="1">
                            <a:srgbClr val="D9D9D9"/>
                          </a:lnRef>
                          <a:fillRef idx="0">
                            <a:srgbClr val="000000">
                              <a:alpha val="0"/>
                            </a:srgbClr>
                          </a:fillRef>
                          <a:effectRef idx="0">
                            <a:scrgbClr r="0" g="0" b="0"/>
                          </a:effectRef>
                          <a:fontRef idx="none"/>
                        </wps:style>
                        <wps:bodyPr/>
                      </wps:wsp>
                      <wps:wsp>
                        <wps:cNvPr id="22676" name="Shape 22676"/>
                        <wps:cNvSpPr/>
                        <wps:spPr>
                          <a:xfrm>
                            <a:off x="243070" y="2118185"/>
                            <a:ext cx="4861408" cy="0"/>
                          </a:xfrm>
                          <a:custGeom>
                            <a:avLst/>
                            <a:gdLst/>
                            <a:ahLst/>
                            <a:cxnLst/>
                            <a:rect l="0" t="0" r="0" b="0"/>
                            <a:pathLst>
                              <a:path w="4861408">
                                <a:moveTo>
                                  <a:pt x="0" y="0"/>
                                </a:moveTo>
                                <a:lnTo>
                                  <a:pt x="4861408" y="0"/>
                                </a:lnTo>
                              </a:path>
                            </a:pathLst>
                          </a:custGeom>
                          <a:ln w="6945" cap="flat">
                            <a:round/>
                          </a:ln>
                        </wps:spPr>
                        <wps:style>
                          <a:lnRef idx="1">
                            <a:srgbClr val="D9D9D9"/>
                          </a:lnRef>
                          <a:fillRef idx="0">
                            <a:srgbClr val="000000">
                              <a:alpha val="0"/>
                            </a:srgbClr>
                          </a:fillRef>
                          <a:effectRef idx="0">
                            <a:scrgbClr r="0" g="0" b="0"/>
                          </a:effectRef>
                          <a:fontRef idx="none"/>
                        </wps:style>
                        <wps:bodyPr/>
                      </wps:wsp>
                      <wps:wsp>
                        <wps:cNvPr id="22677" name="Shape 22677"/>
                        <wps:cNvSpPr/>
                        <wps:spPr>
                          <a:xfrm>
                            <a:off x="243070" y="1784831"/>
                            <a:ext cx="4861408" cy="0"/>
                          </a:xfrm>
                          <a:custGeom>
                            <a:avLst/>
                            <a:gdLst/>
                            <a:ahLst/>
                            <a:cxnLst/>
                            <a:rect l="0" t="0" r="0" b="0"/>
                            <a:pathLst>
                              <a:path w="4861408">
                                <a:moveTo>
                                  <a:pt x="0" y="0"/>
                                </a:moveTo>
                                <a:lnTo>
                                  <a:pt x="4861408" y="0"/>
                                </a:lnTo>
                              </a:path>
                            </a:pathLst>
                          </a:custGeom>
                          <a:ln w="6945" cap="flat">
                            <a:round/>
                          </a:ln>
                        </wps:spPr>
                        <wps:style>
                          <a:lnRef idx="1">
                            <a:srgbClr val="D9D9D9"/>
                          </a:lnRef>
                          <a:fillRef idx="0">
                            <a:srgbClr val="000000">
                              <a:alpha val="0"/>
                            </a:srgbClr>
                          </a:fillRef>
                          <a:effectRef idx="0">
                            <a:scrgbClr r="0" g="0" b="0"/>
                          </a:effectRef>
                          <a:fontRef idx="none"/>
                        </wps:style>
                        <wps:bodyPr/>
                      </wps:wsp>
                      <wps:wsp>
                        <wps:cNvPr id="22678" name="Shape 22678"/>
                        <wps:cNvSpPr/>
                        <wps:spPr>
                          <a:xfrm>
                            <a:off x="243070" y="1444533"/>
                            <a:ext cx="4861408" cy="0"/>
                          </a:xfrm>
                          <a:custGeom>
                            <a:avLst/>
                            <a:gdLst/>
                            <a:ahLst/>
                            <a:cxnLst/>
                            <a:rect l="0" t="0" r="0" b="0"/>
                            <a:pathLst>
                              <a:path w="4861408">
                                <a:moveTo>
                                  <a:pt x="0" y="0"/>
                                </a:moveTo>
                                <a:lnTo>
                                  <a:pt x="4861408" y="0"/>
                                </a:lnTo>
                              </a:path>
                            </a:pathLst>
                          </a:custGeom>
                          <a:ln w="6945" cap="flat">
                            <a:round/>
                          </a:ln>
                        </wps:spPr>
                        <wps:style>
                          <a:lnRef idx="1">
                            <a:srgbClr val="D9D9D9"/>
                          </a:lnRef>
                          <a:fillRef idx="0">
                            <a:srgbClr val="000000">
                              <a:alpha val="0"/>
                            </a:srgbClr>
                          </a:fillRef>
                          <a:effectRef idx="0">
                            <a:scrgbClr r="0" g="0" b="0"/>
                          </a:effectRef>
                          <a:fontRef idx="none"/>
                        </wps:style>
                        <wps:bodyPr/>
                      </wps:wsp>
                      <wps:wsp>
                        <wps:cNvPr id="22679" name="Shape 22679"/>
                        <wps:cNvSpPr/>
                        <wps:spPr>
                          <a:xfrm>
                            <a:off x="243070" y="1111179"/>
                            <a:ext cx="4861408" cy="0"/>
                          </a:xfrm>
                          <a:custGeom>
                            <a:avLst/>
                            <a:gdLst/>
                            <a:ahLst/>
                            <a:cxnLst/>
                            <a:rect l="0" t="0" r="0" b="0"/>
                            <a:pathLst>
                              <a:path w="4861408">
                                <a:moveTo>
                                  <a:pt x="0" y="0"/>
                                </a:moveTo>
                                <a:lnTo>
                                  <a:pt x="4861408" y="0"/>
                                </a:lnTo>
                              </a:path>
                            </a:pathLst>
                          </a:custGeom>
                          <a:ln w="6945" cap="flat">
                            <a:round/>
                          </a:ln>
                        </wps:spPr>
                        <wps:style>
                          <a:lnRef idx="1">
                            <a:srgbClr val="D9D9D9"/>
                          </a:lnRef>
                          <a:fillRef idx="0">
                            <a:srgbClr val="000000">
                              <a:alpha val="0"/>
                            </a:srgbClr>
                          </a:fillRef>
                          <a:effectRef idx="0">
                            <a:scrgbClr r="0" g="0" b="0"/>
                          </a:effectRef>
                          <a:fontRef idx="none"/>
                        </wps:style>
                        <wps:bodyPr/>
                      </wps:wsp>
                      <wps:wsp>
                        <wps:cNvPr id="22680" name="Shape 22680"/>
                        <wps:cNvSpPr/>
                        <wps:spPr>
                          <a:xfrm>
                            <a:off x="243070" y="777825"/>
                            <a:ext cx="4861408" cy="1"/>
                          </a:xfrm>
                          <a:custGeom>
                            <a:avLst/>
                            <a:gdLst/>
                            <a:ahLst/>
                            <a:cxnLst/>
                            <a:rect l="0" t="0" r="0" b="0"/>
                            <a:pathLst>
                              <a:path w="4861408" h="1">
                                <a:moveTo>
                                  <a:pt x="0" y="0"/>
                                </a:moveTo>
                                <a:lnTo>
                                  <a:pt x="4861408" y="1"/>
                                </a:lnTo>
                              </a:path>
                            </a:pathLst>
                          </a:custGeom>
                          <a:ln w="6945" cap="flat">
                            <a:round/>
                          </a:ln>
                        </wps:spPr>
                        <wps:style>
                          <a:lnRef idx="1">
                            <a:srgbClr val="D9D9D9"/>
                          </a:lnRef>
                          <a:fillRef idx="0">
                            <a:srgbClr val="000000">
                              <a:alpha val="0"/>
                            </a:srgbClr>
                          </a:fillRef>
                          <a:effectRef idx="0">
                            <a:scrgbClr r="0" g="0" b="0"/>
                          </a:effectRef>
                          <a:fontRef idx="none"/>
                        </wps:style>
                        <wps:bodyPr/>
                      </wps:wsp>
                      <wps:wsp>
                        <wps:cNvPr id="22681" name="Shape 22681"/>
                        <wps:cNvSpPr/>
                        <wps:spPr>
                          <a:xfrm>
                            <a:off x="545172" y="843801"/>
                            <a:ext cx="4250260" cy="527810"/>
                          </a:xfrm>
                          <a:custGeom>
                            <a:avLst/>
                            <a:gdLst/>
                            <a:ahLst/>
                            <a:cxnLst/>
                            <a:rect l="0" t="0" r="0" b="0"/>
                            <a:pathLst>
                              <a:path w="4250260" h="527810">
                                <a:moveTo>
                                  <a:pt x="0" y="0"/>
                                </a:moveTo>
                                <a:lnTo>
                                  <a:pt x="604203" y="55559"/>
                                </a:lnTo>
                                <a:lnTo>
                                  <a:pt x="1215352" y="118063"/>
                                </a:lnTo>
                                <a:lnTo>
                                  <a:pt x="1819555" y="187511"/>
                                </a:lnTo>
                                <a:lnTo>
                                  <a:pt x="2430704" y="263905"/>
                                </a:lnTo>
                                <a:lnTo>
                                  <a:pt x="3034908" y="347243"/>
                                </a:lnTo>
                                <a:lnTo>
                                  <a:pt x="3646056" y="437527"/>
                                </a:lnTo>
                                <a:lnTo>
                                  <a:pt x="4250260" y="527810"/>
                                </a:lnTo>
                              </a:path>
                            </a:pathLst>
                          </a:custGeom>
                          <a:ln w="13890" cap="rnd">
                            <a:round/>
                          </a:ln>
                        </wps:spPr>
                        <wps:style>
                          <a:lnRef idx="1">
                            <a:srgbClr val="5B9BD5"/>
                          </a:lnRef>
                          <a:fillRef idx="0">
                            <a:srgbClr val="000000">
                              <a:alpha val="0"/>
                            </a:srgbClr>
                          </a:fillRef>
                          <a:effectRef idx="0">
                            <a:scrgbClr r="0" g="0" b="0"/>
                          </a:effectRef>
                          <a:fontRef idx="none"/>
                        </wps:style>
                        <wps:bodyPr/>
                      </wps:wsp>
                      <wps:wsp>
                        <wps:cNvPr id="22682" name="Shape 22682"/>
                        <wps:cNvSpPr/>
                        <wps:spPr>
                          <a:xfrm>
                            <a:off x="545172" y="899360"/>
                            <a:ext cx="4250260" cy="763936"/>
                          </a:xfrm>
                          <a:custGeom>
                            <a:avLst/>
                            <a:gdLst/>
                            <a:ahLst/>
                            <a:cxnLst/>
                            <a:rect l="0" t="0" r="0" b="0"/>
                            <a:pathLst>
                              <a:path w="4250260" h="763936">
                                <a:moveTo>
                                  <a:pt x="0" y="0"/>
                                </a:moveTo>
                                <a:lnTo>
                                  <a:pt x="604203" y="83338"/>
                                </a:lnTo>
                                <a:lnTo>
                                  <a:pt x="1215352" y="180567"/>
                                </a:lnTo>
                                <a:lnTo>
                                  <a:pt x="1819555" y="284740"/>
                                </a:lnTo>
                                <a:lnTo>
                                  <a:pt x="2430704" y="402802"/>
                                </a:lnTo>
                                <a:lnTo>
                                  <a:pt x="3034908" y="520865"/>
                                </a:lnTo>
                                <a:lnTo>
                                  <a:pt x="3646056" y="638928"/>
                                </a:lnTo>
                                <a:lnTo>
                                  <a:pt x="4250260" y="763936"/>
                                </a:lnTo>
                              </a:path>
                            </a:pathLst>
                          </a:custGeom>
                          <a:ln w="13890" cap="rnd">
                            <a:round/>
                          </a:ln>
                        </wps:spPr>
                        <wps:style>
                          <a:lnRef idx="1">
                            <a:srgbClr val="ED7D31"/>
                          </a:lnRef>
                          <a:fillRef idx="0">
                            <a:srgbClr val="000000">
                              <a:alpha val="0"/>
                            </a:srgbClr>
                          </a:fillRef>
                          <a:effectRef idx="0">
                            <a:scrgbClr r="0" g="0" b="0"/>
                          </a:effectRef>
                          <a:fontRef idx="none"/>
                        </wps:style>
                        <wps:bodyPr/>
                      </wps:wsp>
                      <wps:wsp>
                        <wps:cNvPr id="22683" name="Shape 22683"/>
                        <wps:cNvSpPr/>
                        <wps:spPr>
                          <a:xfrm>
                            <a:off x="545172" y="954919"/>
                            <a:ext cx="4250260" cy="979227"/>
                          </a:xfrm>
                          <a:custGeom>
                            <a:avLst/>
                            <a:gdLst/>
                            <a:ahLst/>
                            <a:cxnLst/>
                            <a:rect l="0" t="0" r="0" b="0"/>
                            <a:pathLst>
                              <a:path w="4250260" h="979227">
                                <a:moveTo>
                                  <a:pt x="0" y="0"/>
                                </a:moveTo>
                                <a:lnTo>
                                  <a:pt x="604203" y="125008"/>
                                </a:lnTo>
                                <a:lnTo>
                                  <a:pt x="1215352" y="256960"/>
                                </a:lnTo>
                                <a:lnTo>
                                  <a:pt x="1819555" y="395857"/>
                                </a:lnTo>
                                <a:lnTo>
                                  <a:pt x="2430704" y="548645"/>
                                </a:lnTo>
                                <a:lnTo>
                                  <a:pt x="3034908" y="694487"/>
                                </a:lnTo>
                                <a:lnTo>
                                  <a:pt x="3646056" y="840329"/>
                                </a:lnTo>
                                <a:lnTo>
                                  <a:pt x="4250260" y="979227"/>
                                </a:lnTo>
                              </a:path>
                            </a:pathLst>
                          </a:custGeom>
                          <a:ln w="13890" cap="rnd">
                            <a:round/>
                          </a:ln>
                        </wps:spPr>
                        <wps:style>
                          <a:lnRef idx="1">
                            <a:srgbClr val="A4A4A4"/>
                          </a:lnRef>
                          <a:fillRef idx="0">
                            <a:srgbClr val="000000">
                              <a:alpha val="0"/>
                            </a:srgbClr>
                          </a:fillRef>
                          <a:effectRef idx="0">
                            <a:scrgbClr r="0" g="0" b="0"/>
                          </a:effectRef>
                          <a:fontRef idx="none"/>
                        </wps:style>
                        <wps:bodyPr/>
                      </wps:wsp>
                      <wps:wsp>
                        <wps:cNvPr id="22684" name="Shape 22684"/>
                        <wps:cNvSpPr/>
                        <wps:spPr>
                          <a:xfrm>
                            <a:off x="545172" y="1024368"/>
                            <a:ext cx="4250260" cy="1152848"/>
                          </a:xfrm>
                          <a:custGeom>
                            <a:avLst/>
                            <a:gdLst/>
                            <a:ahLst/>
                            <a:cxnLst/>
                            <a:rect l="0" t="0" r="0" b="0"/>
                            <a:pathLst>
                              <a:path w="4250260" h="1152848">
                                <a:moveTo>
                                  <a:pt x="0" y="0"/>
                                </a:moveTo>
                                <a:lnTo>
                                  <a:pt x="604203" y="159732"/>
                                </a:lnTo>
                                <a:lnTo>
                                  <a:pt x="1215352" y="326409"/>
                                </a:lnTo>
                                <a:lnTo>
                                  <a:pt x="1819555" y="500031"/>
                                </a:lnTo>
                                <a:lnTo>
                                  <a:pt x="2430704" y="673652"/>
                                </a:lnTo>
                                <a:lnTo>
                                  <a:pt x="3034908" y="840329"/>
                                </a:lnTo>
                                <a:lnTo>
                                  <a:pt x="3646056" y="1000061"/>
                                </a:lnTo>
                                <a:lnTo>
                                  <a:pt x="4250260" y="1152848"/>
                                </a:lnTo>
                              </a:path>
                            </a:pathLst>
                          </a:custGeom>
                          <a:ln w="13890" cap="rnd">
                            <a:round/>
                          </a:ln>
                        </wps:spPr>
                        <wps:style>
                          <a:lnRef idx="1">
                            <a:srgbClr val="FFC000"/>
                          </a:lnRef>
                          <a:fillRef idx="0">
                            <a:srgbClr val="000000">
                              <a:alpha val="0"/>
                            </a:srgbClr>
                          </a:fillRef>
                          <a:effectRef idx="0">
                            <a:scrgbClr r="0" g="0" b="0"/>
                          </a:effectRef>
                          <a:fontRef idx="none"/>
                        </wps:style>
                        <wps:bodyPr/>
                      </wps:wsp>
                      <wps:wsp>
                        <wps:cNvPr id="22685" name="Shape 22685"/>
                        <wps:cNvSpPr/>
                        <wps:spPr>
                          <a:xfrm>
                            <a:off x="545172" y="1100762"/>
                            <a:ext cx="4250260" cy="1277856"/>
                          </a:xfrm>
                          <a:custGeom>
                            <a:avLst/>
                            <a:gdLst/>
                            <a:ahLst/>
                            <a:cxnLst/>
                            <a:rect l="0" t="0" r="0" b="0"/>
                            <a:pathLst>
                              <a:path w="4250260" h="1277856">
                                <a:moveTo>
                                  <a:pt x="0" y="0"/>
                                </a:moveTo>
                                <a:lnTo>
                                  <a:pt x="604203" y="187511"/>
                                </a:lnTo>
                                <a:lnTo>
                                  <a:pt x="1215352" y="388913"/>
                                </a:lnTo>
                                <a:lnTo>
                                  <a:pt x="1819555" y="583369"/>
                                </a:lnTo>
                                <a:lnTo>
                                  <a:pt x="2430704" y="777825"/>
                                </a:lnTo>
                                <a:lnTo>
                                  <a:pt x="3034908" y="958392"/>
                                </a:lnTo>
                                <a:lnTo>
                                  <a:pt x="3646056" y="1125069"/>
                                </a:lnTo>
                                <a:lnTo>
                                  <a:pt x="4250260" y="1277856"/>
                                </a:lnTo>
                              </a:path>
                            </a:pathLst>
                          </a:custGeom>
                          <a:ln w="13890" cap="rnd">
                            <a:round/>
                          </a:ln>
                        </wps:spPr>
                        <wps:style>
                          <a:lnRef idx="1">
                            <a:srgbClr val="4471C4"/>
                          </a:lnRef>
                          <a:fillRef idx="0">
                            <a:srgbClr val="000000">
                              <a:alpha val="0"/>
                            </a:srgbClr>
                          </a:fillRef>
                          <a:effectRef idx="0">
                            <a:scrgbClr r="0" g="0" b="0"/>
                          </a:effectRef>
                          <a:fontRef idx="none"/>
                        </wps:style>
                        <wps:bodyPr/>
                      </wps:wsp>
                      <wps:wsp>
                        <wps:cNvPr id="22686" name="Rectangle 22686"/>
                        <wps:cNvSpPr/>
                        <wps:spPr>
                          <a:xfrm>
                            <a:off x="131336" y="2753081"/>
                            <a:ext cx="27682" cy="92060"/>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687" name="Rectangle 22687"/>
                        <wps:cNvSpPr/>
                        <wps:spPr>
                          <a:xfrm>
                            <a:off x="152171" y="2753081"/>
                            <a:ext cx="41565" cy="92060"/>
                          </a:xfrm>
                          <a:prstGeom prst="rect">
                            <a:avLst/>
                          </a:prstGeom>
                          <a:ln>
                            <a:noFill/>
                          </a:ln>
                        </wps:spPr>
                        <wps:txbx>
                          <w:txbxContent>
                            <w:p w:rsidR="00EE13F6" w:rsidRDefault="002E5BC4">
                              <w:r>
                                <w:rPr>
                                  <w:rFonts w:ascii="Times New Roman" w:eastAsia="Times New Roman" w:hAnsi="Times New Roman" w:cs="Times New Roman"/>
                                  <w:color w:val="585858"/>
                                  <w:sz w:val="10"/>
                                </w:rPr>
                                <w:t>6</w:t>
                              </w:r>
                            </w:p>
                          </w:txbxContent>
                        </wps:txbx>
                        <wps:bodyPr horzOverflow="overflow" vert="horz" lIns="0" tIns="0" rIns="0" bIns="0" rtlCol="0">
                          <a:noAutofit/>
                        </wps:bodyPr>
                      </wps:wsp>
                      <wps:wsp>
                        <wps:cNvPr id="22688" name="Rectangle 22688"/>
                        <wps:cNvSpPr/>
                        <wps:spPr>
                          <a:xfrm>
                            <a:off x="131336" y="2417474"/>
                            <a:ext cx="27682" cy="92060"/>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689" name="Rectangle 22689"/>
                        <wps:cNvSpPr/>
                        <wps:spPr>
                          <a:xfrm>
                            <a:off x="152171" y="2417474"/>
                            <a:ext cx="41565" cy="92060"/>
                          </a:xfrm>
                          <a:prstGeom prst="rect">
                            <a:avLst/>
                          </a:prstGeom>
                          <a:ln>
                            <a:noFill/>
                          </a:ln>
                        </wps:spPr>
                        <wps:txbx>
                          <w:txbxContent>
                            <w:p w:rsidR="00EE13F6" w:rsidRDefault="002E5BC4">
                              <w:r>
                                <w:rPr>
                                  <w:rFonts w:ascii="Times New Roman" w:eastAsia="Times New Roman" w:hAnsi="Times New Roman" w:cs="Times New Roman"/>
                                  <w:color w:val="585858"/>
                                  <w:sz w:val="10"/>
                                </w:rPr>
                                <w:t>5</w:t>
                              </w:r>
                            </w:p>
                          </w:txbxContent>
                        </wps:txbx>
                        <wps:bodyPr horzOverflow="overflow" vert="horz" lIns="0" tIns="0" rIns="0" bIns="0" rtlCol="0">
                          <a:noAutofit/>
                        </wps:bodyPr>
                      </wps:wsp>
                      <wps:wsp>
                        <wps:cNvPr id="22690" name="Rectangle 22690"/>
                        <wps:cNvSpPr/>
                        <wps:spPr>
                          <a:xfrm>
                            <a:off x="131336" y="2081866"/>
                            <a:ext cx="27682" cy="92061"/>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691" name="Rectangle 22691"/>
                        <wps:cNvSpPr/>
                        <wps:spPr>
                          <a:xfrm>
                            <a:off x="152171" y="2081866"/>
                            <a:ext cx="41565" cy="92061"/>
                          </a:xfrm>
                          <a:prstGeom prst="rect">
                            <a:avLst/>
                          </a:prstGeom>
                          <a:ln>
                            <a:noFill/>
                          </a:ln>
                        </wps:spPr>
                        <wps:txbx>
                          <w:txbxContent>
                            <w:p w:rsidR="00EE13F6" w:rsidRDefault="002E5BC4">
                              <w:r>
                                <w:rPr>
                                  <w:rFonts w:ascii="Times New Roman" w:eastAsia="Times New Roman" w:hAnsi="Times New Roman" w:cs="Times New Roman"/>
                                  <w:color w:val="585858"/>
                                  <w:sz w:val="10"/>
                                </w:rPr>
                                <w:t>4</w:t>
                              </w:r>
                            </w:p>
                          </w:txbxContent>
                        </wps:txbx>
                        <wps:bodyPr horzOverflow="overflow" vert="horz" lIns="0" tIns="0" rIns="0" bIns="0" rtlCol="0">
                          <a:noAutofit/>
                        </wps:bodyPr>
                      </wps:wsp>
                      <wps:wsp>
                        <wps:cNvPr id="22692" name="Rectangle 22692"/>
                        <wps:cNvSpPr/>
                        <wps:spPr>
                          <a:xfrm>
                            <a:off x="131336" y="1746259"/>
                            <a:ext cx="27682" cy="92060"/>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693" name="Rectangle 22693"/>
                        <wps:cNvSpPr/>
                        <wps:spPr>
                          <a:xfrm>
                            <a:off x="152171" y="1746259"/>
                            <a:ext cx="41565" cy="92060"/>
                          </a:xfrm>
                          <a:prstGeom prst="rect">
                            <a:avLst/>
                          </a:prstGeom>
                          <a:ln>
                            <a:noFill/>
                          </a:ln>
                        </wps:spPr>
                        <wps:txbx>
                          <w:txbxContent>
                            <w:p w:rsidR="00EE13F6" w:rsidRDefault="002E5BC4">
                              <w:r>
                                <w:rPr>
                                  <w:rFonts w:ascii="Times New Roman" w:eastAsia="Times New Roman" w:hAnsi="Times New Roman" w:cs="Times New Roman"/>
                                  <w:color w:val="585858"/>
                                  <w:sz w:val="10"/>
                                </w:rPr>
                                <w:t>3</w:t>
                              </w:r>
                            </w:p>
                          </w:txbxContent>
                        </wps:txbx>
                        <wps:bodyPr horzOverflow="overflow" vert="horz" lIns="0" tIns="0" rIns="0" bIns="0" rtlCol="0">
                          <a:noAutofit/>
                        </wps:bodyPr>
                      </wps:wsp>
                      <wps:wsp>
                        <wps:cNvPr id="22694" name="Rectangle 22694"/>
                        <wps:cNvSpPr/>
                        <wps:spPr>
                          <a:xfrm>
                            <a:off x="131336" y="1410652"/>
                            <a:ext cx="27682" cy="92060"/>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695" name="Rectangle 22695"/>
                        <wps:cNvSpPr/>
                        <wps:spPr>
                          <a:xfrm>
                            <a:off x="152171" y="1410652"/>
                            <a:ext cx="41565" cy="92060"/>
                          </a:xfrm>
                          <a:prstGeom prst="rect">
                            <a:avLst/>
                          </a:prstGeom>
                          <a:ln>
                            <a:noFill/>
                          </a:ln>
                        </wps:spPr>
                        <wps:txbx>
                          <w:txbxContent>
                            <w:p w:rsidR="00EE13F6" w:rsidRDefault="002E5BC4">
                              <w:r>
                                <w:rPr>
                                  <w:rFonts w:ascii="Times New Roman" w:eastAsia="Times New Roman" w:hAnsi="Times New Roman" w:cs="Times New Roman"/>
                                  <w:color w:val="585858"/>
                                  <w:sz w:val="10"/>
                                </w:rPr>
                                <w:t>2</w:t>
                              </w:r>
                            </w:p>
                          </w:txbxContent>
                        </wps:txbx>
                        <wps:bodyPr horzOverflow="overflow" vert="horz" lIns="0" tIns="0" rIns="0" bIns="0" rtlCol="0">
                          <a:noAutofit/>
                        </wps:bodyPr>
                      </wps:wsp>
                      <wps:wsp>
                        <wps:cNvPr id="22696" name="Rectangle 22696"/>
                        <wps:cNvSpPr/>
                        <wps:spPr>
                          <a:xfrm>
                            <a:off x="131336" y="1075043"/>
                            <a:ext cx="27682" cy="92061"/>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697" name="Rectangle 22697"/>
                        <wps:cNvSpPr/>
                        <wps:spPr>
                          <a:xfrm>
                            <a:off x="152171" y="1075043"/>
                            <a:ext cx="41565" cy="92061"/>
                          </a:xfrm>
                          <a:prstGeom prst="rect">
                            <a:avLst/>
                          </a:prstGeom>
                          <a:ln>
                            <a:noFill/>
                          </a:ln>
                        </wps:spPr>
                        <wps:txbx>
                          <w:txbxContent>
                            <w:p w:rsidR="00EE13F6" w:rsidRDefault="002E5BC4">
                              <w:r>
                                <w:rPr>
                                  <w:rFonts w:ascii="Times New Roman" w:eastAsia="Times New Roman" w:hAnsi="Times New Roman" w:cs="Times New Roman"/>
                                  <w:color w:val="585858"/>
                                  <w:sz w:val="10"/>
                                </w:rPr>
                                <w:t>1</w:t>
                              </w:r>
                            </w:p>
                          </w:txbxContent>
                        </wps:txbx>
                        <wps:bodyPr horzOverflow="overflow" vert="horz" lIns="0" tIns="0" rIns="0" bIns="0" rtlCol="0">
                          <a:noAutofit/>
                        </wps:bodyPr>
                      </wps:wsp>
                      <wps:wsp>
                        <wps:cNvPr id="22698" name="Rectangle 22698"/>
                        <wps:cNvSpPr/>
                        <wps:spPr>
                          <a:xfrm>
                            <a:off x="148456" y="740345"/>
                            <a:ext cx="42147" cy="101476"/>
                          </a:xfrm>
                          <a:prstGeom prst="rect">
                            <a:avLst/>
                          </a:prstGeom>
                          <a:ln>
                            <a:noFill/>
                          </a:ln>
                        </wps:spPr>
                        <wps:txbx>
                          <w:txbxContent>
                            <w:p w:rsidR="00EE13F6" w:rsidRDefault="002E5BC4">
                              <w:r>
                                <w:rPr>
                                  <w:color w:val="585858"/>
                                  <w:sz w:val="10"/>
                                </w:rPr>
                                <w:t>0</w:t>
                              </w:r>
                            </w:p>
                          </w:txbxContent>
                        </wps:txbx>
                        <wps:bodyPr horzOverflow="overflow" vert="horz" lIns="0" tIns="0" rIns="0" bIns="0" rtlCol="0">
                          <a:noAutofit/>
                        </wps:bodyPr>
                      </wps:wsp>
                      <wps:wsp>
                        <wps:cNvPr id="22699" name="Rectangle 22699"/>
                        <wps:cNvSpPr/>
                        <wps:spPr>
                          <a:xfrm>
                            <a:off x="401105" y="818167"/>
                            <a:ext cx="367900" cy="101477"/>
                          </a:xfrm>
                          <a:prstGeom prst="rect">
                            <a:avLst/>
                          </a:prstGeom>
                          <a:ln>
                            <a:noFill/>
                          </a:ln>
                        </wps:spPr>
                        <wps:txbx>
                          <w:txbxContent>
                            <w:p w:rsidR="00EE13F6" w:rsidRDefault="002E5BC4">
                              <w:r>
                                <w:rPr>
                                  <w:b/>
                                  <w:color w:val="585858"/>
                                  <w:sz w:val="10"/>
                                </w:rPr>
                                <w:t>Spr=50</w:t>
                              </w:r>
                              <w:r>
                                <w:rPr>
                                  <w:b/>
                                  <w:color w:val="585858"/>
                                  <w:sz w:val="10"/>
                                </w:rPr>
                                <w:tab/>
                                <w:t>b.p</w:t>
                              </w:r>
                            </w:p>
                          </w:txbxContent>
                        </wps:txbx>
                        <wps:bodyPr horzOverflow="overflow" vert="horz" lIns="0" tIns="0" rIns="0" bIns="0" rtlCol="0">
                          <a:noAutofit/>
                        </wps:bodyPr>
                      </wps:wsp>
                      <wps:wsp>
                        <wps:cNvPr id="22700" name="Rectangle 22700"/>
                        <wps:cNvSpPr/>
                        <wps:spPr>
                          <a:xfrm>
                            <a:off x="994718" y="818167"/>
                            <a:ext cx="414071" cy="101477"/>
                          </a:xfrm>
                          <a:prstGeom prst="rect">
                            <a:avLst/>
                          </a:prstGeom>
                          <a:ln>
                            <a:noFill/>
                          </a:ln>
                        </wps:spPr>
                        <wps:txbx>
                          <w:txbxContent>
                            <w:p w:rsidR="00EE13F6" w:rsidRDefault="002E5BC4">
                              <w:r>
                                <w:rPr>
                                  <w:b/>
                                  <w:color w:val="585858"/>
                                  <w:sz w:val="10"/>
                                </w:rPr>
                                <w:t>Spr=100</w:t>
                              </w:r>
                              <w:r>
                                <w:rPr>
                                  <w:b/>
                                  <w:color w:val="585858"/>
                                  <w:sz w:val="10"/>
                                </w:rPr>
                                <w:tab/>
                                <w:t>b.p</w:t>
                              </w:r>
                            </w:p>
                          </w:txbxContent>
                        </wps:txbx>
                        <wps:bodyPr horzOverflow="overflow" vert="horz" lIns="0" tIns="0" rIns="0" bIns="0" rtlCol="0">
                          <a:noAutofit/>
                        </wps:bodyPr>
                      </wps:wsp>
                      <wps:wsp>
                        <wps:cNvPr id="22701" name="Rectangle 22701"/>
                        <wps:cNvSpPr/>
                        <wps:spPr>
                          <a:xfrm>
                            <a:off x="1602222" y="818167"/>
                            <a:ext cx="414071" cy="101477"/>
                          </a:xfrm>
                          <a:prstGeom prst="rect">
                            <a:avLst/>
                          </a:prstGeom>
                          <a:ln>
                            <a:noFill/>
                          </a:ln>
                        </wps:spPr>
                        <wps:txbx>
                          <w:txbxContent>
                            <w:p w:rsidR="00EE13F6" w:rsidRDefault="002E5BC4">
                              <w:r>
                                <w:rPr>
                                  <w:b/>
                                  <w:color w:val="585858"/>
                                  <w:sz w:val="10"/>
                                </w:rPr>
                                <w:t>Spr=150</w:t>
                              </w:r>
                              <w:r>
                                <w:rPr>
                                  <w:b/>
                                  <w:color w:val="585858"/>
                                  <w:sz w:val="10"/>
                                </w:rPr>
                                <w:tab/>
                                <w:t>b.p</w:t>
                              </w:r>
                            </w:p>
                          </w:txbxContent>
                        </wps:txbx>
                        <wps:bodyPr horzOverflow="overflow" vert="horz" lIns="0" tIns="0" rIns="0" bIns="0" rtlCol="0">
                          <a:noAutofit/>
                        </wps:bodyPr>
                      </wps:wsp>
                      <wps:wsp>
                        <wps:cNvPr id="22702" name="Rectangle 22702"/>
                        <wps:cNvSpPr/>
                        <wps:spPr>
                          <a:xfrm>
                            <a:off x="2209727" y="818167"/>
                            <a:ext cx="414071" cy="101477"/>
                          </a:xfrm>
                          <a:prstGeom prst="rect">
                            <a:avLst/>
                          </a:prstGeom>
                          <a:ln>
                            <a:noFill/>
                          </a:ln>
                        </wps:spPr>
                        <wps:txbx>
                          <w:txbxContent>
                            <w:p w:rsidR="00EE13F6" w:rsidRDefault="002E5BC4">
                              <w:r>
                                <w:rPr>
                                  <w:b/>
                                  <w:color w:val="585858"/>
                                  <w:sz w:val="10"/>
                                </w:rPr>
                                <w:t>Spr=200</w:t>
                              </w:r>
                              <w:r>
                                <w:rPr>
                                  <w:b/>
                                  <w:color w:val="585858"/>
                                  <w:sz w:val="10"/>
                                </w:rPr>
                                <w:tab/>
                                <w:t>b.p</w:t>
                              </w:r>
                            </w:p>
                          </w:txbxContent>
                        </wps:txbx>
                        <wps:bodyPr horzOverflow="overflow" vert="horz" lIns="0" tIns="0" rIns="0" bIns="0" rtlCol="0">
                          <a:noAutofit/>
                        </wps:bodyPr>
                      </wps:wsp>
                      <wps:wsp>
                        <wps:cNvPr id="22703" name="Rectangle 22703"/>
                        <wps:cNvSpPr/>
                        <wps:spPr>
                          <a:xfrm>
                            <a:off x="2817229" y="818167"/>
                            <a:ext cx="414071" cy="101477"/>
                          </a:xfrm>
                          <a:prstGeom prst="rect">
                            <a:avLst/>
                          </a:prstGeom>
                          <a:ln>
                            <a:noFill/>
                          </a:ln>
                        </wps:spPr>
                        <wps:txbx>
                          <w:txbxContent>
                            <w:p w:rsidR="00EE13F6" w:rsidRDefault="002E5BC4">
                              <w:r>
                                <w:rPr>
                                  <w:b/>
                                  <w:color w:val="585858"/>
                                  <w:sz w:val="10"/>
                                </w:rPr>
                                <w:t>Spr=250</w:t>
                              </w:r>
                              <w:r>
                                <w:rPr>
                                  <w:b/>
                                  <w:color w:val="585858"/>
                                  <w:sz w:val="10"/>
                                </w:rPr>
                                <w:tab/>
                                <w:t>b.p</w:t>
                              </w:r>
                            </w:p>
                          </w:txbxContent>
                        </wps:txbx>
                        <wps:bodyPr horzOverflow="overflow" vert="horz" lIns="0" tIns="0" rIns="0" bIns="0" rtlCol="0">
                          <a:noAutofit/>
                        </wps:bodyPr>
                      </wps:wsp>
                      <wps:wsp>
                        <wps:cNvPr id="22704" name="Rectangle 22704"/>
                        <wps:cNvSpPr/>
                        <wps:spPr>
                          <a:xfrm>
                            <a:off x="3424733" y="818167"/>
                            <a:ext cx="414071" cy="101477"/>
                          </a:xfrm>
                          <a:prstGeom prst="rect">
                            <a:avLst/>
                          </a:prstGeom>
                          <a:ln>
                            <a:noFill/>
                          </a:ln>
                        </wps:spPr>
                        <wps:txbx>
                          <w:txbxContent>
                            <w:p w:rsidR="00EE13F6" w:rsidRDefault="002E5BC4">
                              <w:r>
                                <w:rPr>
                                  <w:b/>
                                  <w:color w:val="585858"/>
                                  <w:sz w:val="10"/>
                                </w:rPr>
                                <w:t>Spr=300</w:t>
                              </w:r>
                              <w:r>
                                <w:rPr>
                                  <w:b/>
                                  <w:color w:val="585858"/>
                                  <w:sz w:val="10"/>
                                </w:rPr>
                                <w:tab/>
                                <w:t>b.p</w:t>
                              </w:r>
                            </w:p>
                          </w:txbxContent>
                        </wps:txbx>
                        <wps:bodyPr horzOverflow="overflow" vert="horz" lIns="0" tIns="0" rIns="0" bIns="0" rtlCol="0">
                          <a:noAutofit/>
                        </wps:bodyPr>
                      </wps:wsp>
                      <wps:wsp>
                        <wps:cNvPr id="22705" name="Rectangle 22705"/>
                        <wps:cNvSpPr/>
                        <wps:spPr>
                          <a:xfrm>
                            <a:off x="4032237" y="818167"/>
                            <a:ext cx="414071" cy="101477"/>
                          </a:xfrm>
                          <a:prstGeom prst="rect">
                            <a:avLst/>
                          </a:prstGeom>
                          <a:ln>
                            <a:noFill/>
                          </a:ln>
                        </wps:spPr>
                        <wps:txbx>
                          <w:txbxContent>
                            <w:p w:rsidR="00EE13F6" w:rsidRDefault="002E5BC4">
                              <w:r>
                                <w:rPr>
                                  <w:b/>
                                  <w:color w:val="585858"/>
                                  <w:sz w:val="10"/>
                                </w:rPr>
                                <w:t>Spr=350</w:t>
                              </w:r>
                              <w:r>
                                <w:rPr>
                                  <w:b/>
                                  <w:color w:val="585858"/>
                                  <w:sz w:val="10"/>
                                </w:rPr>
                                <w:tab/>
                                <w:t>b.p</w:t>
                              </w:r>
                            </w:p>
                          </w:txbxContent>
                        </wps:txbx>
                        <wps:bodyPr horzOverflow="overflow" vert="horz" lIns="0" tIns="0" rIns="0" bIns="0" rtlCol="0">
                          <a:noAutofit/>
                        </wps:bodyPr>
                      </wps:wsp>
                      <wps:wsp>
                        <wps:cNvPr id="22706" name="Rectangle 22706"/>
                        <wps:cNvSpPr/>
                        <wps:spPr>
                          <a:xfrm>
                            <a:off x="4639740" y="818167"/>
                            <a:ext cx="414071" cy="101477"/>
                          </a:xfrm>
                          <a:prstGeom prst="rect">
                            <a:avLst/>
                          </a:prstGeom>
                          <a:ln>
                            <a:noFill/>
                          </a:ln>
                        </wps:spPr>
                        <wps:txbx>
                          <w:txbxContent>
                            <w:p w:rsidR="00EE13F6" w:rsidRDefault="002E5BC4">
                              <w:r>
                                <w:rPr>
                                  <w:b/>
                                  <w:color w:val="585858"/>
                                  <w:sz w:val="10"/>
                                </w:rPr>
                                <w:t>Spr=400</w:t>
                              </w:r>
                              <w:r>
                                <w:rPr>
                                  <w:b/>
                                  <w:color w:val="585858"/>
                                  <w:sz w:val="10"/>
                                </w:rPr>
                                <w:tab/>
                                <w:t>b.p</w:t>
                              </w:r>
                            </w:p>
                          </w:txbxContent>
                        </wps:txbx>
                        <wps:bodyPr horzOverflow="overflow" vert="horz" lIns="0" tIns="0" rIns="0" bIns="0" rtlCol="0">
                          <a:noAutofit/>
                        </wps:bodyPr>
                      </wps:wsp>
                      <wps:wsp>
                        <wps:cNvPr id="22707" name="Rectangle 22707"/>
                        <wps:cNvSpPr/>
                        <wps:spPr>
                          <a:xfrm>
                            <a:off x="531647" y="63683"/>
                            <a:ext cx="5403492" cy="157853"/>
                          </a:xfrm>
                          <a:prstGeom prst="rect">
                            <a:avLst/>
                          </a:prstGeom>
                          <a:ln>
                            <a:noFill/>
                          </a:ln>
                        </wps:spPr>
                        <wps:txbx>
                          <w:txbxContent>
                            <w:p w:rsidR="00EE13F6" w:rsidRDefault="002E5BC4">
                              <w:r>
                                <w:rPr>
                                  <w:b/>
                                  <w:color w:val="585858"/>
                                  <w:sz w:val="15"/>
                                </w:rPr>
                                <w:t>Short</w:t>
                              </w:r>
                              <w:r>
                                <w:rPr>
                                  <w:b/>
                                  <w:color w:val="585858"/>
                                  <w:sz w:val="15"/>
                                </w:rPr>
                                <w:tab/>
                                <w:t>Term</w:t>
                              </w:r>
                              <w:r>
                                <w:rPr>
                                  <w:b/>
                                  <w:color w:val="585858"/>
                                  <w:sz w:val="15"/>
                                </w:rPr>
                                <w:tab/>
                                <w:t>Impact</w:t>
                              </w:r>
                              <w:r>
                                <w:rPr>
                                  <w:b/>
                                  <w:color w:val="585858"/>
                                  <w:sz w:val="15"/>
                                </w:rPr>
                                <w:tab/>
                                <w:t>on</w:t>
                              </w:r>
                              <w:r>
                                <w:rPr>
                                  <w:b/>
                                  <w:color w:val="585858"/>
                                  <w:sz w:val="15"/>
                                </w:rPr>
                                <w:tab/>
                                <w:t>the</w:t>
                              </w:r>
                              <w:r>
                                <w:rPr>
                                  <w:b/>
                                  <w:color w:val="585858"/>
                                  <w:sz w:val="15"/>
                                </w:rPr>
                                <w:tab/>
                                <w:t>Theoretical</w:t>
                              </w:r>
                              <w:r>
                                <w:rPr>
                                  <w:b/>
                                  <w:color w:val="585858"/>
                                  <w:sz w:val="15"/>
                                </w:rPr>
                                <w:tab/>
                                <w:t>Equity</w:t>
                              </w:r>
                              <w:r>
                                <w:rPr>
                                  <w:b/>
                                  <w:color w:val="585858"/>
                                  <w:sz w:val="15"/>
                                </w:rPr>
                                <w:tab/>
                                <w:t>Share</w:t>
                              </w:r>
                              <w:r>
                                <w:rPr>
                                  <w:b/>
                                  <w:color w:val="585858"/>
                                  <w:sz w:val="15"/>
                                </w:rPr>
                                <w:tab/>
                                <w:t>price</w:t>
                              </w:r>
                              <w:r>
                                <w:rPr>
                                  <w:b/>
                                  <w:color w:val="585858"/>
                                  <w:sz w:val="15"/>
                                </w:rPr>
                                <w:tab/>
                                <w:t>Depending</w:t>
                              </w:r>
                              <w:r>
                                <w:rPr>
                                  <w:b/>
                                  <w:color w:val="585858"/>
                                  <w:sz w:val="15"/>
                                </w:rPr>
                                <w:tab/>
                                <w:t>Upon</w:t>
                              </w:r>
                              <w:r>
                                <w:rPr>
                                  <w:b/>
                                  <w:color w:val="585858"/>
                                  <w:sz w:val="15"/>
                                </w:rPr>
                                <w:tab/>
                                <w:t>The</w:t>
                              </w:r>
                              <w:r>
                                <w:rPr>
                                  <w:b/>
                                  <w:color w:val="585858"/>
                                  <w:sz w:val="15"/>
                                </w:rPr>
                                <w:tab/>
                                <w:t>Credit</w:t>
                              </w:r>
                              <w:r>
                                <w:rPr>
                                  <w:b/>
                                  <w:color w:val="585858"/>
                                  <w:sz w:val="15"/>
                                </w:rPr>
                                <w:tab/>
                                <w:t>Spread</w:t>
                              </w:r>
                              <w:r>
                                <w:rPr>
                                  <w:b/>
                                  <w:color w:val="585858"/>
                                  <w:sz w:val="15"/>
                                </w:rPr>
                                <w:tab/>
                                <w:t>and</w:t>
                              </w:r>
                              <w:r>
                                <w:rPr>
                                  <w:b/>
                                  <w:color w:val="585858"/>
                                  <w:sz w:val="15"/>
                                </w:rPr>
                                <w:tab/>
                                <w:t>The</w:t>
                              </w:r>
                              <w:r>
                                <w:rPr>
                                  <w:b/>
                                  <w:color w:val="585858"/>
                                  <w:sz w:val="15"/>
                                </w:rPr>
                                <w:tab/>
                              </w:r>
                            </w:p>
                          </w:txbxContent>
                        </wps:txbx>
                        <wps:bodyPr horzOverflow="overflow" vert="horz" lIns="0" tIns="0" rIns="0" bIns="0" rtlCol="0">
                          <a:noAutofit/>
                        </wps:bodyPr>
                      </wps:wsp>
                      <wps:wsp>
                        <wps:cNvPr id="22708" name="Rectangle 22708"/>
                        <wps:cNvSpPr/>
                        <wps:spPr>
                          <a:xfrm>
                            <a:off x="1601156" y="181747"/>
                            <a:ext cx="2518768" cy="157853"/>
                          </a:xfrm>
                          <a:prstGeom prst="rect">
                            <a:avLst/>
                          </a:prstGeom>
                          <a:ln>
                            <a:noFill/>
                          </a:ln>
                        </wps:spPr>
                        <wps:txbx>
                          <w:txbxContent>
                            <w:p w:rsidR="00EE13F6" w:rsidRDefault="002E5BC4">
                              <w:r>
                                <w:rPr>
                                  <w:b/>
                                  <w:color w:val="585858"/>
                                  <w:sz w:val="15"/>
                                </w:rPr>
                                <w:t>Corporate</w:t>
                              </w:r>
                              <w:r>
                                <w:rPr>
                                  <w:b/>
                                  <w:color w:val="585858"/>
                                  <w:sz w:val="15"/>
                                </w:rPr>
                                <w:tab/>
                                <w:t>Tax</w:t>
                              </w:r>
                              <w:r>
                                <w:rPr>
                                  <w:b/>
                                  <w:color w:val="585858"/>
                                  <w:sz w:val="15"/>
                                </w:rPr>
                                <w:tab/>
                                <w:t>Rate</w:t>
                              </w:r>
                              <w:r>
                                <w:rPr>
                                  <w:b/>
                                  <w:color w:val="585858"/>
                                  <w:sz w:val="15"/>
                                </w:rPr>
                                <w:tab/>
                                <w:t>for</w:t>
                              </w:r>
                              <w:r>
                                <w:rPr>
                                  <w:b/>
                                  <w:color w:val="585858"/>
                                  <w:sz w:val="15"/>
                                </w:rPr>
                                <w:tab/>
                                <w:t>a</w:t>
                              </w:r>
                              <w:r>
                                <w:rPr>
                                  <w:b/>
                                  <w:color w:val="585858"/>
                                  <w:sz w:val="15"/>
                                </w:rPr>
                                <w:tab/>
                                <w:t>5</w:t>
                              </w:r>
                              <w:r>
                                <w:rPr>
                                  <w:b/>
                                  <w:color w:val="585858"/>
                                  <w:sz w:val="15"/>
                                </w:rPr>
                                <w:tab/>
                                <w:t>Years</w:t>
                              </w:r>
                              <w:r>
                                <w:rPr>
                                  <w:b/>
                                  <w:color w:val="585858"/>
                                  <w:sz w:val="15"/>
                                </w:rPr>
                                <w:tab/>
                                <w:t>Debt</w:t>
                              </w:r>
                              <w:r>
                                <w:rPr>
                                  <w:b/>
                                  <w:color w:val="585858"/>
                                  <w:sz w:val="15"/>
                                </w:rPr>
                                <w:tab/>
                                <w:t>Maturity.</w:t>
                              </w:r>
                            </w:p>
                          </w:txbxContent>
                        </wps:txbx>
                        <wps:bodyPr horzOverflow="overflow" vert="horz" lIns="0" tIns="0" rIns="0" bIns="0" rtlCol="0">
                          <a:noAutofit/>
                        </wps:bodyPr>
                      </wps:wsp>
                      <wps:wsp>
                        <wps:cNvPr id="22709" name="Shape 22709"/>
                        <wps:cNvSpPr/>
                        <wps:spPr>
                          <a:xfrm>
                            <a:off x="1420226" y="2767530"/>
                            <a:ext cx="131952" cy="0"/>
                          </a:xfrm>
                          <a:custGeom>
                            <a:avLst/>
                            <a:gdLst/>
                            <a:ahLst/>
                            <a:cxnLst/>
                            <a:rect l="0" t="0" r="0" b="0"/>
                            <a:pathLst>
                              <a:path w="131952">
                                <a:moveTo>
                                  <a:pt x="0" y="0"/>
                                </a:moveTo>
                                <a:lnTo>
                                  <a:pt x="131952" y="0"/>
                                </a:lnTo>
                              </a:path>
                            </a:pathLst>
                          </a:custGeom>
                          <a:ln w="13890" cap="rnd">
                            <a:round/>
                          </a:ln>
                        </wps:spPr>
                        <wps:style>
                          <a:lnRef idx="1">
                            <a:srgbClr val="5B9BD5"/>
                          </a:lnRef>
                          <a:fillRef idx="0">
                            <a:srgbClr val="000000">
                              <a:alpha val="0"/>
                            </a:srgbClr>
                          </a:fillRef>
                          <a:effectRef idx="0">
                            <a:scrgbClr r="0" g="0" b="0"/>
                          </a:effectRef>
                          <a:fontRef idx="none"/>
                        </wps:style>
                        <wps:bodyPr/>
                      </wps:wsp>
                      <wps:wsp>
                        <wps:cNvPr id="22710" name="Rectangle 22710"/>
                        <wps:cNvSpPr/>
                        <wps:spPr>
                          <a:xfrm>
                            <a:off x="1567798" y="2729337"/>
                            <a:ext cx="328547" cy="101478"/>
                          </a:xfrm>
                          <a:prstGeom prst="rect">
                            <a:avLst/>
                          </a:prstGeom>
                          <a:ln>
                            <a:noFill/>
                          </a:ln>
                        </wps:spPr>
                        <wps:txbx>
                          <w:txbxContent>
                            <w:p w:rsidR="00EE13F6" w:rsidRDefault="002E5BC4">
                              <w:r>
                                <w:rPr>
                                  <w:color w:val="585858"/>
                                  <w:sz w:val="10"/>
                                </w:rPr>
                                <w:t>Rho=0,15</w:t>
                              </w:r>
                            </w:p>
                          </w:txbxContent>
                        </wps:txbx>
                        <wps:bodyPr horzOverflow="overflow" vert="horz" lIns="0" tIns="0" rIns="0" bIns="0" rtlCol="0">
                          <a:noAutofit/>
                        </wps:bodyPr>
                      </wps:wsp>
                      <wps:wsp>
                        <wps:cNvPr id="22711" name="Shape 22711"/>
                        <wps:cNvSpPr/>
                        <wps:spPr>
                          <a:xfrm>
                            <a:off x="1899422" y="2767530"/>
                            <a:ext cx="131953" cy="0"/>
                          </a:xfrm>
                          <a:custGeom>
                            <a:avLst/>
                            <a:gdLst/>
                            <a:ahLst/>
                            <a:cxnLst/>
                            <a:rect l="0" t="0" r="0" b="0"/>
                            <a:pathLst>
                              <a:path w="131953">
                                <a:moveTo>
                                  <a:pt x="0" y="0"/>
                                </a:moveTo>
                                <a:lnTo>
                                  <a:pt x="131953" y="0"/>
                                </a:lnTo>
                              </a:path>
                            </a:pathLst>
                          </a:custGeom>
                          <a:ln w="13890" cap="rnd">
                            <a:round/>
                          </a:ln>
                        </wps:spPr>
                        <wps:style>
                          <a:lnRef idx="1">
                            <a:srgbClr val="ED7D31"/>
                          </a:lnRef>
                          <a:fillRef idx="0">
                            <a:srgbClr val="000000">
                              <a:alpha val="0"/>
                            </a:srgbClr>
                          </a:fillRef>
                          <a:effectRef idx="0">
                            <a:scrgbClr r="0" g="0" b="0"/>
                          </a:effectRef>
                          <a:fontRef idx="none"/>
                        </wps:style>
                        <wps:bodyPr/>
                      </wps:wsp>
                      <wps:wsp>
                        <wps:cNvPr id="22712" name="Rectangle 22712"/>
                        <wps:cNvSpPr/>
                        <wps:spPr>
                          <a:xfrm>
                            <a:off x="2043932" y="2729337"/>
                            <a:ext cx="328547" cy="101478"/>
                          </a:xfrm>
                          <a:prstGeom prst="rect">
                            <a:avLst/>
                          </a:prstGeom>
                          <a:ln>
                            <a:noFill/>
                          </a:ln>
                        </wps:spPr>
                        <wps:txbx>
                          <w:txbxContent>
                            <w:p w:rsidR="00EE13F6" w:rsidRDefault="002E5BC4">
                              <w:r>
                                <w:rPr>
                                  <w:color w:val="585858"/>
                                  <w:sz w:val="10"/>
                                </w:rPr>
                                <w:t>Rho=0,20</w:t>
                              </w:r>
                            </w:p>
                          </w:txbxContent>
                        </wps:txbx>
                        <wps:bodyPr horzOverflow="overflow" vert="horz" lIns="0" tIns="0" rIns="0" bIns="0" rtlCol="0">
                          <a:noAutofit/>
                        </wps:bodyPr>
                      </wps:wsp>
                      <wps:wsp>
                        <wps:cNvPr id="22713" name="Shape 22713"/>
                        <wps:cNvSpPr/>
                        <wps:spPr>
                          <a:xfrm>
                            <a:off x="2371673" y="2767530"/>
                            <a:ext cx="131952" cy="0"/>
                          </a:xfrm>
                          <a:custGeom>
                            <a:avLst/>
                            <a:gdLst/>
                            <a:ahLst/>
                            <a:cxnLst/>
                            <a:rect l="0" t="0" r="0" b="0"/>
                            <a:pathLst>
                              <a:path w="131952">
                                <a:moveTo>
                                  <a:pt x="0" y="0"/>
                                </a:moveTo>
                                <a:lnTo>
                                  <a:pt x="131952" y="0"/>
                                </a:lnTo>
                              </a:path>
                            </a:pathLst>
                          </a:custGeom>
                          <a:ln w="13890" cap="rnd">
                            <a:round/>
                          </a:ln>
                        </wps:spPr>
                        <wps:style>
                          <a:lnRef idx="1">
                            <a:srgbClr val="A4A4A4"/>
                          </a:lnRef>
                          <a:fillRef idx="0">
                            <a:srgbClr val="000000">
                              <a:alpha val="0"/>
                            </a:srgbClr>
                          </a:fillRef>
                          <a:effectRef idx="0">
                            <a:scrgbClr r="0" g="0" b="0"/>
                          </a:effectRef>
                          <a:fontRef idx="none"/>
                        </wps:style>
                        <wps:bodyPr/>
                      </wps:wsp>
                      <wps:wsp>
                        <wps:cNvPr id="22714" name="Rectangle 22714"/>
                        <wps:cNvSpPr/>
                        <wps:spPr>
                          <a:xfrm>
                            <a:off x="2520067" y="2729337"/>
                            <a:ext cx="328547" cy="101478"/>
                          </a:xfrm>
                          <a:prstGeom prst="rect">
                            <a:avLst/>
                          </a:prstGeom>
                          <a:ln>
                            <a:noFill/>
                          </a:ln>
                        </wps:spPr>
                        <wps:txbx>
                          <w:txbxContent>
                            <w:p w:rsidR="00EE13F6" w:rsidRDefault="002E5BC4">
                              <w:r>
                                <w:rPr>
                                  <w:color w:val="585858"/>
                                  <w:sz w:val="10"/>
                                </w:rPr>
                                <w:t>Rho=0,25</w:t>
                              </w:r>
                            </w:p>
                          </w:txbxContent>
                        </wps:txbx>
                        <wps:bodyPr horzOverflow="overflow" vert="horz" lIns="0" tIns="0" rIns="0" bIns="0" rtlCol="0">
                          <a:noAutofit/>
                        </wps:bodyPr>
                      </wps:wsp>
                      <wps:wsp>
                        <wps:cNvPr id="22715" name="Shape 22715"/>
                        <wps:cNvSpPr/>
                        <wps:spPr>
                          <a:xfrm>
                            <a:off x="2850868" y="2767530"/>
                            <a:ext cx="131952" cy="0"/>
                          </a:xfrm>
                          <a:custGeom>
                            <a:avLst/>
                            <a:gdLst/>
                            <a:ahLst/>
                            <a:cxnLst/>
                            <a:rect l="0" t="0" r="0" b="0"/>
                            <a:pathLst>
                              <a:path w="131952">
                                <a:moveTo>
                                  <a:pt x="0" y="0"/>
                                </a:moveTo>
                                <a:lnTo>
                                  <a:pt x="131952" y="0"/>
                                </a:lnTo>
                              </a:path>
                            </a:pathLst>
                          </a:custGeom>
                          <a:ln w="13890" cap="rnd">
                            <a:round/>
                          </a:ln>
                        </wps:spPr>
                        <wps:style>
                          <a:lnRef idx="1">
                            <a:srgbClr val="FFC000"/>
                          </a:lnRef>
                          <a:fillRef idx="0">
                            <a:srgbClr val="000000">
                              <a:alpha val="0"/>
                            </a:srgbClr>
                          </a:fillRef>
                          <a:effectRef idx="0">
                            <a:scrgbClr r="0" g="0" b="0"/>
                          </a:effectRef>
                          <a:fontRef idx="none"/>
                        </wps:style>
                        <wps:bodyPr/>
                      </wps:wsp>
                      <wps:wsp>
                        <wps:cNvPr id="22716" name="Rectangle 22716"/>
                        <wps:cNvSpPr/>
                        <wps:spPr>
                          <a:xfrm>
                            <a:off x="2996201" y="2729337"/>
                            <a:ext cx="328547" cy="101478"/>
                          </a:xfrm>
                          <a:prstGeom prst="rect">
                            <a:avLst/>
                          </a:prstGeom>
                          <a:ln>
                            <a:noFill/>
                          </a:ln>
                        </wps:spPr>
                        <wps:txbx>
                          <w:txbxContent>
                            <w:p w:rsidR="00EE13F6" w:rsidRDefault="002E5BC4">
                              <w:r>
                                <w:rPr>
                                  <w:color w:val="585858"/>
                                  <w:sz w:val="10"/>
                                </w:rPr>
                                <w:t>Rho=0,30</w:t>
                              </w:r>
                            </w:p>
                          </w:txbxContent>
                        </wps:txbx>
                        <wps:bodyPr horzOverflow="overflow" vert="horz" lIns="0" tIns="0" rIns="0" bIns="0" rtlCol="0">
                          <a:noAutofit/>
                        </wps:bodyPr>
                      </wps:wsp>
                      <wps:wsp>
                        <wps:cNvPr id="22717" name="Shape 22717"/>
                        <wps:cNvSpPr/>
                        <wps:spPr>
                          <a:xfrm>
                            <a:off x="3323119" y="2767530"/>
                            <a:ext cx="138897" cy="0"/>
                          </a:xfrm>
                          <a:custGeom>
                            <a:avLst/>
                            <a:gdLst/>
                            <a:ahLst/>
                            <a:cxnLst/>
                            <a:rect l="0" t="0" r="0" b="0"/>
                            <a:pathLst>
                              <a:path w="138897">
                                <a:moveTo>
                                  <a:pt x="0" y="0"/>
                                </a:moveTo>
                                <a:lnTo>
                                  <a:pt x="138897" y="0"/>
                                </a:lnTo>
                              </a:path>
                            </a:pathLst>
                          </a:custGeom>
                          <a:ln w="13890" cap="rnd">
                            <a:round/>
                          </a:ln>
                        </wps:spPr>
                        <wps:style>
                          <a:lnRef idx="1">
                            <a:srgbClr val="4471C4"/>
                          </a:lnRef>
                          <a:fillRef idx="0">
                            <a:srgbClr val="000000">
                              <a:alpha val="0"/>
                            </a:srgbClr>
                          </a:fillRef>
                          <a:effectRef idx="0">
                            <a:scrgbClr r="0" g="0" b="0"/>
                          </a:effectRef>
                          <a:fontRef idx="none"/>
                        </wps:style>
                        <wps:bodyPr/>
                      </wps:wsp>
                      <wps:wsp>
                        <wps:cNvPr id="22718" name="Rectangle 22718"/>
                        <wps:cNvSpPr/>
                        <wps:spPr>
                          <a:xfrm>
                            <a:off x="3472337" y="2729337"/>
                            <a:ext cx="328547" cy="101478"/>
                          </a:xfrm>
                          <a:prstGeom prst="rect">
                            <a:avLst/>
                          </a:prstGeom>
                          <a:ln>
                            <a:noFill/>
                          </a:ln>
                        </wps:spPr>
                        <wps:txbx>
                          <w:txbxContent>
                            <w:p w:rsidR="00EE13F6" w:rsidRDefault="002E5BC4">
                              <w:r>
                                <w:rPr>
                                  <w:color w:val="585858"/>
                                  <w:sz w:val="10"/>
                                </w:rPr>
                                <w:t>Rho=0,35</w:t>
                              </w:r>
                            </w:p>
                          </w:txbxContent>
                        </wps:txbx>
                        <wps:bodyPr horzOverflow="overflow" vert="horz" lIns="0" tIns="0" rIns="0" bIns="0" rtlCol="0">
                          <a:noAutofit/>
                        </wps:bodyPr>
                      </wps:wsp>
                      <wps:wsp>
                        <wps:cNvPr id="22719" name="Shape 22719"/>
                        <wps:cNvSpPr/>
                        <wps:spPr>
                          <a:xfrm>
                            <a:off x="0" y="0"/>
                            <a:ext cx="5104479" cy="2882121"/>
                          </a:xfrm>
                          <a:custGeom>
                            <a:avLst/>
                            <a:gdLst/>
                            <a:ahLst/>
                            <a:cxnLst/>
                            <a:rect l="0" t="0" r="0" b="0"/>
                            <a:pathLst>
                              <a:path w="5104479" h="2882121">
                                <a:moveTo>
                                  <a:pt x="0" y="0"/>
                                </a:moveTo>
                                <a:lnTo>
                                  <a:pt x="5104479" y="0"/>
                                </a:lnTo>
                                <a:lnTo>
                                  <a:pt x="5104479" y="2882121"/>
                                </a:lnTo>
                                <a:lnTo>
                                  <a:pt x="0" y="2882121"/>
                                </a:lnTo>
                                <a:close/>
                              </a:path>
                            </a:pathLst>
                          </a:custGeom>
                          <a:ln w="694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210863" o:spid="_x0000_s1771" style="width:401.95pt;height:226.95pt;mso-position-horizontal-relative:char;mso-position-vertical-relative:line" coordsize="51044,2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">
                <v:shape id="Shape 22674" o:spid="_x0000_s1772" style="position:absolute;left:2430;top:27918;width:48614;height:0;visibility:visible;mso-wrap-style:square;v-text-anchor:top" coordsize="4861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dw8cA&#10;AADeAAAADwAAAGRycy9kb3ducmV2LnhtbESP3UoDMRCF74W+Q5iCN8Vmu0q3rE1LEa0ieNHaBxg2&#10;4yZ0M9kmabu+vREELw/n5+Ms14PrxIVCtJ4VzKYFCOLGa8utgsPny90CREzIGjvPpOCbIqxXo5sl&#10;1tpfeUeXfWpFHuFYowKTUl9LGRtDDuPU98TZ+/LBYcoytFIHvOZx18myKObSoeVMMNjTk6HmuD+7&#10;DPk4nXavk+fj5GyTfd9uK3NfBaVux8PmEUSiIf2H/9pvWkFZzqsH+L2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hncPHAAAA3gAAAA8AAAAAAAAAAAAAAAAAmAIAAGRy&#10;cy9kb3ducmV2LnhtbFBLBQYAAAAABAAEAPUAAACMAwAAAAA=&#10;" path="m,l4861408,e" filled="f" strokecolor="#d9d9d9" strokeweight=".19292mm">
                  <v:path arrowok="t" textboxrect="0,0,4861408,0"/>
                </v:shape>
                <v:shape id="Shape 22675" o:spid="_x0000_s1773" style="position:absolute;left:2430;top:24515;width:48614;height:0;visibility:visible;mso-wrap-style:square;v-text-anchor:top" coordsize="4861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4WMcA&#10;AADeAAAADwAAAGRycy9kb3ducmV2LnhtbESP3UoDMRCF74W+Q5iCN8Vmu2K3rE1LEa0ieNHaBxg2&#10;4yZ0M9kmabu+vREELw/n5+Ms14PrxIVCtJ4VzKYFCOLGa8utgsPny90CREzIGjvPpOCbIqxXo5sl&#10;1tpfeUeXfWpFHuFYowKTUl9LGRtDDuPU98TZ+/LBYcoytFIHvOZx18myKObSoeVMMNjTk6HmuD+7&#10;DPk4nXavk+fj5GyTfd9uK3NfBaVux8PmEUSiIf2H/9pvWkFZzqsH+L2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tOFjHAAAA3gAAAA8AAAAAAAAAAAAAAAAAmAIAAGRy&#10;cy9kb3ducmV2LnhtbFBLBQYAAAAABAAEAPUAAACMAwAAAAA=&#10;" path="m,l4861408,e" filled="f" strokecolor="#d9d9d9" strokeweight=".19292mm">
                  <v:path arrowok="t" textboxrect="0,0,4861408,0"/>
                </v:shape>
                <v:shape id="Shape 22676" o:spid="_x0000_s1774" style="position:absolute;left:2430;top:21181;width:48614;height:0;visibility:visible;mso-wrap-style:square;v-text-anchor:top" coordsize="4861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L8cA&#10;AADeAAAADwAAAGRycy9kb3ducmV2LnhtbESP30rDMBTG74W9QziCN8OlVmilLhtDdA7Bi00f4NAc&#10;m7DmpEuyrb79Igi7/Pj+/Pjmy9H14kQhWs8KHmYFCOLWa8udgu+vt/snEDEha+w9k4JfirBcTG7m&#10;2Gh/5i2ddqkTeYRjgwpMSkMjZWwNOYwzPxBn78cHhynL0Ekd8JzHXS/LoqikQ8uZYHCgF0Ptfnd0&#10;GfJ5OGzfp6/76dEm+7Fe1+axDkrd3Y6rZxCJxnQN/7c3WkFZVnUFf3fyF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pi/HAAAA3gAAAA8AAAAAAAAAAAAAAAAAmAIAAGRy&#10;cy9kb3ducmV2LnhtbFBLBQYAAAAABAAEAPUAAACMAwAAAAA=&#10;" path="m,l4861408,e" filled="f" strokecolor="#d9d9d9" strokeweight=".19292mm">
                  <v:path arrowok="t" textboxrect="0,0,4861408,0"/>
                </v:shape>
                <v:shape id="Shape 22677" o:spid="_x0000_s1775" style="position:absolute;left:2430;top:17848;width:48614;height:0;visibility:visible;mso-wrap-style:square;v-text-anchor:top" coordsize="4861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DtMYA&#10;AADeAAAADwAAAGRycy9kb3ducmV2LnhtbESP3WoCMRCF7wu+Q5hCb6RmuwW3rEaR0lop9ELrAwyb&#10;6Sa4maxJ1O3bm0LBy8P5+Tjz5eA6caYQrWcFT5MCBHHjteVWwf77/fEFREzIGjvPpOCXIiwXo7s5&#10;1tpfeEvnXWpFHuFYowKTUl9LGRtDDuPE98TZ+/HBYcoytFIHvORx18myKKbSoeVMMNjTq6HmsDu5&#10;DPk6Hrcf47fD+GST/VyvK/NcBaUe7ofVDESiId3C/+2NVlCW06qCvzv5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MDtMYAAADeAAAADwAAAAAAAAAAAAAAAACYAgAAZHJz&#10;L2Rvd25yZXYueG1sUEsFBgAAAAAEAAQA9QAAAIsDAAAAAA==&#10;" path="m,l4861408,e" filled="f" strokecolor="#d9d9d9" strokeweight=".19292mm">
                  <v:path arrowok="t" textboxrect="0,0,4861408,0"/>
                </v:shape>
                <v:shape id="Shape 22678" o:spid="_x0000_s1776" style="position:absolute;left:2430;top:14445;width:48614;height:0;visibility:visible;mso-wrap-style:square;v-text-anchor:top" coordsize="4861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XxsQA&#10;AADeAAAADwAAAGRycy9kb3ducmV2LnhtbERPzUoDMRC+C75DGMFLsVlX6MratIhoFcFDqw8wbMZN&#10;6GayTdJ2fXvnIHj8+P6X6ykM6kQp+8gGbucVKOIuWs+9ga/Pl5t7ULkgWxwik4EfyrBeXV4ssbXx&#10;zFs67UqvJIRziwZcKWOrde4cBczzOBIL9x1TwCIw9domPEt4GHRdVQsd0LM0OBzpyVG33x2DlHwc&#10;DtvX2fN+dvTFv282jbtrkjHXV9PjA6hCU/kX/7nfrIG6XjSyV+7IF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l8bEAAAA3gAAAA8AAAAAAAAAAAAAAAAAmAIAAGRycy9k&#10;b3ducmV2LnhtbFBLBQYAAAAABAAEAPUAAACJAwAAAAA=&#10;" path="m,l4861408,e" filled="f" strokecolor="#d9d9d9" strokeweight=".19292mm">
                  <v:path arrowok="t" textboxrect="0,0,4861408,0"/>
                </v:shape>
                <v:shape id="Shape 22679" o:spid="_x0000_s1777" style="position:absolute;left:2430;top:11111;width:48614;height:0;visibility:visible;mso-wrap-style:square;v-text-anchor:top" coordsize="4861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yXccA&#10;AADeAAAADwAAAGRycy9kb3ducmV2LnhtbESP3UoDMRCF74W+QxjBm9JmXaFb16aliFYRvOjPAwyb&#10;cRO6mWyTtF3f3giCl4fz83EWq8F14kIhWs8K7qcFCOLGa8utgsP+dTIHEROyxs4zKfimCKvl6GaB&#10;tfZX3tJll1qRRzjWqMCk1NdSxsaQwzj1PXH2vnxwmLIMrdQBr3ncdbIsipl0aDkTDPb0bKg57s4u&#10;Qz5Pp+3b+OU4PttkPzabyjxUQam722H9BCLRkP7Df+13raAsZ9Uj/N7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gMl3HAAAA3gAAAA8AAAAAAAAAAAAAAAAAmAIAAGRy&#10;cy9kb3ducmV2LnhtbFBLBQYAAAAABAAEAPUAAACMAwAAAAA=&#10;" path="m,l4861408,e" filled="f" strokecolor="#d9d9d9" strokeweight=".19292mm">
                  <v:path arrowok="t" textboxrect="0,0,4861408,0"/>
                </v:shape>
                <v:shape id="Shape 22680" o:spid="_x0000_s1778" style="position:absolute;left:2430;top:7778;width:48614;height:0;visibility:visible;mso-wrap-style:square;v-text-anchor:top" coordsize="48614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ssQA&#10;AADeAAAADwAAAGRycy9kb3ducmV2LnhtbESPzWrCQBSF94W+w3AL3dWJASVERwkGwYWLmgbcXjPX&#10;JJi5EzNjTN++sxC6PJw/vvV2Mp0YaXCtZQXzWQSCuLK65VpB+bP/SkA4j6yxs0wKfsnBdvP+tsZU&#10;2yefaCx8LcIIuxQVNN73qZSuasigm9meOHhXOxj0QQ611AM+w7jpZBxFS2mw5fDQYE+7hqpb8TAK&#10;Fvl5+saK7/KR6fIw5uURLzelPj+mbAXC0+T/w6/2QSuI42USAAJOQ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5f7LEAAAA3gAAAA8AAAAAAAAAAAAAAAAAmAIAAGRycy9k&#10;b3ducmV2LnhtbFBLBQYAAAAABAAEAPUAAACJAwAAAAA=&#10;" path="m,l4861408,1e" filled="f" strokecolor="#d9d9d9" strokeweight=".19292mm">
                  <v:path arrowok="t" textboxrect="0,0,4861408,1"/>
                </v:shape>
                <v:shape id="Shape 22681" o:spid="_x0000_s1779" style="position:absolute;left:5451;top:8438;width:42503;height:5278;visibility:visible;mso-wrap-style:square;v-text-anchor:top" coordsize="4250260,52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iDMYA&#10;AADeAAAADwAAAGRycy9kb3ducmV2LnhtbESPQWvCQBSE74L/YXlCb2ZjhNSmriKiVHrSKNjjM/ua&#10;BLNvQ3ar6b/vCgWPw8x8w8yXvWnEjTpXW1YwiWIQxIXVNZcKTsfteAbCeWSNjWVS8EsOlovhYI6Z&#10;tnc+0C33pQgQdhkqqLxvMyldUZFBF9mWOHjftjPog+xKqTu8B7hpZBLHqTRYc1iosKV1RcU1/zEK&#10;dpvYf+Yfr/vc6Lf0cu6nX5fTWamXUb96B+Gp98/wf3unFSRJOpvA406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iDMYAAADeAAAADwAAAAAAAAAAAAAAAACYAgAAZHJz&#10;L2Rvd25yZXYueG1sUEsFBgAAAAAEAAQA9QAAAIsDAAAAAA==&#10;" path="m,l604203,55559r611149,62504l1819555,187511r611149,76394l3034908,347243r611148,90284l4250260,527810e" filled="f" strokecolor="#5b9bd5" strokeweight=".38583mm">
                  <v:stroke endcap="round"/>
                  <v:path arrowok="t" textboxrect="0,0,4250260,527810"/>
                </v:shape>
                <v:shape id="Shape 22682" o:spid="_x0000_s1780" style="position:absolute;left:5451;top:8993;width:42503;height:7639;visibility:visible;mso-wrap-style:square;v-text-anchor:top" coordsize="4250260,76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v0cYA&#10;AADeAAAADwAAAGRycy9kb3ducmV2LnhtbESPQUvDQBSE74L/YXmCN7txKaXGbksJiD0IYlrw+si+&#10;ZmOzb0P22UZ/vSsIHoeZ+YZZbabQqzONqYts4X5WgCJuouu4tXDYP90tQSVBdthHJgtflGCzvr5a&#10;Yenihd/oXEurMoRTiRa8yFBqnRpPAdMsDsTZO8YxoGQ5ttqNeMnw0GtTFAsdsOO84HGgylNzqj+D&#10;hfdX9yFmN385fg/zZ394qIpKamtvb6btIyihSf7Df+2ds2DMYmng90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av0cYAAADeAAAADwAAAAAAAAAAAAAAAACYAgAAZHJz&#10;L2Rvd25yZXYueG1sUEsFBgAAAAAEAAQA9QAAAIsDAAAAAA==&#10;" path="m,l604203,83338r611149,97229l1819555,284740r611149,118062l3034908,520865r611148,118063l4250260,763936e" filled="f" strokecolor="#ed7d31" strokeweight=".38583mm">
                  <v:stroke endcap="round"/>
                  <v:path arrowok="t" textboxrect="0,0,4250260,763936"/>
                </v:shape>
                <v:shape id="Shape 22683" o:spid="_x0000_s1781" style="position:absolute;left:5451;top:9549;width:42503;height:9792;visibility:visible;mso-wrap-style:square;v-text-anchor:top" coordsize="4250260,97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77sUA&#10;AADeAAAADwAAAGRycy9kb3ducmV2LnhtbESPQWvCQBSE74X+h+UVvNVNYxGbuooURKEnoxdvj+xL&#10;NjT7Nuxuk/jv3ULB4zAz3zDr7WQ7MZAPrWMFb/MMBHHldMuNgst5/7oCESKyxs4xKbhRgO3m+WmN&#10;hXYjn2goYyMShEOBCkyMfSFlqAxZDHPXEyevdt5iTNI3UnscE9x2Ms+ypbTYclow2NOXoeqn/LUK&#10;ruHb14vqYPrbeB5Keq+Pu49BqdnLtPsEEWmKj/B/+6gV5PlytYC/O+k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fvuxQAAAN4AAAAPAAAAAAAAAAAAAAAAAJgCAABkcnMv&#10;ZG93bnJldi54bWxQSwUGAAAAAAQABAD1AAAAigMAAAAA&#10;" path="m,l604203,125008r611149,131952l1819555,395857r611149,152788l3034908,694487r611148,145842l4250260,979227e" filled="f" strokecolor="#a4a4a4" strokeweight=".38583mm">
                  <v:stroke endcap="round"/>
                  <v:path arrowok="t" textboxrect="0,0,4250260,979227"/>
                </v:shape>
                <v:shape id="Shape 22684" o:spid="_x0000_s1782" style="position:absolute;left:5451;top:10243;width:42503;height:11529;visibility:visible;mso-wrap-style:square;v-text-anchor:top" coordsize="4250260,115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1+sYA&#10;AADeAAAADwAAAGRycy9kb3ducmV2LnhtbESP3UrDQBSE74W+w3IK3tlNo8Qauy1FEHpXU32AY/bk&#10;x2bPhuwxTfv0riB4OczMN8x6O7lOjTSE1rOB5SIBRVx623Jt4OP99W4FKgiyxc4zGbhQgO1mdrPG&#10;3PozFzQepVYRwiFHA41In2sdyoYchoXviaNX+cGhRDnU2g54jnDX6TRJMu2w5bjQYE8vDZWn47cz&#10;cP+1Xx4uY/b4dvi8PknFRXWVwpjb+bR7BiU0yX/4r723BtI0Wz3A7514Bf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01+sYAAADeAAAADwAAAAAAAAAAAAAAAACYAgAAZHJz&#10;L2Rvd25yZXYueG1sUEsFBgAAAAAEAAQA9QAAAIsDAAAAAA==&#10;" path="m,l604203,159732r611149,166677l1819555,500031r611149,173621l3034908,840329r611148,159732l4250260,1152848e" filled="f" strokecolor="#ffc000" strokeweight=".38583mm">
                  <v:stroke endcap="round"/>
                  <v:path arrowok="t" textboxrect="0,0,4250260,1152848"/>
                </v:shape>
                <v:shape id="Shape 22685" o:spid="_x0000_s1783" style="position:absolute;left:5451;top:11007;width:42503;height:12779;visibility:visible;mso-wrap-style:square;v-text-anchor:top" coordsize="4250260,1277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mMUA&#10;AADeAAAADwAAAGRycy9kb3ducmV2LnhtbESPQWvCQBSE7wX/w/IKXopuDDWE1FVEEPVmVfD6yD6T&#10;tNm3YXfV+O/dgtDjMDPfMLNFb1pxI+cbywom4wQEcWl1w5WC03E9ykH4gKyxtUwKHuRhMR+8zbDQ&#10;9s7fdDuESkQI+wIV1CF0hZS+rMmgH9uOOHoX6wyGKF0ltcN7hJtWpkmSSYMNx4UaO1rVVP4erkbB&#10;/tOvLO2mbsnnrPp4bH4u+fWo1PC9X36BCNSH//CrvdUK0jTLp/B3J1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qYxQAAAN4AAAAPAAAAAAAAAAAAAAAAAJgCAABkcnMv&#10;ZG93bnJldi54bWxQSwUGAAAAAAQABAD1AAAAigMAAAAA&#10;" path="m,l604203,187511r611149,201402l1819555,583369r611149,194456l3034908,958392r611148,166677l4250260,1277856e" filled="f" strokecolor="#4471c4" strokeweight=".38583mm">
                  <v:stroke endcap="round"/>
                  <v:path arrowok="t" textboxrect="0,0,4250260,1277856"/>
                </v:shape>
                <v:rect id="Rectangle 22686" o:spid="_x0000_s1784" style="position:absolute;left:1313;top:27530;width:27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K4cYA&#10;AADeAAAADwAAAGRycy9kb3ducmV2LnhtbESPT4vCMBTE74LfITzBm6bbQ6nVKLJ/0KOrgnp7NM+2&#10;2LyUJmurn36zsOBxmJnfMItVb2pxp9ZVlhW8TSMQxLnVFRcKjoevSQrCeWSNtWVS8CAHq+VwsMBM&#10;246/6b73hQgQdhkqKL1vMildXpJBN7UNcfCutjXog2wLqVvsAtzUMo6iRBqsOCyU2NB7Sflt/2MU&#10;bNJmfd7aZ1fUn5fNaXeafRxmXqnxqF/PQXjq/Sv8395qBXGcpAn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EK4c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687" o:spid="_x0000_s1785" style="position:absolute;left:1521;top:27530;width:416;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vescA&#10;AADeAAAADwAAAGRycy9kb3ducmV2LnhtbESPQWvCQBSE74X+h+UVequb5qAxzSpSFT2qKdjeHtnX&#10;JDT7NmTXJPXXu0Khx2FmvmGy5Wga0VPnassKXicRCOLC6ppLBR/59iUB4TyyxsYyKfglB8vF40OG&#10;qbYDH6k/+VIECLsUFVTet6mUrqjIoJvYljh437Yz6IPsSqk7HALcNDKOoqk0WHNYqLCl94qKn9PF&#10;KNgl7epzb69D2Wy+dufDeb7O516p56dx9QbC0+j/w3/tvVYQx9NkB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r3r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6</w:t>
                        </w:r>
                      </w:p>
                    </w:txbxContent>
                  </v:textbox>
                </v:rect>
                <v:rect id="Rectangle 22688" o:spid="_x0000_s1786" style="position:absolute;left:1313;top:24174;width:27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7CMQA&#10;AADeAAAADwAAAGRycy9kb3ducmV2LnhtbERPy2qDQBTdB/oPwy10l4x1IcZmEkIf6DKJhbS7i3Oj&#10;EueOOFO1+frMotDl4bw3u9l0YqTBtZYVPK8iEMSV1S3XCj7Lj2UKwnlkjZ1lUvBLDnbbh8UGM20n&#10;PtJ48rUIIewyVNB432dSuqohg25le+LAXexg0Ac41FIPOIVw08k4ihJpsOXQ0GBPrw1V19OPUZCn&#10;/f6rsLep7t6/8/PhvH4r116pp8d5/wLC0+z/xX/uQiuI4yQNe8Odc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OwjEAAAA3gAAAA8AAAAAAAAAAAAAAAAAmAIAAGRycy9k&#10;b3ducmV2LnhtbFBLBQYAAAAABAAEAPUAAACJ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689" o:spid="_x0000_s1787" style="position:absolute;left:1521;top:24174;width:416;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ek8cA&#10;AADeAAAADwAAAGRycy9kb3ducmV2LnhtbESPT2vCQBTE74LfYXlCb7ppDpKkboL0D3psVYi9PbLP&#10;JJh9G7Jbk/bTdwsFj8PM/IbZFJPpxI0G11pW8LiKQBBXVrdcKzgd35YJCOeRNXaWScE3OSjy+WyD&#10;mbYjf9Dt4GsRIOwyVNB432dSuqohg25le+LgXexg0Ac51FIPOAa46WQcRWtpsOWw0GBPzw1V18OX&#10;UbBL+u15b3/Gunv93JXvZfpyTL1SD4tp+wTC0+Tv4f/2XiuI43W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OnpP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5</w:t>
                        </w:r>
                      </w:p>
                    </w:txbxContent>
                  </v:textbox>
                </v:rect>
                <v:rect id="Rectangle 22690" o:spid="_x0000_s1788" style="position:absolute;left:1313;top:20818;width:27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h08YA&#10;AADeAAAADwAAAGRycy9kb3ducmV2LnhtbESPzWrCQBSF9wXfYbhCd3XSLIKJjiJVSZatFqy7S+aa&#10;BDN3QmZM0j59Z1Ho8nD++NbbybRioN41lhW8LiIQxKXVDVcKPs/HlyUI55E1tpZJwTc52G5mT2vM&#10;tB35g4aTr0QYYZehgtr7LpPSlTUZdAvbEQfvZnuDPsi+krrHMYybVsZRlEiDDYeHGjt6q6m8nx5G&#10;Qb7sdl+F/Rmr9nDNL++XdH9OvVLP82m3AuFp8v/hv3ahFcRxkga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2h08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691" o:spid="_x0000_s1789" style="position:absolute;left:1521;top:20818;width:416;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ESMcA&#10;AADeAAAADwAAAGRycy9kb3ducmV2LnhtbESPQWvCQBSE7wX/w/KE3uomOYiJriJqicdWC9rbI/u6&#10;CWbfhuzWpP313UKhx2FmvmFWm9G24k69bxwrSGcJCOLK6YaNgrfz89MChA/IGlvHpOCLPGzWk4cV&#10;FtoN/Er3UzAiQtgXqKAOoSuk9FVNFv3MdcTR+3C9xRBlb6TucYhw28osSebSYsNxocaOdjVVt9On&#10;VVAuuu316L4H0x7ey8vLJd+f86DU43TcLkEEGsN/+K991AqybJ6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BEj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4</w:t>
                        </w:r>
                      </w:p>
                    </w:txbxContent>
                  </v:textbox>
                </v:rect>
                <v:rect id="Rectangle 22692" o:spid="_x0000_s1790" style="position:absolute;left:1313;top:17462;width:27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aP8cA&#10;AADeAAAADwAAAGRycy9kb3ducmV2LnhtbESPQWvCQBSE7wX/w/KE3ppNc5AkuopUix5bI0Rvj+xr&#10;Epp9G7Jbk/bXdwsFj8PMfMOsNpPpxI0G11pW8BzFIIgrq1uuFZyL16cUhPPIGjvLpOCbHGzWs4cV&#10;5tqO/E63k69FgLDLUUHjfZ9L6aqGDLrI9sTB+7CDQR/kUEs94BjgppNJHC+kwZbDQoM9vTRUfZ6+&#10;jIJD2m8vR/sz1t3+eijfymxXZF6px/m0XYLwNPl7+L991AqSZJE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mj/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693" o:spid="_x0000_s1791" style="position:absolute;left:1521;top:17462;width:416;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pMYA&#10;AADeAAAADwAAAGRycy9kb3ducmV2LnhtbESPT2vCQBTE74V+h+UVvNVNI4iJriJtRY/+A/X2yL4m&#10;odm3Ibua6Kd3BcHjMDO/YSazzlTiQo0rLSv46kcgiDOrS84V7HeLzxEI55E1VpZJwZUczKbvbxNM&#10;tW15Q5etz0WAsEtRQeF9nUrpsoIMur6tiYP3ZxuDPsgml7rBNsBNJeMoGkqDJYeFAmv6Lij7356N&#10;guWonh9X9tbm1e9peVgfkp9d4pXqfXTzMQhPnX+Fn+2VVhDHw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8/pM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0"/>
                          </w:rPr>
                          <w:t>3</w:t>
                        </w:r>
                      </w:p>
                    </w:txbxContent>
                  </v:textbox>
                </v:rect>
                <v:rect id="Rectangle 22694" o:spid="_x0000_s1792" style="position:absolute;left:1313;top:14106;width:27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n0MYA&#10;AADeAAAADwAAAGRycy9kb3ducmV2LnhtbESPT2vCQBTE74V+h+UVvNVNg4iJriJtRY/+A/X2yL4m&#10;odm3Ibua6Kd3BcHjMDO/YSazzlTiQo0rLSv46kcgiDOrS84V7HeLzxEI55E1VpZJwZUczKbvbxNM&#10;tW15Q5etz0WAsEtRQeF9nUrpsoIMur6tiYP3ZxuDPsgml7rBNsBNJeMoGkqDJYeFAmv6Lij7356N&#10;guWonh9X9tbm1e9peVgfkp9d4pXqfXTzMQhPnX+Fn+2VVhDHw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an0M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695" o:spid="_x0000_s1793" style="position:absolute;left:1521;top:14106;width:416;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CS8YA&#10;AADeAAAADwAAAGRycy9kb3ducmV2LnhtbESPT2vCQBTE74V+h+UVvNVNA4qJriJtRY/+A/X2yL4m&#10;odm3Ibua6Kd3BcHjMDO/YSazzlTiQo0rLSv46kcgiDOrS84V7HeLzxEI55E1VpZJwZUczKbvbxNM&#10;tW15Q5etz0WAsEtRQeF9nUrpsoIMur6tiYP3ZxuDPsgml7rBNsBNJeMoGkqDJYeFAmv6Lij7356N&#10;guWonh9X9tbm1e9peVgfkp9d4pXqfXTzMQhPnX+Fn+2VVhDHw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oCS8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0"/>
                          </w:rPr>
                          <w:t>2</w:t>
                        </w:r>
                      </w:p>
                    </w:txbxContent>
                  </v:textbox>
                </v:rect>
                <v:rect id="Rectangle 22696" o:spid="_x0000_s1794" style="position:absolute;left:1313;top:10750;width:27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cPMYA&#10;AADeAAAADwAAAGRycy9kb3ducmV2LnhtbESPQWvCQBSE7wX/w/IEb3VjDsFEVxG16LFVQb09ss8k&#10;mH0bslsT++u7hYLHYWa+YebL3tTiQa2rLCuYjCMQxLnVFRcKTseP9ykI55E11pZJwZMcLBeDtzlm&#10;2nb8RY+DL0SAsMtQQel9k0np8pIMurFtiIN3s61BH2RbSN1iF+CmlnEUJdJgxWGhxIbWJeX3w7dR&#10;sJs2q8ve/nRFvb3uzp/ndHNMvVKjYb+agfDU+1f4v73XCuI4SR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cPM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697" o:spid="_x0000_s1795" style="position:absolute;left:1521;top:10750;width:416;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5p8YA&#10;AADeAAAADwAAAGRycy9kb3ducmV2LnhtbESPQWvCQBSE7wX/w/IEb3VjDmpSVxFb0aPVgu3tkX0m&#10;wezbkF1N9Ne7BcHjMDPfMLNFZypxpcaVlhWMhhEI4szqknMFP4f1+xSE88gaK8uk4EYOFvPe2wxT&#10;bVv+puve5yJA2KWooPC+TqV0WUEG3dDWxME72cagD7LJpW6wDXBTyTiKxtJgyWGhwJpWBWXn/cUo&#10;2Ezr5e/W3tu8+vrbHHfH5POQeKUG/W75AcJT51/hZ3urFcTxOJn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Q5p8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0"/>
                          </w:rPr>
                          <w:t>1</w:t>
                        </w:r>
                      </w:p>
                    </w:txbxContent>
                  </v:textbox>
                </v:rect>
                <v:rect id="Rectangle 22698" o:spid="_x0000_s1796" style="position:absolute;left:1484;top:7403;width:42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t1cQA&#10;AADeAAAADwAAAGRycy9kb3ducmV2LnhtbERPTW+CQBC9N/E/bMakt7qUAxF0NaZq4NhqE+ttwo5A&#10;ZGcJuwLtr+8emvT48r7X28m0YqDeNZYVvC4iEMSl1Q1XCj7Px5clCOeRNbaWScE3OdhuZk9rzLQd&#10;+YOGk69ECGGXoYLa+y6T0pU1GXQL2xEH7mZ7gz7AvpK6xzGEm1bGUZRIgw2Hhho7equpvJ8eRkG+&#10;7HZfhf0Zq/ZwzS/vl3R/Tr1Sz/NptwLhafL/4j93oRXEcZKGveFOu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rdXEAAAA3gAAAA8AAAAAAAAAAAAAAAAAmAIAAGRycy9k&#10;b3ducmV2LnhtbFBLBQYAAAAABAAEAPUAAACJAwAAAAA=&#10;" filled="f" stroked="f">
                  <v:textbox inset="0,0,0,0">
                    <w:txbxContent>
                      <w:p w:rsidR="00EE13F6" w:rsidRDefault="002E5BC4">
                        <w:r>
                          <w:rPr>
                            <w:color w:val="585858"/>
                            <w:sz w:val="10"/>
                          </w:rPr>
                          <w:t>0</w:t>
                        </w:r>
                      </w:p>
                    </w:txbxContent>
                  </v:textbox>
                </v:rect>
                <v:rect id="Rectangle 22699" o:spid="_x0000_s1797" style="position:absolute;left:4011;top:8181;width:3679;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TscA&#10;AADeAAAADwAAAGRycy9kb3ducmV2LnhtbESPQWvCQBSE7wX/w/KE3uqmOQQTXUOoFnNsVVBvj+xr&#10;Epp9G7Jbk/bXdwsFj8PMfMOs88l04kaDay0reF5EIIgrq1uuFZyOr09LEM4ja+wsk4JvcpBvZg9r&#10;zLQd+Z1uB1+LAGGXoYLG+z6T0lUNGXQL2xMH78MOBn2QQy31gGOAm07GUZRIgy2HhQZ7emmo+jx8&#10;GQX7ZV9cSvsz1t3uuj+/ndPtMfVKPc6nYgXC0+Tv4f92qRXEcZKm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CE7HAAAA3gAAAA8AAAAAAAAAAAAAAAAAmAIAAGRy&#10;cy9kb3ducmV2LnhtbFBLBQYAAAAABAAEAPUAAACMAwAAAAA=&#10;" filled="f" stroked="f">
                  <v:textbox inset="0,0,0,0">
                    <w:txbxContent>
                      <w:p w:rsidR="00EE13F6" w:rsidRDefault="002E5BC4">
                        <w:r>
                          <w:rPr>
                            <w:b/>
                            <w:color w:val="585858"/>
                            <w:sz w:val="10"/>
                          </w:rPr>
                          <w:t>Spr=50</w:t>
                        </w:r>
                        <w:r>
                          <w:rPr>
                            <w:b/>
                            <w:color w:val="585858"/>
                            <w:sz w:val="10"/>
                          </w:rPr>
                          <w:tab/>
                          <w:t>b.p</w:t>
                        </w:r>
                      </w:p>
                    </w:txbxContent>
                  </v:textbox>
                </v:rect>
                <v:rect id="Rectangle 22700" o:spid="_x0000_s1798" style="position:absolute;left:9947;top:8181;width:4140;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7ycYA&#10;AADeAAAADwAAAGRycy9kb3ducmV2LnhtbESPzWrCQBSF9wXfYbhCd83ELKzGjCJa0WVrCtHdJXNN&#10;gpk7ITM1aZ++syh0eTh/fNlmNK14UO8aywpmUQyCuLS64UrBZ354WYBwHllja5kUfJODzXrylGGq&#10;7cAf9Dj7SoQRdikqqL3vUildWZNBF9mOOHg32xv0QfaV1D0OYdy0MonjuTTYcHiosaNdTeX9/GUU&#10;HBfd9nKyP0PVvl2PxXux3OdLr9TzdNyuQHga/X/4r33SCpLkNQ4AASeg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Y7ycYAAADeAAAADwAAAAAAAAAAAAAAAACYAgAAZHJz&#10;L2Rvd25yZXYueG1sUEsFBgAAAAAEAAQA9QAAAIsDAAAAAA==&#10;" filled="f" stroked="f">
                  <v:textbox inset="0,0,0,0">
                    <w:txbxContent>
                      <w:p w:rsidR="00EE13F6" w:rsidRDefault="002E5BC4">
                        <w:r>
                          <w:rPr>
                            <w:b/>
                            <w:color w:val="585858"/>
                            <w:sz w:val="10"/>
                          </w:rPr>
                          <w:t>Spr=100</w:t>
                        </w:r>
                        <w:r>
                          <w:rPr>
                            <w:b/>
                            <w:color w:val="585858"/>
                            <w:sz w:val="10"/>
                          </w:rPr>
                          <w:tab/>
                          <w:t>b.p</w:t>
                        </w:r>
                      </w:p>
                    </w:txbxContent>
                  </v:textbox>
                </v:rect>
                <v:rect id="Rectangle 22701" o:spid="_x0000_s1799" style="position:absolute;left:16022;top:8181;width:4140;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eUscA&#10;AADeAAAADwAAAGRycy9kb3ducmV2LnhtbESPS4vCQBCE78L+h6EXvOnEHHxER5FdRY8+FlxvTaY3&#10;CZvpCZnRRH+9Iwgei6r6ipotWlOKK9WusKxg0I9AEKdWF5wp+Dmue2MQziNrLC2Tghs5WMw/OjNM&#10;tG14T9eDz0SAsEtQQe59lUjp0pwMur6tiIP3Z2uDPsg6k7rGJsBNKeMoGkqDBYeFHCv6yin9P1yM&#10;gs24Wv5u7b3JytV5c9qdJt/HiVeq+9kupyA8tf4dfrW3WkEcj6IB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KnlLHAAAA3gAAAA8AAAAAAAAAAAAAAAAAmAIAAGRy&#10;cy9kb3ducmV2LnhtbFBLBQYAAAAABAAEAPUAAACMAwAAAAA=&#10;" filled="f" stroked="f">
                  <v:textbox inset="0,0,0,0">
                    <w:txbxContent>
                      <w:p w:rsidR="00EE13F6" w:rsidRDefault="002E5BC4">
                        <w:r>
                          <w:rPr>
                            <w:b/>
                            <w:color w:val="585858"/>
                            <w:sz w:val="10"/>
                          </w:rPr>
                          <w:t>Spr=150</w:t>
                        </w:r>
                        <w:r>
                          <w:rPr>
                            <w:b/>
                            <w:color w:val="585858"/>
                            <w:sz w:val="10"/>
                          </w:rPr>
                          <w:tab/>
                          <w:t>b.p</w:t>
                        </w:r>
                      </w:p>
                    </w:txbxContent>
                  </v:textbox>
                </v:rect>
                <v:rect id="Rectangle 22702" o:spid="_x0000_s1800" style="position:absolute;left:22097;top:8181;width:4140;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AJccA&#10;AADeAAAADwAAAGRycy9kb3ducmV2LnhtbESPQWvCQBSE7wX/w/KE3uqmOViNrhK0khxbFWxvj+wz&#10;Cc2+DdltkvbXdwuCx2FmvmHW29E0oqfO1ZYVPM8iEMSF1TWXCs6nw9MChPPIGhvLpOCHHGw3k4c1&#10;JtoO/E790ZciQNglqKDyvk2kdEVFBt3MtsTBu9rOoA+yK6XucAhw08g4iubSYM1hocKWdhUVX8dv&#10;oyBbtOlHbn+Hsnn9zC5vl+X+tPRKPU7HdAXC0+jv4Vs71wri+CWK4f9Ou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YACXHAAAA3gAAAA8AAAAAAAAAAAAAAAAAmAIAAGRy&#10;cy9kb3ducmV2LnhtbFBLBQYAAAAABAAEAPUAAACMAwAAAAA=&#10;" filled="f" stroked="f">
                  <v:textbox inset="0,0,0,0">
                    <w:txbxContent>
                      <w:p w:rsidR="00EE13F6" w:rsidRDefault="002E5BC4">
                        <w:r>
                          <w:rPr>
                            <w:b/>
                            <w:color w:val="585858"/>
                            <w:sz w:val="10"/>
                          </w:rPr>
                          <w:t>Spr=200</w:t>
                        </w:r>
                        <w:r>
                          <w:rPr>
                            <w:b/>
                            <w:color w:val="585858"/>
                            <w:sz w:val="10"/>
                          </w:rPr>
                          <w:tab/>
                          <w:t>b.p</w:t>
                        </w:r>
                      </w:p>
                    </w:txbxContent>
                  </v:textbox>
                </v:rect>
                <v:rect id="Rectangle 22703" o:spid="_x0000_s1801" style="position:absolute;left:28172;top:8181;width:414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lvs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6Iv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pb7HAAAA3gAAAA8AAAAAAAAAAAAAAAAAmAIAAGRy&#10;cy9kb3ducmV2LnhtbFBLBQYAAAAABAAEAPUAAACMAwAAAAA=&#10;" filled="f" stroked="f">
                  <v:textbox inset="0,0,0,0">
                    <w:txbxContent>
                      <w:p w:rsidR="00EE13F6" w:rsidRDefault="002E5BC4">
                        <w:r>
                          <w:rPr>
                            <w:b/>
                            <w:color w:val="585858"/>
                            <w:sz w:val="10"/>
                          </w:rPr>
                          <w:t>Spr=250</w:t>
                        </w:r>
                        <w:r>
                          <w:rPr>
                            <w:b/>
                            <w:color w:val="585858"/>
                            <w:sz w:val="10"/>
                          </w:rPr>
                          <w:tab/>
                          <w:t>b.p</w:t>
                        </w:r>
                      </w:p>
                    </w:txbxContent>
                  </v:textbox>
                </v:rect>
                <v:rect id="Rectangle 22704" o:spid="_x0000_s1802" style="position:absolute;left:34247;top:8181;width:414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9yscA&#10;AADeAAAADwAAAGRycy9kb3ducmV2LnhtbESPT2vCQBTE74V+h+UJvdWNofgnuoq0FT1aFdTbI/tM&#10;gtm3Ibua6Kd3BaHHYWZ+w0xmrSnFlWpXWFbQ60YgiFOrC84U7LaLzyEI55E1lpZJwY0czKbvbxNM&#10;tG34j64bn4kAYZeggtz7KpHSpTkZdF1bEQfvZGuDPsg6k7rGJsBNKeMo6kuDBYeFHCv6zik9by5G&#10;wXJYzQ8re2+y8ve43K/3o5/tyCv10WnnYxCeWv8ffrVXWkEcD6Iv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9PcrHAAAA3gAAAA8AAAAAAAAAAAAAAAAAmAIAAGRy&#10;cy9kb3ducmV2LnhtbFBLBQYAAAAABAAEAPUAAACMAwAAAAA=&#10;" filled="f" stroked="f">
                  <v:textbox inset="0,0,0,0">
                    <w:txbxContent>
                      <w:p w:rsidR="00EE13F6" w:rsidRDefault="002E5BC4">
                        <w:r>
                          <w:rPr>
                            <w:b/>
                            <w:color w:val="585858"/>
                            <w:sz w:val="10"/>
                          </w:rPr>
                          <w:t>Spr=300</w:t>
                        </w:r>
                        <w:r>
                          <w:rPr>
                            <w:b/>
                            <w:color w:val="585858"/>
                            <w:sz w:val="10"/>
                          </w:rPr>
                          <w:tab/>
                          <w:t>b.p</w:t>
                        </w:r>
                      </w:p>
                    </w:txbxContent>
                  </v:textbox>
                </v:rect>
                <v:rect id="Rectangle 22705" o:spid="_x0000_s1803" style="position:absolute;left:40322;top:8181;width:414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U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D6Iv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mFHHAAAA3gAAAA8AAAAAAAAAAAAAAAAAmAIAAGRy&#10;cy9kb3ducmV2LnhtbFBLBQYAAAAABAAEAPUAAACMAwAAAAA=&#10;" filled="f" stroked="f">
                  <v:textbox inset="0,0,0,0">
                    <w:txbxContent>
                      <w:p w:rsidR="00EE13F6" w:rsidRDefault="002E5BC4">
                        <w:r>
                          <w:rPr>
                            <w:b/>
                            <w:color w:val="585858"/>
                            <w:sz w:val="10"/>
                          </w:rPr>
                          <w:t>Spr=350</w:t>
                        </w:r>
                        <w:r>
                          <w:rPr>
                            <w:b/>
                            <w:color w:val="585858"/>
                            <w:sz w:val="10"/>
                          </w:rPr>
                          <w:tab/>
                          <w:t>b.p</w:t>
                        </w:r>
                      </w:p>
                    </w:txbxContent>
                  </v:textbox>
                </v:rect>
                <v:rect id="Rectangle 22706" o:spid="_x0000_s1804" style="position:absolute;left:46397;top:8181;width:414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GJsYA&#10;AADeAAAADwAAAGRycy9kb3ducmV2LnhtbESPT4vCMBTE74LfITxhb5rag6vVKOIf9OiqoN4ezbMt&#10;Ni+liba7n94sLOxxmJnfMLNFa0rxotoVlhUMBxEI4tTqgjMF59O2PwbhPLLG0jIp+CYHi3m3M8NE&#10;24a/6HX0mQgQdgkqyL2vEildmpNBN7AVcfDutjbog6wzqWtsAtyUMo6ikTRYcFjIsaJVTunj+DQK&#10;duNqed3bnyYrN7fd5XCZrE8Tr9RHr11OQXhq/X/4r73XCuL4MxrB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GJsYAAADeAAAADwAAAAAAAAAAAAAAAACYAgAAZHJz&#10;L2Rvd25yZXYueG1sUEsFBgAAAAAEAAQA9QAAAIsDAAAAAA==&#10;" filled="f" stroked="f">
                  <v:textbox inset="0,0,0,0">
                    <w:txbxContent>
                      <w:p w:rsidR="00EE13F6" w:rsidRDefault="002E5BC4">
                        <w:r>
                          <w:rPr>
                            <w:b/>
                            <w:color w:val="585858"/>
                            <w:sz w:val="10"/>
                          </w:rPr>
                          <w:t>Spr=400</w:t>
                        </w:r>
                        <w:r>
                          <w:rPr>
                            <w:b/>
                            <w:color w:val="585858"/>
                            <w:sz w:val="10"/>
                          </w:rPr>
                          <w:tab/>
                          <w:t>b.p</w:t>
                        </w:r>
                      </w:p>
                    </w:txbxContent>
                  </v:textbox>
                </v:rect>
                <v:rect id="Rectangle 22707" o:spid="_x0000_s1805" style="position:absolute;left:5316;top:636;width:54035;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vcYA&#10;AADeAAAADwAAAGRycy9kb3ducmV2LnhtbESPS4vCQBCE7wv7H4Ze8LZONgcf0VFkddGjL1BvTaZN&#10;gpmekJk10V/vCILHoqq+osbT1pTiSrUrLCv46UYgiFOrC84U7Hd/3wMQziNrLC2Tghs5mE4+P8aY&#10;aNvwhq5bn4kAYZeggtz7KpHSpTkZdF1bEQfvbGuDPsg6k7rGJsBNKeMo6kmDBYeFHCv6zSm9bP+N&#10;guWgmh1X9t5k5eK0PKwPw/lu6JXqfLWzEQhPrX+HX+2VVhDH/agP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vcYAAADeAAAADwAAAAAAAAAAAAAAAACYAgAAZHJz&#10;L2Rvd25yZXYueG1sUEsFBgAAAAAEAAQA9QAAAIsDAAAAAA==&#10;" filled="f" stroked="f">
                  <v:textbox inset="0,0,0,0">
                    <w:txbxContent>
                      <w:p w:rsidR="00EE13F6" w:rsidRDefault="002E5BC4">
                        <w:r>
                          <w:rPr>
                            <w:b/>
                            <w:color w:val="585858"/>
                            <w:sz w:val="15"/>
                          </w:rPr>
                          <w:t>Short</w:t>
                        </w:r>
                        <w:r>
                          <w:rPr>
                            <w:b/>
                            <w:color w:val="585858"/>
                            <w:sz w:val="15"/>
                          </w:rPr>
                          <w:tab/>
                          <w:t>Term</w:t>
                        </w:r>
                        <w:r>
                          <w:rPr>
                            <w:b/>
                            <w:color w:val="585858"/>
                            <w:sz w:val="15"/>
                          </w:rPr>
                          <w:tab/>
                          <w:t>Impact</w:t>
                        </w:r>
                        <w:r>
                          <w:rPr>
                            <w:b/>
                            <w:color w:val="585858"/>
                            <w:sz w:val="15"/>
                          </w:rPr>
                          <w:tab/>
                          <w:t>on</w:t>
                        </w:r>
                        <w:r>
                          <w:rPr>
                            <w:b/>
                            <w:color w:val="585858"/>
                            <w:sz w:val="15"/>
                          </w:rPr>
                          <w:tab/>
                          <w:t>the</w:t>
                        </w:r>
                        <w:r>
                          <w:rPr>
                            <w:b/>
                            <w:color w:val="585858"/>
                            <w:sz w:val="15"/>
                          </w:rPr>
                          <w:tab/>
                          <w:t>Theoretical</w:t>
                        </w:r>
                        <w:r>
                          <w:rPr>
                            <w:b/>
                            <w:color w:val="585858"/>
                            <w:sz w:val="15"/>
                          </w:rPr>
                          <w:tab/>
                          <w:t>Equity</w:t>
                        </w:r>
                        <w:r>
                          <w:rPr>
                            <w:b/>
                            <w:color w:val="585858"/>
                            <w:sz w:val="15"/>
                          </w:rPr>
                          <w:tab/>
                          <w:t>Share</w:t>
                        </w:r>
                        <w:r>
                          <w:rPr>
                            <w:b/>
                            <w:color w:val="585858"/>
                            <w:sz w:val="15"/>
                          </w:rPr>
                          <w:tab/>
                          <w:t>price</w:t>
                        </w:r>
                        <w:r>
                          <w:rPr>
                            <w:b/>
                            <w:color w:val="585858"/>
                            <w:sz w:val="15"/>
                          </w:rPr>
                          <w:tab/>
                          <w:t>Depending</w:t>
                        </w:r>
                        <w:r>
                          <w:rPr>
                            <w:b/>
                            <w:color w:val="585858"/>
                            <w:sz w:val="15"/>
                          </w:rPr>
                          <w:tab/>
                          <w:t>Upon</w:t>
                        </w:r>
                        <w:r>
                          <w:rPr>
                            <w:b/>
                            <w:color w:val="585858"/>
                            <w:sz w:val="15"/>
                          </w:rPr>
                          <w:tab/>
                          <w:t>The</w:t>
                        </w:r>
                        <w:r>
                          <w:rPr>
                            <w:b/>
                            <w:color w:val="585858"/>
                            <w:sz w:val="15"/>
                          </w:rPr>
                          <w:tab/>
                          <w:t>Credit</w:t>
                        </w:r>
                        <w:r>
                          <w:rPr>
                            <w:b/>
                            <w:color w:val="585858"/>
                            <w:sz w:val="15"/>
                          </w:rPr>
                          <w:tab/>
                          <w:t>Spread</w:t>
                        </w:r>
                        <w:r>
                          <w:rPr>
                            <w:b/>
                            <w:color w:val="585858"/>
                            <w:sz w:val="15"/>
                          </w:rPr>
                          <w:tab/>
                          <w:t>and</w:t>
                        </w:r>
                        <w:r>
                          <w:rPr>
                            <w:b/>
                            <w:color w:val="585858"/>
                            <w:sz w:val="15"/>
                          </w:rPr>
                          <w:tab/>
                          <w:t>The</w:t>
                        </w:r>
                        <w:r>
                          <w:rPr>
                            <w:b/>
                            <w:color w:val="585858"/>
                            <w:sz w:val="15"/>
                          </w:rPr>
                          <w:tab/>
                        </w:r>
                      </w:p>
                    </w:txbxContent>
                  </v:textbox>
                </v:rect>
                <v:rect id="Rectangle 22708" o:spid="_x0000_s1806" style="position:absolute;left:16011;top:1817;width:2518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3z8QA&#10;AADeAAAADwAAAGRycy9kb3ducmV2LnhtbERPPW/CMBDdK/EfrEPq1jhkoBBiEIIiGFtSKbCd4iOJ&#10;iM9R7JK0v74eKnV8et/ZZjSteFDvGssKZlEMgri0uuFKwWd+eFmAcB5ZY2uZFHyTg8168pRhqu3A&#10;H/Q4+0qEEHYpKqi971IpXVmTQRfZjjhwN9sb9AH2ldQ9DiHctDKJ47k02HBoqLGjXU3l/fxlFBwX&#10;3fZysj9D1b5dj8V7sdznS6/U83TcrkB4Gv2/+M990gqS5DUOe8Odc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N8/EAAAA3gAAAA8AAAAAAAAAAAAAAAAAmAIAAGRycy9k&#10;b3ducmV2LnhtbFBLBQYAAAAABAAEAPUAAACJAwAAAAA=&#10;" filled="f" stroked="f">
                  <v:textbox inset="0,0,0,0">
                    <w:txbxContent>
                      <w:p w:rsidR="00EE13F6" w:rsidRDefault="002E5BC4">
                        <w:r>
                          <w:rPr>
                            <w:b/>
                            <w:color w:val="585858"/>
                            <w:sz w:val="15"/>
                          </w:rPr>
                          <w:t>Corporate</w:t>
                        </w:r>
                        <w:r>
                          <w:rPr>
                            <w:b/>
                            <w:color w:val="585858"/>
                            <w:sz w:val="15"/>
                          </w:rPr>
                          <w:tab/>
                          <w:t>Tax</w:t>
                        </w:r>
                        <w:r>
                          <w:rPr>
                            <w:b/>
                            <w:color w:val="585858"/>
                            <w:sz w:val="15"/>
                          </w:rPr>
                          <w:tab/>
                          <w:t>Rate</w:t>
                        </w:r>
                        <w:r>
                          <w:rPr>
                            <w:b/>
                            <w:color w:val="585858"/>
                            <w:sz w:val="15"/>
                          </w:rPr>
                          <w:tab/>
                          <w:t>for</w:t>
                        </w:r>
                        <w:r>
                          <w:rPr>
                            <w:b/>
                            <w:color w:val="585858"/>
                            <w:sz w:val="15"/>
                          </w:rPr>
                          <w:tab/>
                          <w:t>a</w:t>
                        </w:r>
                        <w:r>
                          <w:rPr>
                            <w:b/>
                            <w:color w:val="585858"/>
                            <w:sz w:val="15"/>
                          </w:rPr>
                          <w:tab/>
                          <w:t>5</w:t>
                        </w:r>
                        <w:r>
                          <w:rPr>
                            <w:b/>
                            <w:color w:val="585858"/>
                            <w:sz w:val="15"/>
                          </w:rPr>
                          <w:tab/>
                          <w:t>Years</w:t>
                        </w:r>
                        <w:r>
                          <w:rPr>
                            <w:b/>
                            <w:color w:val="585858"/>
                            <w:sz w:val="15"/>
                          </w:rPr>
                          <w:tab/>
                          <w:t>Debt</w:t>
                        </w:r>
                        <w:r>
                          <w:rPr>
                            <w:b/>
                            <w:color w:val="585858"/>
                            <w:sz w:val="15"/>
                          </w:rPr>
                          <w:tab/>
                          <w:t>Maturity.</w:t>
                        </w:r>
                      </w:p>
                    </w:txbxContent>
                  </v:textbox>
                </v:rect>
                <v:shape id="Shape 22709" o:spid="_x0000_s1807" style="position:absolute;left:14202;top:27675;width:1319;height:0;visibility:visible;mso-wrap-style:square;v-text-anchor:top" coordsize="13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xsMA&#10;AADeAAAADwAAAGRycy9kb3ducmV2LnhtbESP32rCMBTG7wd7h3AGu5upFdzWmRYVJ15Otwc4NMem&#10;szkpSdT69kYQvPz4/vz4ZtVgO3EiH1rHCsajDARx7XTLjYK/3++3DxAhImvsHJOCCwWoyuenGRba&#10;nXlLp11sRBrhUKACE2NfSBlqQxbDyPXEyds7bzEm6RupPZ7TuO1knmVTabHlRDDY09JQfdgdbeLu&#10;V1v6p4tbr7xZ+LWd/Ax2otTryzD/AhFpiI/wvb3RCvL8PfuE2510BW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uxsMAAADeAAAADwAAAAAAAAAAAAAAAACYAgAAZHJzL2Rv&#10;d25yZXYueG1sUEsFBgAAAAAEAAQA9QAAAIgDAAAAAA==&#10;" path="m,l131952,e" filled="f" strokecolor="#5b9bd5" strokeweight=".38583mm">
                  <v:stroke endcap="round"/>
                  <v:path arrowok="t" textboxrect="0,0,131952,0"/>
                </v:shape>
                <v:rect id="Rectangle 22710" o:spid="_x0000_s1808" style="position:absolute;left:15677;top:27293;width:3286;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FMYA&#10;AADeAAAADwAAAGRycy9kb3ducmV2LnhtbESPy2qDQBSG94G+w3AK3cVRF200TkLoBbPMpZBmd3BO&#10;VeqcEWcabZ8+swhk+fPf+Ir1ZDpxocG1lhUkUQyCuLK65VrB5/FjvgDhPLLGzjIp+CMH69XDrMBc&#10;25H3dDn4WoQRdjkqaLzvcyld1ZBBF9meOHjfdjDogxxqqQccw7jpZBrHz9Jgy+GhwZ5eG6p+Dr9G&#10;QbnoN19b+z/W3fu5PO1O2dsx80o9PU6bJQhPk7+Hb+2tVpCmL0kACDgB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tFMYAAADeAAAADwAAAAAAAAAAAAAAAACYAgAAZHJz&#10;L2Rvd25yZXYueG1sUEsFBgAAAAAEAAQA9QAAAIsDAAAAAA==&#10;" filled="f" stroked="f">
                  <v:textbox inset="0,0,0,0">
                    <w:txbxContent>
                      <w:p w:rsidR="00EE13F6" w:rsidRDefault="002E5BC4">
                        <w:r>
                          <w:rPr>
                            <w:color w:val="585858"/>
                            <w:sz w:val="10"/>
                          </w:rPr>
                          <w:t>Rho=0,15</w:t>
                        </w:r>
                      </w:p>
                    </w:txbxContent>
                  </v:textbox>
                </v:rect>
                <v:shape id="Shape 22711" o:spid="_x0000_s1809" style="position:absolute;left:18994;top:27675;width:1319;height:0;visibility:visible;mso-wrap-style:square;v-text-anchor:top" coordsize="131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8UA&#10;AADeAAAADwAAAGRycy9kb3ducmV2LnhtbESPzWrDMBCE74G8g9hAb4lsQ5viRgmhUCiUpvl7gEXa&#10;2CbWylhbx3n7qlDocZiZb5jVZvStGqiPTWAD+SIDRWyDa7gycD69zZ9BRUF22AYmA3eKsFlPJyss&#10;XbjxgYajVCpBOJZooBbpSq2jrcljXISOOHmX0HuUJPtKux5vCe5bXWTZk/bYcFqosaPXmuz1+O0N&#10;OD9sHyu5h/POfsqX/dD7024w5mE2bl9ACY3yH/5rvzsDRbHMc/i9k6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DP7xQAAAN4AAAAPAAAAAAAAAAAAAAAAAJgCAABkcnMv&#10;ZG93bnJldi54bWxQSwUGAAAAAAQABAD1AAAAigMAAAAA&#10;" path="m,l131953,e" filled="f" strokecolor="#ed7d31" strokeweight=".38583mm">
                  <v:stroke endcap="round"/>
                  <v:path arrowok="t" textboxrect="0,0,131953,0"/>
                </v:shape>
                <v:rect id="Rectangle 22712" o:spid="_x0000_s1810" style="position:absolute;left:20439;top:27293;width:3285;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W+McA&#10;AADeAAAADwAAAGRycy9kb3ducmV2LnhtbESPS4vCQBCE78L+h6EXvOnEHHxER5FdRY8+FlxvTaY3&#10;CZvpCZnRRH+9Iwgei6r6ipotWlOKK9WusKxg0I9AEKdWF5wp+Dmue2MQziNrLC2Tghs5WMw/OjNM&#10;tG14T9eDz0SAsEtQQe59lUjp0pwMur6tiIP3Z2uDPsg6k7rGJsBNKeMoGkqDBYeFHCv6yin9P1yM&#10;gs24Wv5u7b3JytV5c9qdJt/HiVeq+9kupyA8tf4dfrW3WkEcjwYx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BlvjHAAAA3gAAAA8AAAAAAAAAAAAAAAAAmAIAAGRy&#10;cy9kb3ducmV2LnhtbFBLBQYAAAAABAAEAPUAAACMAwAAAAA=&#10;" filled="f" stroked="f">
                  <v:textbox inset="0,0,0,0">
                    <w:txbxContent>
                      <w:p w:rsidR="00EE13F6" w:rsidRDefault="002E5BC4">
                        <w:r>
                          <w:rPr>
                            <w:color w:val="585858"/>
                            <w:sz w:val="10"/>
                          </w:rPr>
                          <w:t>Rho=0,20</w:t>
                        </w:r>
                      </w:p>
                    </w:txbxContent>
                  </v:textbox>
                </v:rect>
                <v:shape id="Shape 22713" o:spid="_x0000_s1811" style="position:absolute;left:23716;top:27675;width:1320;height:0;visibility:visible;mso-wrap-style:square;v-text-anchor:top" coordsize="13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E88UA&#10;AADeAAAADwAAAGRycy9kb3ducmV2LnhtbESP0WrCQBRE3wv+w3IF3+omEWyNriKKIH1pq37ANXvN&#10;BrN3Y3aN8e+7hUIfh5k5wyxWva1FR62vHCtIxwkI4sLpiksFp+Pu9R2ED8gaa8ek4EkeVsvBywJz&#10;7R78Td0hlCJC2OeowITQ5FL6wpBFP3YNcfQurrUYomxLqVt8RLitZZYkU2mx4rhgsKGNoeJ6uNtI&#10;cempm02/iu32I9l8GnO/Pc+k1GjYr+cgAvXhP/zX3msFWfaWTuD3Tr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oTzxQAAAN4AAAAPAAAAAAAAAAAAAAAAAJgCAABkcnMv&#10;ZG93bnJldi54bWxQSwUGAAAAAAQABAD1AAAAigMAAAAA&#10;" path="m,l131952,e" filled="f" strokecolor="#a4a4a4" strokeweight=".38583mm">
                  <v:stroke endcap="round"/>
                  <v:path arrowok="t" textboxrect="0,0,131952,0"/>
                </v:shape>
                <v:rect id="Rectangle 22714" o:spid="_x0000_s1812" style="position:absolute;left:25200;top:27293;width:3286;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rF8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Ywv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qxfHAAAA3gAAAA8AAAAAAAAAAAAAAAAAmAIAAGRy&#10;cy9kb3ducmV2LnhtbFBLBQYAAAAABAAEAPUAAACMAwAAAAA=&#10;" filled="f" stroked="f">
                  <v:textbox inset="0,0,0,0">
                    <w:txbxContent>
                      <w:p w:rsidR="00EE13F6" w:rsidRDefault="002E5BC4">
                        <w:r>
                          <w:rPr>
                            <w:color w:val="585858"/>
                            <w:sz w:val="10"/>
                          </w:rPr>
                          <w:t>Rho=0,25</w:t>
                        </w:r>
                      </w:p>
                    </w:txbxContent>
                  </v:textbox>
                </v:rect>
                <v:shape id="Shape 22715" o:spid="_x0000_s1813" style="position:absolute;left:28508;top:27675;width:1320;height:0;visibility:visible;mso-wrap-style:square;v-text-anchor:top" coordsize="13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fFcgA&#10;AADeAAAADwAAAGRycy9kb3ducmV2LnhtbESPQWvCQBSE70L/w/IKvZS6MWiV1FVKS6Gol6ZKr4/s&#10;M4lm3y7ZVaO/3hUKHoeZ+YaZzjvTiCO1vrasYNBPQBAXVtdcKlj/fr1MQPiArLGxTArO5GE+e+hN&#10;MdP2xD90zEMpIoR9hgqqEFwmpS8qMuj71hFHb2tbgyHKtpS6xVOEm0amSfIqDdYcFyp09FFRsc8P&#10;RsHnaolLNxkt3PPmYIbjv0ug/U6pp8fu/Q1EoC7cw//tb60gTceDEdzux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6p8VyAAAAN4AAAAPAAAAAAAAAAAAAAAAAJgCAABk&#10;cnMvZG93bnJldi54bWxQSwUGAAAAAAQABAD1AAAAjQMAAAAA&#10;" path="m,l131952,e" filled="f" strokecolor="#ffc000" strokeweight=".38583mm">
                  <v:stroke endcap="round"/>
                  <v:path arrowok="t" textboxrect="0,0,131952,0"/>
                </v:shape>
                <v:rect id="Rectangle 22716" o:spid="_x0000_s1814" style="position:absolute;left:29962;top:27293;width:3285;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Q+8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EcD3p9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6kPvHAAAA3gAAAA8AAAAAAAAAAAAAAAAAmAIAAGRy&#10;cy9kb3ducmV2LnhtbFBLBQYAAAAABAAEAPUAAACMAwAAAAA=&#10;" filled="f" stroked="f">
                  <v:textbox inset="0,0,0,0">
                    <w:txbxContent>
                      <w:p w:rsidR="00EE13F6" w:rsidRDefault="002E5BC4">
                        <w:r>
                          <w:rPr>
                            <w:color w:val="585858"/>
                            <w:sz w:val="10"/>
                          </w:rPr>
                          <w:t>Rho=0,30</w:t>
                        </w:r>
                      </w:p>
                    </w:txbxContent>
                  </v:textbox>
                </v:rect>
                <v:shape id="Shape 22717" o:spid="_x0000_s1815" style="position:absolute;left:33231;top:27675;width:1389;height:0;visibility:visible;mso-wrap-style:square;v-text-anchor:top" coordsize="138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4+8gA&#10;AADeAAAADwAAAGRycy9kb3ducmV2LnhtbESPQWvCQBSE7wX/w/KE3urGlCYhdZUiFKTFQ9Mientk&#10;n0lo9m3Irpr017tCweMwM98wi9VgWnGm3jWWFcxnEQji0uqGKwU/3+9PGQjnkTW2lknBSA5Wy8nD&#10;AnNtL/xF58JXIkDY5aig9r7LpXRlTQbdzHbEwTva3qAPsq+k7vES4KaVcRQl0mDDYaHGjtY1lb/F&#10;ySg4RH/7dpslnHw28vn48rHebXejUo/T4e0VhKfB38P/7Y1WEMfpPIXbnXAF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MTj7yAAAAN4AAAAPAAAAAAAAAAAAAAAAAJgCAABk&#10;cnMvZG93bnJldi54bWxQSwUGAAAAAAQABAD1AAAAjQMAAAAA&#10;" path="m,l138897,e" filled="f" strokecolor="#4471c4" strokeweight=".38583mm">
                  <v:stroke endcap="round"/>
                  <v:path arrowok="t" textboxrect="0,0,138897,0"/>
                </v:shape>
                <v:rect id="Rectangle 22718" o:spid="_x0000_s1816" style="position:absolute;left:34723;top:27293;width:3285;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hEsUA&#10;AADeAAAADwAAAGRycy9kb3ducmV2LnhtbERPyW6DMBC9R+o/WFOpt2Dg0AaCE0VdRI5ZKqW5jfAU&#10;UPEYYTfQfn18iJTj09uL9WQ6caHBtZYVJFEMgriyuuVawefxY74A4Tyyxs4yKfgjB+vVw6zAXNuR&#10;93Q5+FqEEHY5Kmi873MpXdWQQRfZnjhw33Yw6AMcaqkHHEO46WQax8/SYMuhocGeXhuqfg6/RkG5&#10;6DdfW/s/1t37uTztTtnbMfNKPT1OmyUIT5O/i2/urVaQpi9J2BvuhCs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aESxQAAAN4AAAAPAAAAAAAAAAAAAAAAAJgCAABkcnMv&#10;ZG93bnJldi54bWxQSwUGAAAAAAQABAD1AAAAigMAAAAA&#10;" filled="f" stroked="f">
                  <v:textbox inset="0,0,0,0">
                    <w:txbxContent>
                      <w:p w:rsidR="00EE13F6" w:rsidRDefault="002E5BC4">
                        <w:r>
                          <w:rPr>
                            <w:color w:val="585858"/>
                            <w:sz w:val="10"/>
                          </w:rPr>
                          <w:t>Rho=0,35</w:t>
                        </w:r>
                      </w:p>
                    </w:txbxContent>
                  </v:textbox>
                </v:rect>
                <v:shape id="Shape 22719" o:spid="_x0000_s1817" style="position:absolute;width:51044;height:28821;visibility:visible;mso-wrap-style:square;v-text-anchor:top" coordsize="5104479,288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oo8cA&#10;AADeAAAADwAAAGRycy9kb3ducmV2LnhtbESPQUvDQBSE74L/YXmCF7GbhlZr7LaIKI2eTCuen9nn&#10;JjT7NuyuTfrvuwXB4zAz3zDL9Wg7cSAfWscKppMMBHHtdMtGwefu9XYBIkRkjZ1jUnCkAOvV5cUS&#10;C+0GruiwjUYkCIcCFTQx9oWUoW7IYpi4njh5P85bjEl6I7XHIcFtJ/Msu5MWW04LDfb03FC93/5a&#10;Bfsbb170x0a7t1n1XZZzg+9fg1LXV+PTI4hIY/wP/7VLrSDP76cPcL6TroBcn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baKPHAAAA3gAAAA8AAAAAAAAAAAAAAAAAmAIAAGRy&#10;cy9kb3ducmV2LnhtbFBLBQYAAAAABAAEAPUAAACMAwAAAAA=&#10;" path="m,l5104479,r,2882121l,2882121,,xe" filled="f" strokecolor="#d9d9d9" strokeweight=".19292mm">
                  <v:path arrowok="t" textboxrect="0,0,5104479,2882121"/>
                </v:shape>
                <w10:anchorlock/>
              </v:group>
            </w:pict>
          </mc:Fallback>
        </mc:AlternateContent>
      </w:r>
    </w:p>
    <w:p w:rsidR="00EE13F6" w:rsidRDefault="002E5BC4">
      <w:pPr>
        <w:spacing w:after="476" w:line="264" w:lineRule="auto"/>
        <w:ind w:left="-5" w:right="468" w:hanging="10"/>
        <w:jc w:val="both"/>
      </w:pPr>
      <w:r>
        <w:rPr>
          <w:rFonts w:ascii="Cambria" w:eastAsia="Cambria" w:hAnsi="Cambria" w:cs="Cambria"/>
        </w:rPr>
        <w:t>corporations located in countries with a higher tax rate will experience a higher drop in their theoretical equity share price than corporations located in countries with a lower tax rate. As for fixed capital structure, this should create some distortions</w:t>
      </w:r>
      <w:r>
        <w:rPr>
          <w:rFonts w:ascii="Cambria" w:eastAsia="Cambria" w:hAnsi="Cambria" w:cs="Cambria"/>
        </w:rPr>
        <w:t xml:space="preserve"> in the competitiveness of corporations </w:t>
      </w:r>
      <w:r>
        <w:rPr>
          <w:rFonts w:ascii="Cambria" w:eastAsia="Cambria" w:hAnsi="Cambria" w:cs="Cambria"/>
        </w:rPr>
        <w:lastRenderedPageBreak/>
        <w:t>depending upon their tax domiciliation in Europe. This effect would be stronger than for fixed capital structure.</w:t>
      </w:r>
    </w:p>
    <w:p w:rsidR="00EE13F6" w:rsidRDefault="002E5BC4">
      <w:pPr>
        <w:pStyle w:val="Heading2"/>
        <w:tabs>
          <w:tab w:val="center" w:pos="4305"/>
        </w:tabs>
        <w:spacing w:after="266" w:line="251" w:lineRule="auto"/>
        <w:ind w:left="-15" w:firstLine="0"/>
      </w:pPr>
      <w:r>
        <w:t>2.4</w:t>
      </w:r>
      <w:r>
        <w:tab/>
        <w:t>Consequences on The Volumes of Shares Available for Trading</w:t>
      </w:r>
    </w:p>
    <w:p w:rsidR="00EE13F6" w:rsidRDefault="002E5BC4">
      <w:pPr>
        <w:spacing w:after="135" w:line="264" w:lineRule="auto"/>
        <w:ind w:left="-5" w:right="468" w:hanging="10"/>
        <w:jc w:val="both"/>
      </w:pPr>
      <w:r>
        <w:rPr>
          <w:rFonts w:ascii="Cambria" w:eastAsia="Cambria" w:hAnsi="Cambria" w:cs="Cambria"/>
        </w:rPr>
        <w:t>As we saw previously, corporations aiming for an optimal capital structure and issuing fixed term corporate debt, should decrease their leverage ratio and issue more equity shares on the primary market at a lowered price.</w:t>
      </w:r>
    </w:p>
    <w:p w:rsidR="00EE13F6" w:rsidRDefault="002E5BC4">
      <w:pPr>
        <w:spacing w:after="135" w:line="264" w:lineRule="auto"/>
        <w:ind w:left="-5" w:right="468" w:hanging="10"/>
        <w:jc w:val="both"/>
      </w:pPr>
      <w:r>
        <w:rPr>
          <w:rFonts w:ascii="Cambria" w:eastAsia="Cambria" w:hAnsi="Cambria" w:cs="Cambria"/>
        </w:rPr>
        <w:t>Issuing debt is, in general the pr</w:t>
      </w:r>
      <w:r>
        <w:rPr>
          <w:rFonts w:ascii="Cambria" w:eastAsia="Cambria" w:hAnsi="Cambria" w:cs="Cambria"/>
        </w:rPr>
        <w:t>eferred way of raising capital for corporations as it is generally less expensive than issuing equity. Funding capital requirements through equity occurs in specific occasions, where the return on new equity issued is not guaranteed. Generally, this is the</w:t>
      </w:r>
      <w:r>
        <w:rPr>
          <w:rFonts w:ascii="Cambria" w:eastAsia="Cambria" w:hAnsi="Cambria" w:cs="Cambria"/>
        </w:rPr>
        <w:t xml:space="preserve"> case for merger and acquisitions, or creation of new business lines.</w:t>
      </w:r>
    </w:p>
    <w:p w:rsidR="00EE13F6" w:rsidRDefault="002E5BC4">
      <w:pPr>
        <w:spacing w:after="135" w:line="264" w:lineRule="auto"/>
        <w:ind w:left="-5" w:right="468" w:hanging="10"/>
        <w:jc w:val="both"/>
      </w:pPr>
      <w:r>
        <w:rPr>
          <w:rFonts w:ascii="Cambria" w:eastAsia="Cambria" w:hAnsi="Cambria" w:cs="Cambria"/>
        </w:rPr>
        <w:t>In such occasions, because of the price drop in share prices due to the FTT, corporations will have to issue more shares on the primary market to raise the same amount of capital.</w:t>
      </w:r>
    </w:p>
    <w:p w:rsidR="00EE13F6" w:rsidRDefault="002E5BC4">
      <w:pPr>
        <w:spacing w:after="135" w:line="264" w:lineRule="auto"/>
        <w:ind w:left="-5" w:right="468" w:hanging="10"/>
        <w:jc w:val="both"/>
      </w:pPr>
      <w:r>
        <w:rPr>
          <w:rFonts w:ascii="Cambria" w:eastAsia="Cambria" w:hAnsi="Cambria" w:cs="Cambria"/>
        </w:rPr>
        <w:t>Conseq</w:t>
      </w:r>
      <w:r>
        <w:rPr>
          <w:rFonts w:ascii="Cambria" w:eastAsia="Cambria" w:hAnsi="Cambria" w:cs="Cambria"/>
        </w:rPr>
        <w:t>uently, as a whole, an economy featuring a FTT should record, in the long run, a higher volume of equity shares. Everything else being equal, the total amount of shares available for trading (”the Float”) should increase.</w:t>
      </w:r>
    </w:p>
    <w:p w:rsidR="00EE13F6" w:rsidRDefault="002E5BC4">
      <w:pPr>
        <w:spacing w:after="0" w:line="264" w:lineRule="auto"/>
        <w:ind w:left="-5" w:right="468" w:hanging="10"/>
        <w:jc w:val="both"/>
      </w:pPr>
      <w:r>
        <w:rPr>
          <w:rFonts w:ascii="Cambria" w:eastAsia="Cambria" w:hAnsi="Cambria" w:cs="Cambria"/>
        </w:rPr>
        <w:t>Figure 8: Long Term Reaction of th</w:t>
      </w:r>
      <w:r>
        <w:rPr>
          <w:rFonts w:ascii="Cambria" w:eastAsia="Cambria" w:hAnsi="Cambria" w:cs="Cambria"/>
        </w:rPr>
        <w:t>e Expected Theoretical Share Price for an Optimal Capital Structure Depending Upon Spread and Corporate Tax Rate</w:t>
      </w:r>
    </w:p>
    <w:p w:rsidR="00EE13F6" w:rsidRDefault="002E5BC4">
      <w:pPr>
        <w:spacing w:after="695"/>
        <w:ind w:left="663"/>
      </w:pPr>
      <w:r>
        <w:rPr>
          <w:noProof/>
        </w:rPr>
        <mc:AlternateContent>
          <mc:Choice Requires="wpg">
            <w:drawing>
              <wp:inline distT="0" distB="0" distL="0" distR="0">
                <wp:extent cx="5104599" cy="2358629"/>
                <wp:effectExtent l="0" t="0" r="0" b="0"/>
                <wp:docPr id="211886" name="Group 211886"/>
                <wp:cNvGraphicFramePr/>
                <a:graphic xmlns:a="http://schemas.openxmlformats.org/drawingml/2006/main">
                  <a:graphicData uri="http://schemas.microsoft.com/office/word/2010/wordprocessingGroup">
                    <wpg:wgp>
                      <wpg:cNvGrpSpPr/>
                      <wpg:grpSpPr>
                        <a:xfrm>
                          <a:off x="0" y="0"/>
                          <a:ext cx="5104599" cy="2358629"/>
                          <a:chOff x="0" y="0"/>
                          <a:chExt cx="5104599" cy="2358629"/>
                        </a:xfrm>
                      </wpg:grpSpPr>
                      <wps:wsp>
                        <wps:cNvPr id="22747" name="Shape 22747"/>
                        <wps:cNvSpPr/>
                        <wps:spPr>
                          <a:xfrm>
                            <a:off x="200587" y="2088874"/>
                            <a:ext cx="4821010" cy="0"/>
                          </a:xfrm>
                          <a:custGeom>
                            <a:avLst/>
                            <a:gdLst/>
                            <a:ahLst/>
                            <a:cxnLst/>
                            <a:rect l="0" t="0" r="0" b="0"/>
                            <a:pathLst>
                              <a:path w="4821010">
                                <a:moveTo>
                                  <a:pt x="0" y="0"/>
                                </a:moveTo>
                                <a:lnTo>
                                  <a:pt x="4821010" y="0"/>
                                </a:lnTo>
                              </a:path>
                            </a:pathLst>
                          </a:custGeom>
                          <a:ln w="6917" cap="flat">
                            <a:round/>
                          </a:ln>
                        </wps:spPr>
                        <wps:style>
                          <a:lnRef idx="1">
                            <a:srgbClr val="D9D9D9"/>
                          </a:lnRef>
                          <a:fillRef idx="0">
                            <a:srgbClr val="000000">
                              <a:alpha val="0"/>
                            </a:srgbClr>
                          </a:fillRef>
                          <a:effectRef idx="0">
                            <a:scrgbClr r="0" g="0" b="0"/>
                          </a:effectRef>
                          <a:fontRef idx="none"/>
                        </wps:style>
                        <wps:bodyPr/>
                      </wps:wsp>
                      <wps:wsp>
                        <wps:cNvPr id="22748" name="Shape 22748"/>
                        <wps:cNvSpPr/>
                        <wps:spPr>
                          <a:xfrm>
                            <a:off x="200587" y="1929788"/>
                            <a:ext cx="4821010" cy="0"/>
                          </a:xfrm>
                          <a:custGeom>
                            <a:avLst/>
                            <a:gdLst/>
                            <a:ahLst/>
                            <a:cxnLst/>
                            <a:rect l="0" t="0" r="0" b="0"/>
                            <a:pathLst>
                              <a:path w="4821010">
                                <a:moveTo>
                                  <a:pt x="0" y="0"/>
                                </a:moveTo>
                                <a:lnTo>
                                  <a:pt x="4821010" y="0"/>
                                </a:lnTo>
                              </a:path>
                            </a:pathLst>
                          </a:custGeom>
                          <a:ln w="6917" cap="flat">
                            <a:round/>
                          </a:ln>
                        </wps:spPr>
                        <wps:style>
                          <a:lnRef idx="1">
                            <a:srgbClr val="D9D9D9"/>
                          </a:lnRef>
                          <a:fillRef idx="0">
                            <a:srgbClr val="000000">
                              <a:alpha val="0"/>
                            </a:srgbClr>
                          </a:fillRef>
                          <a:effectRef idx="0">
                            <a:scrgbClr r="0" g="0" b="0"/>
                          </a:effectRef>
                          <a:fontRef idx="none"/>
                        </wps:style>
                        <wps:bodyPr/>
                      </wps:wsp>
                      <wps:wsp>
                        <wps:cNvPr id="22749" name="Shape 22749"/>
                        <wps:cNvSpPr/>
                        <wps:spPr>
                          <a:xfrm>
                            <a:off x="200587" y="1770701"/>
                            <a:ext cx="4821010" cy="0"/>
                          </a:xfrm>
                          <a:custGeom>
                            <a:avLst/>
                            <a:gdLst/>
                            <a:ahLst/>
                            <a:cxnLst/>
                            <a:rect l="0" t="0" r="0" b="0"/>
                            <a:pathLst>
                              <a:path w="4821010">
                                <a:moveTo>
                                  <a:pt x="0" y="0"/>
                                </a:moveTo>
                                <a:lnTo>
                                  <a:pt x="4821010" y="0"/>
                                </a:lnTo>
                              </a:path>
                            </a:pathLst>
                          </a:custGeom>
                          <a:ln w="6917" cap="flat">
                            <a:round/>
                          </a:ln>
                        </wps:spPr>
                        <wps:style>
                          <a:lnRef idx="1">
                            <a:srgbClr val="D9D9D9"/>
                          </a:lnRef>
                          <a:fillRef idx="0">
                            <a:srgbClr val="000000">
                              <a:alpha val="0"/>
                            </a:srgbClr>
                          </a:fillRef>
                          <a:effectRef idx="0">
                            <a:scrgbClr r="0" g="0" b="0"/>
                          </a:effectRef>
                          <a:fontRef idx="none"/>
                        </wps:style>
                        <wps:bodyPr/>
                      </wps:wsp>
                      <wps:wsp>
                        <wps:cNvPr id="22750" name="Shape 22750"/>
                        <wps:cNvSpPr/>
                        <wps:spPr>
                          <a:xfrm>
                            <a:off x="200587" y="1618531"/>
                            <a:ext cx="4821010" cy="0"/>
                          </a:xfrm>
                          <a:custGeom>
                            <a:avLst/>
                            <a:gdLst/>
                            <a:ahLst/>
                            <a:cxnLst/>
                            <a:rect l="0" t="0" r="0" b="0"/>
                            <a:pathLst>
                              <a:path w="4821010">
                                <a:moveTo>
                                  <a:pt x="0" y="0"/>
                                </a:moveTo>
                                <a:lnTo>
                                  <a:pt x="4821010" y="0"/>
                                </a:lnTo>
                              </a:path>
                            </a:pathLst>
                          </a:custGeom>
                          <a:ln w="6917" cap="flat">
                            <a:round/>
                          </a:ln>
                        </wps:spPr>
                        <wps:style>
                          <a:lnRef idx="1">
                            <a:srgbClr val="D9D9D9"/>
                          </a:lnRef>
                          <a:fillRef idx="0">
                            <a:srgbClr val="000000">
                              <a:alpha val="0"/>
                            </a:srgbClr>
                          </a:fillRef>
                          <a:effectRef idx="0">
                            <a:scrgbClr r="0" g="0" b="0"/>
                          </a:effectRef>
                          <a:fontRef idx="none"/>
                        </wps:style>
                        <wps:bodyPr/>
                      </wps:wsp>
                      <wps:wsp>
                        <wps:cNvPr id="22751" name="Shape 22751"/>
                        <wps:cNvSpPr/>
                        <wps:spPr>
                          <a:xfrm>
                            <a:off x="200587" y="1459445"/>
                            <a:ext cx="4821010" cy="0"/>
                          </a:xfrm>
                          <a:custGeom>
                            <a:avLst/>
                            <a:gdLst/>
                            <a:ahLst/>
                            <a:cxnLst/>
                            <a:rect l="0" t="0" r="0" b="0"/>
                            <a:pathLst>
                              <a:path w="4821010">
                                <a:moveTo>
                                  <a:pt x="0" y="0"/>
                                </a:moveTo>
                                <a:lnTo>
                                  <a:pt x="4821010" y="0"/>
                                </a:lnTo>
                              </a:path>
                            </a:pathLst>
                          </a:custGeom>
                          <a:ln w="6917" cap="flat">
                            <a:round/>
                          </a:ln>
                        </wps:spPr>
                        <wps:style>
                          <a:lnRef idx="1">
                            <a:srgbClr val="D9D9D9"/>
                          </a:lnRef>
                          <a:fillRef idx="0">
                            <a:srgbClr val="000000">
                              <a:alpha val="0"/>
                            </a:srgbClr>
                          </a:fillRef>
                          <a:effectRef idx="0">
                            <a:scrgbClr r="0" g="0" b="0"/>
                          </a:effectRef>
                          <a:fontRef idx="none"/>
                        </wps:style>
                        <wps:bodyPr/>
                      </wps:wsp>
                      <wps:wsp>
                        <wps:cNvPr id="22752" name="Shape 22752"/>
                        <wps:cNvSpPr/>
                        <wps:spPr>
                          <a:xfrm>
                            <a:off x="200587" y="1300358"/>
                            <a:ext cx="4821010" cy="0"/>
                          </a:xfrm>
                          <a:custGeom>
                            <a:avLst/>
                            <a:gdLst/>
                            <a:ahLst/>
                            <a:cxnLst/>
                            <a:rect l="0" t="0" r="0" b="0"/>
                            <a:pathLst>
                              <a:path w="4821010">
                                <a:moveTo>
                                  <a:pt x="0" y="0"/>
                                </a:moveTo>
                                <a:lnTo>
                                  <a:pt x="4821010" y="0"/>
                                </a:lnTo>
                              </a:path>
                            </a:pathLst>
                          </a:custGeom>
                          <a:ln w="6917" cap="flat">
                            <a:round/>
                          </a:ln>
                        </wps:spPr>
                        <wps:style>
                          <a:lnRef idx="1">
                            <a:srgbClr val="D9D9D9"/>
                          </a:lnRef>
                          <a:fillRef idx="0">
                            <a:srgbClr val="000000">
                              <a:alpha val="0"/>
                            </a:srgbClr>
                          </a:fillRef>
                          <a:effectRef idx="0">
                            <a:scrgbClr r="0" g="0" b="0"/>
                          </a:effectRef>
                          <a:fontRef idx="none"/>
                        </wps:style>
                        <wps:bodyPr/>
                      </wps:wsp>
                      <wps:wsp>
                        <wps:cNvPr id="22753" name="Shape 22753"/>
                        <wps:cNvSpPr/>
                        <wps:spPr>
                          <a:xfrm>
                            <a:off x="200587" y="1148189"/>
                            <a:ext cx="4821010" cy="0"/>
                          </a:xfrm>
                          <a:custGeom>
                            <a:avLst/>
                            <a:gdLst/>
                            <a:ahLst/>
                            <a:cxnLst/>
                            <a:rect l="0" t="0" r="0" b="0"/>
                            <a:pathLst>
                              <a:path w="4821010">
                                <a:moveTo>
                                  <a:pt x="0" y="0"/>
                                </a:moveTo>
                                <a:lnTo>
                                  <a:pt x="4821010" y="0"/>
                                </a:lnTo>
                              </a:path>
                            </a:pathLst>
                          </a:custGeom>
                          <a:ln w="6917" cap="flat">
                            <a:round/>
                          </a:ln>
                        </wps:spPr>
                        <wps:style>
                          <a:lnRef idx="1">
                            <a:srgbClr val="D9D9D9"/>
                          </a:lnRef>
                          <a:fillRef idx="0">
                            <a:srgbClr val="000000">
                              <a:alpha val="0"/>
                            </a:srgbClr>
                          </a:fillRef>
                          <a:effectRef idx="0">
                            <a:scrgbClr r="0" g="0" b="0"/>
                          </a:effectRef>
                          <a:fontRef idx="none"/>
                        </wps:style>
                        <wps:bodyPr/>
                      </wps:wsp>
                      <wps:wsp>
                        <wps:cNvPr id="22754" name="Shape 22754"/>
                        <wps:cNvSpPr/>
                        <wps:spPr>
                          <a:xfrm>
                            <a:off x="200587" y="989102"/>
                            <a:ext cx="4821010" cy="0"/>
                          </a:xfrm>
                          <a:custGeom>
                            <a:avLst/>
                            <a:gdLst/>
                            <a:ahLst/>
                            <a:cxnLst/>
                            <a:rect l="0" t="0" r="0" b="0"/>
                            <a:pathLst>
                              <a:path w="4821010">
                                <a:moveTo>
                                  <a:pt x="0" y="0"/>
                                </a:moveTo>
                                <a:lnTo>
                                  <a:pt x="4821010" y="0"/>
                                </a:lnTo>
                              </a:path>
                            </a:pathLst>
                          </a:custGeom>
                          <a:ln w="6917" cap="flat">
                            <a:round/>
                          </a:ln>
                        </wps:spPr>
                        <wps:style>
                          <a:lnRef idx="1">
                            <a:srgbClr val="D9D9D9"/>
                          </a:lnRef>
                          <a:fillRef idx="0">
                            <a:srgbClr val="000000">
                              <a:alpha val="0"/>
                            </a:srgbClr>
                          </a:fillRef>
                          <a:effectRef idx="0">
                            <a:scrgbClr r="0" g="0" b="0"/>
                          </a:effectRef>
                          <a:fontRef idx="none"/>
                        </wps:style>
                        <wps:bodyPr/>
                      </wps:wsp>
                      <wps:wsp>
                        <wps:cNvPr id="22755" name="Shape 22755"/>
                        <wps:cNvSpPr/>
                        <wps:spPr>
                          <a:xfrm>
                            <a:off x="200587" y="836933"/>
                            <a:ext cx="4821010" cy="0"/>
                          </a:xfrm>
                          <a:custGeom>
                            <a:avLst/>
                            <a:gdLst/>
                            <a:ahLst/>
                            <a:cxnLst/>
                            <a:rect l="0" t="0" r="0" b="0"/>
                            <a:pathLst>
                              <a:path w="4821010">
                                <a:moveTo>
                                  <a:pt x="0" y="0"/>
                                </a:moveTo>
                                <a:lnTo>
                                  <a:pt x="4821010" y="0"/>
                                </a:lnTo>
                              </a:path>
                            </a:pathLst>
                          </a:custGeom>
                          <a:ln w="6917" cap="flat">
                            <a:round/>
                          </a:ln>
                        </wps:spPr>
                        <wps:style>
                          <a:lnRef idx="1">
                            <a:srgbClr val="D9D9D9"/>
                          </a:lnRef>
                          <a:fillRef idx="0">
                            <a:srgbClr val="000000">
                              <a:alpha val="0"/>
                            </a:srgbClr>
                          </a:fillRef>
                          <a:effectRef idx="0">
                            <a:scrgbClr r="0" g="0" b="0"/>
                          </a:effectRef>
                          <a:fontRef idx="none"/>
                        </wps:style>
                        <wps:bodyPr/>
                      </wps:wsp>
                      <wps:wsp>
                        <wps:cNvPr id="22756" name="Shape 22756"/>
                        <wps:cNvSpPr/>
                        <wps:spPr>
                          <a:xfrm>
                            <a:off x="200587" y="677846"/>
                            <a:ext cx="4821010" cy="0"/>
                          </a:xfrm>
                          <a:custGeom>
                            <a:avLst/>
                            <a:gdLst/>
                            <a:ahLst/>
                            <a:cxnLst/>
                            <a:rect l="0" t="0" r="0" b="0"/>
                            <a:pathLst>
                              <a:path w="4821010">
                                <a:moveTo>
                                  <a:pt x="0" y="0"/>
                                </a:moveTo>
                                <a:lnTo>
                                  <a:pt x="4821010" y="0"/>
                                </a:lnTo>
                              </a:path>
                            </a:pathLst>
                          </a:custGeom>
                          <a:ln w="6917" cap="flat">
                            <a:round/>
                          </a:ln>
                        </wps:spPr>
                        <wps:style>
                          <a:lnRef idx="1">
                            <a:srgbClr val="D9D9D9"/>
                          </a:lnRef>
                          <a:fillRef idx="0">
                            <a:srgbClr val="000000">
                              <a:alpha val="0"/>
                            </a:srgbClr>
                          </a:fillRef>
                          <a:effectRef idx="0">
                            <a:scrgbClr r="0" g="0" b="0"/>
                          </a:effectRef>
                          <a:fontRef idx="none"/>
                        </wps:style>
                        <wps:bodyPr/>
                      </wps:wsp>
                      <wps:wsp>
                        <wps:cNvPr id="22757" name="Shape 22757"/>
                        <wps:cNvSpPr/>
                        <wps:spPr>
                          <a:xfrm>
                            <a:off x="200587" y="518760"/>
                            <a:ext cx="4821010" cy="1"/>
                          </a:xfrm>
                          <a:custGeom>
                            <a:avLst/>
                            <a:gdLst/>
                            <a:ahLst/>
                            <a:cxnLst/>
                            <a:rect l="0" t="0" r="0" b="0"/>
                            <a:pathLst>
                              <a:path w="4821010" h="1">
                                <a:moveTo>
                                  <a:pt x="0" y="0"/>
                                </a:moveTo>
                                <a:lnTo>
                                  <a:pt x="4821010" y="1"/>
                                </a:lnTo>
                              </a:path>
                            </a:pathLst>
                          </a:custGeom>
                          <a:ln w="6917" cap="flat">
                            <a:round/>
                          </a:ln>
                        </wps:spPr>
                        <wps:style>
                          <a:lnRef idx="1">
                            <a:srgbClr val="D9D9D9"/>
                          </a:lnRef>
                          <a:fillRef idx="0">
                            <a:srgbClr val="000000">
                              <a:alpha val="0"/>
                            </a:srgbClr>
                          </a:fillRef>
                          <a:effectRef idx="0">
                            <a:scrgbClr r="0" g="0" b="0"/>
                          </a:effectRef>
                          <a:fontRef idx="none"/>
                        </wps:style>
                        <wps:bodyPr/>
                      </wps:wsp>
                      <wps:wsp>
                        <wps:cNvPr id="22758" name="Shape 22758"/>
                        <wps:cNvSpPr/>
                        <wps:spPr>
                          <a:xfrm>
                            <a:off x="501468" y="577553"/>
                            <a:ext cx="4212332" cy="484176"/>
                          </a:xfrm>
                          <a:custGeom>
                            <a:avLst/>
                            <a:gdLst/>
                            <a:ahLst/>
                            <a:cxnLst/>
                            <a:rect l="0" t="0" r="0" b="0"/>
                            <a:pathLst>
                              <a:path w="4212332" h="484176">
                                <a:moveTo>
                                  <a:pt x="0" y="0"/>
                                </a:moveTo>
                                <a:lnTo>
                                  <a:pt x="601762" y="48418"/>
                                </a:lnTo>
                                <a:lnTo>
                                  <a:pt x="1203523" y="103752"/>
                                </a:lnTo>
                                <a:lnTo>
                                  <a:pt x="1805285" y="166003"/>
                                </a:lnTo>
                                <a:lnTo>
                                  <a:pt x="2407047" y="242088"/>
                                </a:lnTo>
                                <a:lnTo>
                                  <a:pt x="3008809" y="318173"/>
                                </a:lnTo>
                                <a:lnTo>
                                  <a:pt x="3610570" y="394258"/>
                                </a:lnTo>
                                <a:lnTo>
                                  <a:pt x="4212332" y="484176"/>
                                </a:lnTo>
                              </a:path>
                            </a:pathLst>
                          </a:custGeom>
                          <a:ln w="13834" cap="rnd">
                            <a:round/>
                          </a:ln>
                        </wps:spPr>
                        <wps:style>
                          <a:lnRef idx="1">
                            <a:srgbClr val="5B9BD5"/>
                          </a:lnRef>
                          <a:fillRef idx="0">
                            <a:srgbClr val="000000">
                              <a:alpha val="0"/>
                            </a:srgbClr>
                          </a:fillRef>
                          <a:effectRef idx="0">
                            <a:scrgbClr r="0" g="0" b="0"/>
                          </a:effectRef>
                          <a:fontRef idx="none"/>
                        </wps:style>
                        <wps:bodyPr/>
                      </wps:wsp>
                      <wps:wsp>
                        <wps:cNvPr id="22759" name="Shape 22759"/>
                        <wps:cNvSpPr/>
                        <wps:spPr>
                          <a:xfrm>
                            <a:off x="501468" y="625970"/>
                            <a:ext cx="4212332" cy="705514"/>
                          </a:xfrm>
                          <a:custGeom>
                            <a:avLst/>
                            <a:gdLst/>
                            <a:ahLst/>
                            <a:cxnLst/>
                            <a:rect l="0" t="0" r="0" b="0"/>
                            <a:pathLst>
                              <a:path w="4212332" h="705514">
                                <a:moveTo>
                                  <a:pt x="0" y="0"/>
                                </a:moveTo>
                                <a:lnTo>
                                  <a:pt x="601762" y="76085"/>
                                </a:lnTo>
                                <a:lnTo>
                                  <a:pt x="1203523" y="166003"/>
                                </a:lnTo>
                                <a:lnTo>
                                  <a:pt x="1805285" y="262838"/>
                                </a:lnTo>
                                <a:lnTo>
                                  <a:pt x="2407047" y="373507"/>
                                </a:lnTo>
                                <a:lnTo>
                                  <a:pt x="3008809" y="477259"/>
                                </a:lnTo>
                                <a:lnTo>
                                  <a:pt x="3610570" y="594845"/>
                                </a:lnTo>
                                <a:lnTo>
                                  <a:pt x="4212332" y="705514"/>
                                </a:lnTo>
                              </a:path>
                            </a:pathLst>
                          </a:custGeom>
                          <a:ln w="13834" cap="rnd">
                            <a:round/>
                          </a:ln>
                        </wps:spPr>
                        <wps:style>
                          <a:lnRef idx="1">
                            <a:srgbClr val="ED7D31"/>
                          </a:lnRef>
                          <a:fillRef idx="0">
                            <a:srgbClr val="000000">
                              <a:alpha val="0"/>
                            </a:srgbClr>
                          </a:fillRef>
                          <a:effectRef idx="0">
                            <a:scrgbClr r="0" g="0" b="0"/>
                          </a:effectRef>
                          <a:fontRef idx="none"/>
                        </wps:style>
                        <wps:bodyPr/>
                      </wps:wsp>
                      <wps:wsp>
                        <wps:cNvPr id="22760" name="Shape 22760"/>
                        <wps:cNvSpPr/>
                        <wps:spPr>
                          <a:xfrm>
                            <a:off x="501468" y="681305"/>
                            <a:ext cx="4212332" cy="906101"/>
                          </a:xfrm>
                          <a:custGeom>
                            <a:avLst/>
                            <a:gdLst/>
                            <a:ahLst/>
                            <a:cxnLst/>
                            <a:rect l="0" t="0" r="0" b="0"/>
                            <a:pathLst>
                              <a:path w="4212332" h="906101">
                                <a:moveTo>
                                  <a:pt x="0" y="0"/>
                                </a:moveTo>
                                <a:lnTo>
                                  <a:pt x="601762" y="110669"/>
                                </a:lnTo>
                                <a:lnTo>
                                  <a:pt x="1203523" y="228254"/>
                                </a:lnTo>
                                <a:lnTo>
                                  <a:pt x="1805285" y="359674"/>
                                </a:lnTo>
                                <a:lnTo>
                                  <a:pt x="2407047" y="498010"/>
                                </a:lnTo>
                                <a:lnTo>
                                  <a:pt x="3008809" y="636346"/>
                                </a:lnTo>
                                <a:lnTo>
                                  <a:pt x="3610570" y="774682"/>
                                </a:lnTo>
                                <a:lnTo>
                                  <a:pt x="4212332" y="906101"/>
                                </a:lnTo>
                              </a:path>
                            </a:pathLst>
                          </a:custGeom>
                          <a:ln w="13834" cap="rnd">
                            <a:round/>
                          </a:ln>
                        </wps:spPr>
                        <wps:style>
                          <a:lnRef idx="1">
                            <a:srgbClr val="A4A4A4"/>
                          </a:lnRef>
                          <a:fillRef idx="0">
                            <a:srgbClr val="000000">
                              <a:alpha val="0"/>
                            </a:srgbClr>
                          </a:fillRef>
                          <a:effectRef idx="0">
                            <a:scrgbClr r="0" g="0" b="0"/>
                          </a:effectRef>
                          <a:fontRef idx="none"/>
                        </wps:style>
                        <wps:bodyPr/>
                      </wps:wsp>
                      <wps:wsp>
                        <wps:cNvPr id="22761" name="Shape 22761"/>
                        <wps:cNvSpPr/>
                        <wps:spPr>
                          <a:xfrm>
                            <a:off x="501468" y="743556"/>
                            <a:ext cx="4212332" cy="1065187"/>
                          </a:xfrm>
                          <a:custGeom>
                            <a:avLst/>
                            <a:gdLst/>
                            <a:ahLst/>
                            <a:cxnLst/>
                            <a:rect l="0" t="0" r="0" b="0"/>
                            <a:pathLst>
                              <a:path w="4212332" h="1065187">
                                <a:moveTo>
                                  <a:pt x="0" y="0"/>
                                </a:moveTo>
                                <a:lnTo>
                                  <a:pt x="601762" y="145253"/>
                                </a:lnTo>
                                <a:lnTo>
                                  <a:pt x="1203523" y="297422"/>
                                </a:lnTo>
                                <a:lnTo>
                                  <a:pt x="1805285" y="456509"/>
                                </a:lnTo>
                                <a:lnTo>
                                  <a:pt x="2407047" y="622512"/>
                                </a:lnTo>
                                <a:lnTo>
                                  <a:pt x="3008809" y="774682"/>
                                </a:lnTo>
                                <a:lnTo>
                                  <a:pt x="3610570" y="926851"/>
                                </a:lnTo>
                                <a:lnTo>
                                  <a:pt x="4212332" y="1065187"/>
                                </a:lnTo>
                              </a:path>
                            </a:pathLst>
                          </a:custGeom>
                          <a:ln w="13834" cap="rnd">
                            <a:round/>
                          </a:ln>
                        </wps:spPr>
                        <wps:style>
                          <a:lnRef idx="1">
                            <a:srgbClr val="FFC000"/>
                          </a:lnRef>
                          <a:fillRef idx="0">
                            <a:srgbClr val="000000">
                              <a:alpha val="0"/>
                            </a:srgbClr>
                          </a:fillRef>
                          <a:effectRef idx="0">
                            <a:scrgbClr r="0" g="0" b="0"/>
                          </a:effectRef>
                          <a:fontRef idx="none"/>
                        </wps:style>
                        <wps:bodyPr/>
                      </wps:wsp>
                      <wps:wsp>
                        <wps:cNvPr id="22762" name="Shape 22762"/>
                        <wps:cNvSpPr/>
                        <wps:spPr>
                          <a:xfrm>
                            <a:off x="501468" y="812724"/>
                            <a:ext cx="4212332" cy="1182773"/>
                          </a:xfrm>
                          <a:custGeom>
                            <a:avLst/>
                            <a:gdLst/>
                            <a:ahLst/>
                            <a:cxnLst/>
                            <a:rect l="0" t="0" r="0" b="0"/>
                            <a:pathLst>
                              <a:path w="4212332" h="1182773">
                                <a:moveTo>
                                  <a:pt x="0" y="0"/>
                                </a:moveTo>
                                <a:lnTo>
                                  <a:pt x="601762" y="172920"/>
                                </a:lnTo>
                                <a:lnTo>
                                  <a:pt x="1203523" y="352757"/>
                                </a:lnTo>
                                <a:lnTo>
                                  <a:pt x="1805285" y="539511"/>
                                </a:lnTo>
                                <a:lnTo>
                                  <a:pt x="2407047" y="719347"/>
                                </a:lnTo>
                                <a:lnTo>
                                  <a:pt x="3008809" y="885350"/>
                                </a:lnTo>
                                <a:lnTo>
                                  <a:pt x="3610570" y="1044437"/>
                                </a:lnTo>
                                <a:lnTo>
                                  <a:pt x="4212332" y="1182773"/>
                                </a:lnTo>
                              </a:path>
                            </a:pathLst>
                          </a:custGeom>
                          <a:ln w="13834" cap="rnd">
                            <a:round/>
                          </a:ln>
                        </wps:spPr>
                        <wps:style>
                          <a:lnRef idx="1">
                            <a:srgbClr val="4471C4"/>
                          </a:lnRef>
                          <a:fillRef idx="0">
                            <a:srgbClr val="000000">
                              <a:alpha val="0"/>
                            </a:srgbClr>
                          </a:fillRef>
                          <a:effectRef idx="0">
                            <a:scrgbClr r="0" g="0" b="0"/>
                          </a:effectRef>
                          <a:fontRef idx="none"/>
                        </wps:style>
                        <wps:bodyPr/>
                      </wps:wsp>
                      <wps:wsp>
                        <wps:cNvPr id="22763" name="Rectangle 22763"/>
                        <wps:cNvSpPr/>
                        <wps:spPr>
                          <a:xfrm>
                            <a:off x="86460" y="2050364"/>
                            <a:ext cx="27570" cy="91688"/>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64" name="Rectangle 22764"/>
                        <wps:cNvSpPr/>
                        <wps:spPr>
                          <a:xfrm>
                            <a:off x="107210" y="2050364"/>
                            <a:ext cx="41397" cy="91688"/>
                          </a:xfrm>
                          <a:prstGeom prst="rect">
                            <a:avLst/>
                          </a:prstGeom>
                          <a:ln>
                            <a:noFill/>
                          </a:ln>
                        </wps:spPr>
                        <wps:txbx>
                          <w:txbxContent>
                            <w:p w:rsidR="00EE13F6" w:rsidRDefault="002E5BC4">
                              <w:r>
                                <w:rPr>
                                  <w:rFonts w:ascii="Times New Roman" w:eastAsia="Times New Roman" w:hAnsi="Times New Roman" w:cs="Times New Roman"/>
                                  <w:color w:val="585858"/>
                                  <w:sz w:val="10"/>
                                </w:rPr>
                                <w:t>5</w:t>
                              </w:r>
                            </w:p>
                          </w:txbxContent>
                        </wps:txbx>
                        <wps:bodyPr horzOverflow="overflow" vert="horz" lIns="0" tIns="0" rIns="0" bIns="0" rtlCol="0">
                          <a:noAutofit/>
                        </wps:bodyPr>
                      </wps:wsp>
                      <wps:wsp>
                        <wps:cNvPr id="22765" name="Rectangle 22765"/>
                        <wps:cNvSpPr/>
                        <wps:spPr>
                          <a:xfrm>
                            <a:off x="42365" y="1893798"/>
                            <a:ext cx="27570" cy="91688"/>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66" name="Rectangle 22766"/>
                        <wps:cNvSpPr/>
                        <wps:spPr>
                          <a:xfrm>
                            <a:off x="63116" y="1893798"/>
                            <a:ext cx="41397" cy="91688"/>
                          </a:xfrm>
                          <a:prstGeom prst="rect">
                            <a:avLst/>
                          </a:prstGeom>
                          <a:ln>
                            <a:noFill/>
                          </a:ln>
                        </wps:spPr>
                        <wps:txbx>
                          <w:txbxContent>
                            <w:p w:rsidR="00EE13F6" w:rsidRDefault="002E5BC4">
                              <w:r>
                                <w:rPr>
                                  <w:rFonts w:ascii="Times New Roman" w:eastAsia="Times New Roman" w:hAnsi="Times New Roman" w:cs="Times New Roman"/>
                                  <w:color w:val="585858"/>
                                  <w:sz w:val="10"/>
                                </w:rPr>
                                <w:t>4</w:t>
                              </w:r>
                            </w:p>
                          </w:txbxContent>
                        </wps:txbx>
                        <wps:bodyPr horzOverflow="overflow" vert="horz" lIns="0" tIns="0" rIns="0" bIns="0" rtlCol="0">
                          <a:noAutofit/>
                        </wps:bodyPr>
                      </wps:wsp>
                      <wps:wsp>
                        <wps:cNvPr id="22767" name="Rectangle 22767"/>
                        <wps:cNvSpPr/>
                        <wps:spPr>
                          <a:xfrm>
                            <a:off x="97700" y="1893798"/>
                            <a:ext cx="20699" cy="91688"/>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68" name="Rectangle 22768"/>
                        <wps:cNvSpPr/>
                        <wps:spPr>
                          <a:xfrm>
                            <a:off x="111533" y="1893798"/>
                            <a:ext cx="41397" cy="91688"/>
                          </a:xfrm>
                          <a:prstGeom prst="rect">
                            <a:avLst/>
                          </a:prstGeom>
                          <a:ln>
                            <a:noFill/>
                          </a:ln>
                        </wps:spPr>
                        <wps:txbx>
                          <w:txbxContent>
                            <w:p w:rsidR="00EE13F6" w:rsidRDefault="002E5BC4">
                              <w:r>
                                <w:rPr>
                                  <w:rFonts w:ascii="Times New Roman" w:eastAsia="Times New Roman" w:hAnsi="Times New Roman" w:cs="Times New Roman"/>
                                  <w:color w:val="585858"/>
                                  <w:sz w:val="10"/>
                                </w:rPr>
                                <w:t>5</w:t>
                              </w:r>
                            </w:p>
                          </w:txbxContent>
                        </wps:txbx>
                        <wps:bodyPr horzOverflow="overflow" vert="horz" lIns="0" tIns="0" rIns="0" bIns="0" rtlCol="0">
                          <a:noAutofit/>
                        </wps:bodyPr>
                      </wps:wsp>
                      <wps:wsp>
                        <wps:cNvPr id="22769" name="Rectangle 22769"/>
                        <wps:cNvSpPr/>
                        <wps:spPr>
                          <a:xfrm>
                            <a:off x="86460" y="1737233"/>
                            <a:ext cx="27570" cy="91688"/>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70" name="Rectangle 22770"/>
                        <wps:cNvSpPr/>
                        <wps:spPr>
                          <a:xfrm>
                            <a:off x="107210" y="1737233"/>
                            <a:ext cx="41397" cy="91688"/>
                          </a:xfrm>
                          <a:prstGeom prst="rect">
                            <a:avLst/>
                          </a:prstGeom>
                          <a:ln>
                            <a:noFill/>
                          </a:ln>
                        </wps:spPr>
                        <wps:txbx>
                          <w:txbxContent>
                            <w:p w:rsidR="00EE13F6" w:rsidRDefault="002E5BC4">
                              <w:r>
                                <w:rPr>
                                  <w:rFonts w:ascii="Times New Roman" w:eastAsia="Times New Roman" w:hAnsi="Times New Roman" w:cs="Times New Roman"/>
                                  <w:color w:val="585858"/>
                                  <w:sz w:val="10"/>
                                </w:rPr>
                                <w:t>4</w:t>
                              </w:r>
                            </w:p>
                          </w:txbxContent>
                        </wps:txbx>
                        <wps:bodyPr horzOverflow="overflow" vert="horz" lIns="0" tIns="0" rIns="0" bIns="0" rtlCol="0">
                          <a:noAutofit/>
                        </wps:bodyPr>
                      </wps:wsp>
                      <wps:wsp>
                        <wps:cNvPr id="22771" name="Rectangle 22771"/>
                        <wps:cNvSpPr/>
                        <wps:spPr>
                          <a:xfrm>
                            <a:off x="42365" y="1580668"/>
                            <a:ext cx="27570" cy="91689"/>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72" name="Rectangle 22772"/>
                        <wps:cNvSpPr/>
                        <wps:spPr>
                          <a:xfrm>
                            <a:off x="63116" y="1580668"/>
                            <a:ext cx="41397" cy="91689"/>
                          </a:xfrm>
                          <a:prstGeom prst="rect">
                            <a:avLst/>
                          </a:prstGeom>
                          <a:ln>
                            <a:noFill/>
                          </a:ln>
                        </wps:spPr>
                        <wps:txbx>
                          <w:txbxContent>
                            <w:p w:rsidR="00EE13F6" w:rsidRDefault="002E5BC4">
                              <w:r>
                                <w:rPr>
                                  <w:rFonts w:ascii="Times New Roman" w:eastAsia="Times New Roman" w:hAnsi="Times New Roman" w:cs="Times New Roman"/>
                                  <w:color w:val="585858"/>
                                  <w:sz w:val="10"/>
                                </w:rPr>
                                <w:t>3</w:t>
                              </w:r>
                            </w:p>
                          </w:txbxContent>
                        </wps:txbx>
                        <wps:bodyPr horzOverflow="overflow" vert="horz" lIns="0" tIns="0" rIns="0" bIns="0" rtlCol="0">
                          <a:noAutofit/>
                        </wps:bodyPr>
                      </wps:wsp>
                      <wps:wsp>
                        <wps:cNvPr id="22773" name="Rectangle 22773"/>
                        <wps:cNvSpPr/>
                        <wps:spPr>
                          <a:xfrm>
                            <a:off x="97700" y="1580668"/>
                            <a:ext cx="20699" cy="91689"/>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74" name="Rectangle 22774"/>
                        <wps:cNvSpPr/>
                        <wps:spPr>
                          <a:xfrm>
                            <a:off x="111533" y="1580668"/>
                            <a:ext cx="41397" cy="91689"/>
                          </a:xfrm>
                          <a:prstGeom prst="rect">
                            <a:avLst/>
                          </a:prstGeom>
                          <a:ln>
                            <a:noFill/>
                          </a:ln>
                        </wps:spPr>
                        <wps:txbx>
                          <w:txbxContent>
                            <w:p w:rsidR="00EE13F6" w:rsidRDefault="002E5BC4">
                              <w:r>
                                <w:rPr>
                                  <w:rFonts w:ascii="Times New Roman" w:eastAsia="Times New Roman" w:hAnsi="Times New Roman" w:cs="Times New Roman"/>
                                  <w:color w:val="585858"/>
                                  <w:sz w:val="10"/>
                                </w:rPr>
                                <w:t>5</w:t>
                              </w:r>
                            </w:p>
                          </w:txbxContent>
                        </wps:txbx>
                        <wps:bodyPr horzOverflow="overflow" vert="horz" lIns="0" tIns="0" rIns="0" bIns="0" rtlCol="0">
                          <a:noAutofit/>
                        </wps:bodyPr>
                      </wps:wsp>
                      <wps:wsp>
                        <wps:cNvPr id="22775" name="Rectangle 22775"/>
                        <wps:cNvSpPr/>
                        <wps:spPr>
                          <a:xfrm>
                            <a:off x="86460" y="1424103"/>
                            <a:ext cx="27570" cy="91688"/>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76" name="Rectangle 22776"/>
                        <wps:cNvSpPr/>
                        <wps:spPr>
                          <a:xfrm>
                            <a:off x="107210" y="1424103"/>
                            <a:ext cx="41397" cy="91688"/>
                          </a:xfrm>
                          <a:prstGeom prst="rect">
                            <a:avLst/>
                          </a:prstGeom>
                          <a:ln>
                            <a:noFill/>
                          </a:ln>
                        </wps:spPr>
                        <wps:txbx>
                          <w:txbxContent>
                            <w:p w:rsidR="00EE13F6" w:rsidRDefault="002E5BC4">
                              <w:r>
                                <w:rPr>
                                  <w:rFonts w:ascii="Times New Roman" w:eastAsia="Times New Roman" w:hAnsi="Times New Roman" w:cs="Times New Roman"/>
                                  <w:color w:val="585858"/>
                                  <w:sz w:val="10"/>
                                </w:rPr>
                                <w:t>3</w:t>
                              </w:r>
                            </w:p>
                          </w:txbxContent>
                        </wps:txbx>
                        <wps:bodyPr horzOverflow="overflow" vert="horz" lIns="0" tIns="0" rIns="0" bIns="0" rtlCol="0">
                          <a:noAutofit/>
                        </wps:bodyPr>
                      </wps:wsp>
                      <wps:wsp>
                        <wps:cNvPr id="22777" name="Rectangle 22777"/>
                        <wps:cNvSpPr/>
                        <wps:spPr>
                          <a:xfrm>
                            <a:off x="42365" y="1267537"/>
                            <a:ext cx="27570" cy="91688"/>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78" name="Rectangle 22778"/>
                        <wps:cNvSpPr/>
                        <wps:spPr>
                          <a:xfrm>
                            <a:off x="63116" y="1267537"/>
                            <a:ext cx="41397" cy="91688"/>
                          </a:xfrm>
                          <a:prstGeom prst="rect">
                            <a:avLst/>
                          </a:prstGeom>
                          <a:ln>
                            <a:noFill/>
                          </a:ln>
                        </wps:spPr>
                        <wps:txbx>
                          <w:txbxContent>
                            <w:p w:rsidR="00EE13F6" w:rsidRDefault="002E5BC4">
                              <w:r>
                                <w:rPr>
                                  <w:rFonts w:ascii="Times New Roman" w:eastAsia="Times New Roman" w:hAnsi="Times New Roman" w:cs="Times New Roman"/>
                                  <w:color w:val="585858"/>
                                  <w:sz w:val="10"/>
                                </w:rPr>
                                <w:t>2</w:t>
                              </w:r>
                            </w:p>
                          </w:txbxContent>
                        </wps:txbx>
                        <wps:bodyPr horzOverflow="overflow" vert="horz" lIns="0" tIns="0" rIns="0" bIns="0" rtlCol="0">
                          <a:noAutofit/>
                        </wps:bodyPr>
                      </wps:wsp>
                      <wps:wsp>
                        <wps:cNvPr id="22779" name="Rectangle 22779"/>
                        <wps:cNvSpPr/>
                        <wps:spPr>
                          <a:xfrm>
                            <a:off x="97700" y="1267537"/>
                            <a:ext cx="20699" cy="91688"/>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80" name="Rectangle 22780"/>
                        <wps:cNvSpPr/>
                        <wps:spPr>
                          <a:xfrm>
                            <a:off x="111533" y="1267537"/>
                            <a:ext cx="41397" cy="91688"/>
                          </a:xfrm>
                          <a:prstGeom prst="rect">
                            <a:avLst/>
                          </a:prstGeom>
                          <a:ln>
                            <a:noFill/>
                          </a:ln>
                        </wps:spPr>
                        <wps:txbx>
                          <w:txbxContent>
                            <w:p w:rsidR="00EE13F6" w:rsidRDefault="002E5BC4">
                              <w:r>
                                <w:rPr>
                                  <w:rFonts w:ascii="Times New Roman" w:eastAsia="Times New Roman" w:hAnsi="Times New Roman" w:cs="Times New Roman"/>
                                  <w:color w:val="585858"/>
                                  <w:sz w:val="10"/>
                                </w:rPr>
                                <w:t>5</w:t>
                              </w:r>
                            </w:p>
                          </w:txbxContent>
                        </wps:txbx>
                        <wps:bodyPr horzOverflow="overflow" vert="horz" lIns="0" tIns="0" rIns="0" bIns="0" rtlCol="0">
                          <a:noAutofit/>
                        </wps:bodyPr>
                      </wps:wsp>
                      <wps:wsp>
                        <wps:cNvPr id="22781" name="Rectangle 22781"/>
                        <wps:cNvSpPr/>
                        <wps:spPr>
                          <a:xfrm>
                            <a:off x="86460" y="1110974"/>
                            <a:ext cx="27570" cy="91688"/>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82" name="Rectangle 22782"/>
                        <wps:cNvSpPr/>
                        <wps:spPr>
                          <a:xfrm>
                            <a:off x="107210" y="1110974"/>
                            <a:ext cx="41397" cy="91688"/>
                          </a:xfrm>
                          <a:prstGeom prst="rect">
                            <a:avLst/>
                          </a:prstGeom>
                          <a:ln>
                            <a:noFill/>
                          </a:ln>
                        </wps:spPr>
                        <wps:txbx>
                          <w:txbxContent>
                            <w:p w:rsidR="00EE13F6" w:rsidRDefault="002E5BC4">
                              <w:r>
                                <w:rPr>
                                  <w:rFonts w:ascii="Times New Roman" w:eastAsia="Times New Roman" w:hAnsi="Times New Roman" w:cs="Times New Roman"/>
                                  <w:color w:val="585858"/>
                                  <w:sz w:val="10"/>
                                </w:rPr>
                                <w:t>2</w:t>
                              </w:r>
                            </w:p>
                          </w:txbxContent>
                        </wps:txbx>
                        <wps:bodyPr horzOverflow="overflow" vert="horz" lIns="0" tIns="0" rIns="0" bIns="0" rtlCol="0">
                          <a:noAutofit/>
                        </wps:bodyPr>
                      </wps:wsp>
                      <wps:wsp>
                        <wps:cNvPr id="22783" name="Rectangle 22783"/>
                        <wps:cNvSpPr/>
                        <wps:spPr>
                          <a:xfrm>
                            <a:off x="42365" y="954407"/>
                            <a:ext cx="27570" cy="91688"/>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84" name="Rectangle 22784"/>
                        <wps:cNvSpPr/>
                        <wps:spPr>
                          <a:xfrm>
                            <a:off x="63116" y="954407"/>
                            <a:ext cx="41397" cy="91688"/>
                          </a:xfrm>
                          <a:prstGeom prst="rect">
                            <a:avLst/>
                          </a:prstGeom>
                          <a:ln>
                            <a:noFill/>
                          </a:ln>
                        </wps:spPr>
                        <wps:txbx>
                          <w:txbxContent>
                            <w:p w:rsidR="00EE13F6" w:rsidRDefault="002E5BC4">
                              <w:r>
                                <w:rPr>
                                  <w:rFonts w:ascii="Times New Roman" w:eastAsia="Times New Roman" w:hAnsi="Times New Roman" w:cs="Times New Roman"/>
                                  <w:color w:val="585858"/>
                                  <w:sz w:val="10"/>
                                </w:rPr>
                                <w:t>1</w:t>
                              </w:r>
                            </w:p>
                          </w:txbxContent>
                        </wps:txbx>
                        <wps:bodyPr horzOverflow="overflow" vert="horz" lIns="0" tIns="0" rIns="0" bIns="0" rtlCol="0">
                          <a:noAutofit/>
                        </wps:bodyPr>
                      </wps:wsp>
                      <wps:wsp>
                        <wps:cNvPr id="22785" name="Rectangle 22785"/>
                        <wps:cNvSpPr/>
                        <wps:spPr>
                          <a:xfrm>
                            <a:off x="97700" y="954407"/>
                            <a:ext cx="20699" cy="91688"/>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86" name="Rectangle 22786"/>
                        <wps:cNvSpPr/>
                        <wps:spPr>
                          <a:xfrm>
                            <a:off x="111533" y="954407"/>
                            <a:ext cx="41397" cy="91688"/>
                          </a:xfrm>
                          <a:prstGeom prst="rect">
                            <a:avLst/>
                          </a:prstGeom>
                          <a:ln>
                            <a:noFill/>
                          </a:ln>
                        </wps:spPr>
                        <wps:txbx>
                          <w:txbxContent>
                            <w:p w:rsidR="00EE13F6" w:rsidRDefault="002E5BC4">
                              <w:r>
                                <w:rPr>
                                  <w:rFonts w:ascii="Times New Roman" w:eastAsia="Times New Roman" w:hAnsi="Times New Roman" w:cs="Times New Roman"/>
                                  <w:color w:val="585858"/>
                                  <w:sz w:val="10"/>
                                </w:rPr>
                                <w:t>5</w:t>
                              </w:r>
                            </w:p>
                          </w:txbxContent>
                        </wps:txbx>
                        <wps:bodyPr horzOverflow="overflow" vert="horz" lIns="0" tIns="0" rIns="0" bIns="0" rtlCol="0">
                          <a:noAutofit/>
                        </wps:bodyPr>
                      </wps:wsp>
                      <wps:wsp>
                        <wps:cNvPr id="22787" name="Rectangle 22787"/>
                        <wps:cNvSpPr/>
                        <wps:spPr>
                          <a:xfrm>
                            <a:off x="86460" y="797841"/>
                            <a:ext cx="27570" cy="91688"/>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88" name="Rectangle 22788"/>
                        <wps:cNvSpPr/>
                        <wps:spPr>
                          <a:xfrm>
                            <a:off x="107210" y="797841"/>
                            <a:ext cx="41397" cy="91688"/>
                          </a:xfrm>
                          <a:prstGeom prst="rect">
                            <a:avLst/>
                          </a:prstGeom>
                          <a:ln>
                            <a:noFill/>
                          </a:ln>
                        </wps:spPr>
                        <wps:txbx>
                          <w:txbxContent>
                            <w:p w:rsidR="00EE13F6" w:rsidRDefault="002E5BC4">
                              <w:r>
                                <w:rPr>
                                  <w:rFonts w:ascii="Times New Roman" w:eastAsia="Times New Roman" w:hAnsi="Times New Roman" w:cs="Times New Roman"/>
                                  <w:color w:val="585858"/>
                                  <w:sz w:val="10"/>
                                </w:rPr>
                                <w:t>1</w:t>
                              </w:r>
                            </w:p>
                          </w:txbxContent>
                        </wps:txbx>
                        <wps:bodyPr horzOverflow="overflow" vert="horz" lIns="0" tIns="0" rIns="0" bIns="0" rtlCol="0">
                          <a:noAutofit/>
                        </wps:bodyPr>
                      </wps:wsp>
                      <wps:wsp>
                        <wps:cNvPr id="22789" name="Rectangle 22789"/>
                        <wps:cNvSpPr/>
                        <wps:spPr>
                          <a:xfrm>
                            <a:off x="42365" y="641277"/>
                            <a:ext cx="27570" cy="91688"/>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90" name="Rectangle 22790"/>
                        <wps:cNvSpPr/>
                        <wps:spPr>
                          <a:xfrm>
                            <a:off x="63116" y="641277"/>
                            <a:ext cx="41397" cy="91688"/>
                          </a:xfrm>
                          <a:prstGeom prst="rect">
                            <a:avLst/>
                          </a:prstGeom>
                          <a:ln>
                            <a:noFill/>
                          </a:ln>
                        </wps:spPr>
                        <wps:txbx>
                          <w:txbxContent>
                            <w:p w:rsidR="00EE13F6" w:rsidRDefault="002E5BC4">
                              <w:r>
                                <w:rPr>
                                  <w:rFonts w:ascii="Times New Roman" w:eastAsia="Times New Roman" w:hAnsi="Times New Roman" w:cs="Times New Roman"/>
                                  <w:color w:val="585858"/>
                                  <w:sz w:val="10"/>
                                </w:rPr>
                                <w:t>0</w:t>
                              </w:r>
                            </w:p>
                          </w:txbxContent>
                        </wps:txbx>
                        <wps:bodyPr horzOverflow="overflow" vert="horz" lIns="0" tIns="0" rIns="0" bIns="0" rtlCol="0">
                          <a:noAutofit/>
                        </wps:bodyPr>
                      </wps:wsp>
                      <wps:wsp>
                        <wps:cNvPr id="22791" name="Rectangle 22791"/>
                        <wps:cNvSpPr/>
                        <wps:spPr>
                          <a:xfrm>
                            <a:off x="97700" y="641277"/>
                            <a:ext cx="20699" cy="91688"/>
                          </a:xfrm>
                          <a:prstGeom prst="rect">
                            <a:avLst/>
                          </a:prstGeom>
                          <a:ln>
                            <a:noFill/>
                          </a:ln>
                        </wps:spPr>
                        <wps:txbx>
                          <w:txbxContent>
                            <w:p w:rsidR="00EE13F6" w:rsidRDefault="002E5BC4">
                              <w:r>
                                <w:rPr>
                                  <w:rFonts w:ascii="Times New Roman" w:eastAsia="Times New Roman" w:hAnsi="Times New Roman" w:cs="Times New Roman"/>
                                  <w:color w:val="585858"/>
                                  <w:sz w:val="10"/>
                                </w:rPr>
                                <w:t>,</w:t>
                              </w:r>
                            </w:p>
                          </w:txbxContent>
                        </wps:txbx>
                        <wps:bodyPr horzOverflow="overflow" vert="horz" lIns="0" tIns="0" rIns="0" bIns="0" rtlCol="0">
                          <a:noAutofit/>
                        </wps:bodyPr>
                      </wps:wsp>
                      <wps:wsp>
                        <wps:cNvPr id="22792" name="Rectangle 22792"/>
                        <wps:cNvSpPr/>
                        <wps:spPr>
                          <a:xfrm>
                            <a:off x="111533" y="641277"/>
                            <a:ext cx="41397" cy="91688"/>
                          </a:xfrm>
                          <a:prstGeom prst="rect">
                            <a:avLst/>
                          </a:prstGeom>
                          <a:ln>
                            <a:noFill/>
                          </a:ln>
                        </wps:spPr>
                        <wps:txbx>
                          <w:txbxContent>
                            <w:p w:rsidR="00EE13F6" w:rsidRDefault="002E5BC4">
                              <w:r>
                                <w:rPr>
                                  <w:rFonts w:ascii="Times New Roman" w:eastAsia="Times New Roman" w:hAnsi="Times New Roman" w:cs="Times New Roman"/>
                                  <w:color w:val="585858"/>
                                  <w:sz w:val="10"/>
                                </w:rPr>
                                <w:t>5</w:t>
                              </w:r>
                            </w:p>
                          </w:txbxContent>
                        </wps:txbx>
                        <wps:bodyPr horzOverflow="overflow" vert="horz" lIns="0" tIns="0" rIns="0" bIns="0" rtlCol="0">
                          <a:noAutofit/>
                        </wps:bodyPr>
                      </wps:wsp>
                      <wps:wsp>
                        <wps:cNvPr id="22793" name="Rectangle 22793"/>
                        <wps:cNvSpPr/>
                        <wps:spPr>
                          <a:xfrm>
                            <a:off x="110426" y="485616"/>
                            <a:ext cx="41977" cy="101067"/>
                          </a:xfrm>
                          <a:prstGeom prst="rect">
                            <a:avLst/>
                          </a:prstGeom>
                          <a:ln>
                            <a:noFill/>
                          </a:ln>
                        </wps:spPr>
                        <wps:txbx>
                          <w:txbxContent>
                            <w:p w:rsidR="00EE13F6" w:rsidRDefault="002E5BC4">
                              <w:r>
                                <w:rPr>
                                  <w:color w:val="585858"/>
                                  <w:sz w:val="10"/>
                                </w:rPr>
                                <w:t>0</w:t>
                              </w:r>
                            </w:p>
                          </w:txbxContent>
                        </wps:txbx>
                        <wps:bodyPr horzOverflow="overflow" vert="horz" lIns="0" tIns="0" rIns="0" bIns="0" rtlCol="0">
                          <a:noAutofit/>
                        </wps:bodyPr>
                      </wps:wsp>
                      <wps:wsp>
                        <wps:cNvPr id="22794" name="Rectangle 22794"/>
                        <wps:cNvSpPr/>
                        <wps:spPr>
                          <a:xfrm>
                            <a:off x="360327" y="563123"/>
                            <a:ext cx="365420" cy="101067"/>
                          </a:xfrm>
                          <a:prstGeom prst="rect">
                            <a:avLst/>
                          </a:prstGeom>
                          <a:ln>
                            <a:noFill/>
                          </a:ln>
                        </wps:spPr>
                        <wps:txbx>
                          <w:txbxContent>
                            <w:p w:rsidR="00EE13F6" w:rsidRDefault="002E5BC4">
                              <w:r>
                                <w:rPr>
                                  <w:color w:val="585858"/>
                                  <w:sz w:val="10"/>
                                </w:rPr>
                                <w:t>Spr=50</w:t>
                              </w:r>
                              <w:r>
                                <w:rPr>
                                  <w:color w:val="585858"/>
                                  <w:sz w:val="10"/>
                                </w:rPr>
                                <w:tab/>
                                <w:t>b.p</w:t>
                              </w:r>
                            </w:p>
                          </w:txbxContent>
                        </wps:txbx>
                        <wps:bodyPr horzOverflow="overflow" vert="horz" lIns="0" tIns="0" rIns="0" bIns="0" rtlCol="0">
                          <a:noAutofit/>
                        </wps:bodyPr>
                      </wps:wsp>
                      <wps:wsp>
                        <wps:cNvPr id="22795" name="Rectangle 22795"/>
                        <wps:cNvSpPr/>
                        <wps:spPr>
                          <a:xfrm>
                            <a:off x="948607" y="563123"/>
                            <a:ext cx="411404" cy="101067"/>
                          </a:xfrm>
                          <a:prstGeom prst="rect">
                            <a:avLst/>
                          </a:prstGeom>
                          <a:ln>
                            <a:noFill/>
                          </a:ln>
                        </wps:spPr>
                        <wps:txbx>
                          <w:txbxContent>
                            <w:p w:rsidR="00EE13F6" w:rsidRDefault="002E5BC4">
                              <w:r>
                                <w:rPr>
                                  <w:color w:val="585858"/>
                                  <w:sz w:val="10"/>
                                </w:rPr>
                                <w:t>Spr=100</w:t>
                              </w:r>
                              <w:r>
                                <w:rPr>
                                  <w:color w:val="585858"/>
                                  <w:sz w:val="10"/>
                                </w:rPr>
                                <w:tab/>
                                <w:t>b.p</w:t>
                              </w:r>
                            </w:p>
                          </w:txbxContent>
                        </wps:txbx>
                        <wps:bodyPr horzOverflow="overflow" vert="horz" lIns="0" tIns="0" rIns="0" bIns="0" rtlCol="0">
                          <a:noAutofit/>
                        </wps:bodyPr>
                      </wps:wsp>
                      <wps:wsp>
                        <wps:cNvPr id="22796" name="Rectangle 22796"/>
                        <wps:cNvSpPr/>
                        <wps:spPr>
                          <a:xfrm>
                            <a:off x="1550719" y="563123"/>
                            <a:ext cx="411404" cy="101067"/>
                          </a:xfrm>
                          <a:prstGeom prst="rect">
                            <a:avLst/>
                          </a:prstGeom>
                          <a:ln>
                            <a:noFill/>
                          </a:ln>
                        </wps:spPr>
                        <wps:txbx>
                          <w:txbxContent>
                            <w:p w:rsidR="00EE13F6" w:rsidRDefault="002E5BC4">
                              <w:r>
                                <w:rPr>
                                  <w:color w:val="585858"/>
                                  <w:sz w:val="10"/>
                                </w:rPr>
                                <w:t>Spr=150</w:t>
                              </w:r>
                              <w:r>
                                <w:rPr>
                                  <w:color w:val="585858"/>
                                  <w:sz w:val="10"/>
                                </w:rPr>
                                <w:tab/>
                                <w:t>b.p</w:t>
                              </w:r>
                            </w:p>
                          </w:txbxContent>
                        </wps:txbx>
                        <wps:bodyPr horzOverflow="overflow" vert="horz" lIns="0" tIns="0" rIns="0" bIns="0" rtlCol="0">
                          <a:noAutofit/>
                        </wps:bodyPr>
                      </wps:wsp>
                      <wps:wsp>
                        <wps:cNvPr id="22797" name="Rectangle 22797"/>
                        <wps:cNvSpPr/>
                        <wps:spPr>
                          <a:xfrm>
                            <a:off x="2152832" y="563123"/>
                            <a:ext cx="411404" cy="101067"/>
                          </a:xfrm>
                          <a:prstGeom prst="rect">
                            <a:avLst/>
                          </a:prstGeom>
                          <a:ln>
                            <a:noFill/>
                          </a:ln>
                        </wps:spPr>
                        <wps:txbx>
                          <w:txbxContent>
                            <w:p w:rsidR="00EE13F6" w:rsidRDefault="002E5BC4">
                              <w:r>
                                <w:rPr>
                                  <w:color w:val="585858"/>
                                  <w:sz w:val="10"/>
                                </w:rPr>
                                <w:t>Spr=200</w:t>
                              </w:r>
                              <w:r>
                                <w:rPr>
                                  <w:color w:val="585858"/>
                                  <w:sz w:val="10"/>
                                </w:rPr>
                                <w:tab/>
                                <w:t>b.p</w:t>
                              </w:r>
                            </w:p>
                          </w:txbxContent>
                        </wps:txbx>
                        <wps:bodyPr horzOverflow="overflow" vert="horz" lIns="0" tIns="0" rIns="0" bIns="0" rtlCol="0">
                          <a:noAutofit/>
                        </wps:bodyPr>
                      </wps:wsp>
                      <wps:wsp>
                        <wps:cNvPr id="22798" name="Rectangle 22798"/>
                        <wps:cNvSpPr/>
                        <wps:spPr>
                          <a:xfrm>
                            <a:off x="2754944" y="563123"/>
                            <a:ext cx="411404" cy="101067"/>
                          </a:xfrm>
                          <a:prstGeom prst="rect">
                            <a:avLst/>
                          </a:prstGeom>
                          <a:ln>
                            <a:noFill/>
                          </a:ln>
                        </wps:spPr>
                        <wps:txbx>
                          <w:txbxContent>
                            <w:p w:rsidR="00EE13F6" w:rsidRDefault="002E5BC4">
                              <w:r>
                                <w:rPr>
                                  <w:color w:val="585858"/>
                                  <w:sz w:val="10"/>
                                </w:rPr>
                                <w:t>Spr=250</w:t>
                              </w:r>
                              <w:r>
                                <w:rPr>
                                  <w:color w:val="585858"/>
                                  <w:sz w:val="10"/>
                                </w:rPr>
                                <w:tab/>
                                <w:t>b.p</w:t>
                              </w:r>
                            </w:p>
                          </w:txbxContent>
                        </wps:txbx>
                        <wps:bodyPr horzOverflow="overflow" vert="horz" lIns="0" tIns="0" rIns="0" bIns="0" rtlCol="0">
                          <a:noAutofit/>
                        </wps:bodyPr>
                      </wps:wsp>
                      <wps:wsp>
                        <wps:cNvPr id="22799" name="Rectangle 22799"/>
                        <wps:cNvSpPr/>
                        <wps:spPr>
                          <a:xfrm>
                            <a:off x="3357057" y="563123"/>
                            <a:ext cx="411404" cy="101067"/>
                          </a:xfrm>
                          <a:prstGeom prst="rect">
                            <a:avLst/>
                          </a:prstGeom>
                          <a:ln>
                            <a:noFill/>
                          </a:ln>
                        </wps:spPr>
                        <wps:txbx>
                          <w:txbxContent>
                            <w:p w:rsidR="00EE13F6" w:rsidRDefault="002E5BC4">
                              <w:r>
                                <w:rPr>
                                  <w:color w:val="585858"/>
                                  <w:sz w:val="10"/>
                                </w:rPr>
                                <w:t>Spr=300</w:t>
                              </w:r>
                              <w:r>
                                <w:rPr>
                                  <w:color w:val="585858"/>
                                  <w:sz w:val="10"/>
                                </w:rPr>
                                <w:tab/>
                                <w:t>b.p</w:t>
                              </w:r>
                            </w:p>
                          </w:txbxContent>
                        </wps:txbx>
                        <wps:bodyPr horzOverflow="overflow" vert="horz" lIns="0" tIns="0" rIns="0" bIns="0" rtlCol="0">
                          <a:noAutofit/>
                        </wps:bodyPr>
                      </wps:wsp>
                      <wps:wsp>
                        <wps:cNvPr id="22800" name="Rectangle 22800"/>
                        <wps:cNvSpPr/>
                        <wps:spPr>
                          <a:xfrm>
                            <a:off x="3959170" y="563123"/>
                            <a:ext cx="411404" cy="101067"/>
                          </a:xfrm>
                          <a:prstGeom prst="rect">
                            <a:avLst/>
                          </a:prstGeom>
                          <a:ln>
                            <a:noFill/>
                          </a:ln>
                        </wps:spPr>
                        <wps:txbx>
                          <w:txbxContent>
                            <w:p w:rsidR="00EE13F6" w:rsidRDefault="002E5BC4">
                              <w:r>
                                <w:rPr>
                                  <w:color w:val="585858"/>
                                  <w:sz w:val="10"/>
                                </w:rPr>
                                <w:t>Spr=350</w:t>
                              </w:r>
                              <w:r>
                                <w:rPr>
                                  <w:color w:val="585858"/>
                                  <w:sz w:val="10"/>
                                </w:rPr>
                                <w:tab/>
                                <w:t>b.p</w:t>
                              </w:r>
                            </w:p>
                          </w:txbxContent>
                        </wps:txbx>
                        <wps:bodyPr horzOverflow="overflow" vert="horz" lIns="0" tIns="0" rIns="0" bIns="0" rtlCol="0">
                          <a:noAutofit/>
                        </wps:bodyPr>
                      </wps:wsp>
                      <wps:wsp>
                        <wps:cNvPr id="22801" name="Rectangle 22801"/>
                        <wps:cNvSpPr/>
                        <wps:spPr>
                          <a:xfrm>
                            <a:off x="4561283" y="563123"/>
                            <a:ext cx="411404" cy="101067"/>
                          </a:xfrm>
                          <a:prstGeom prst="rect">
                            <a:avLst/>
                          </a:prstGeom>
                          <a:ln>
                            <a:noFill/>
                          </a:ln>
                        </wps:spPr>
                        <wps:txbx>
                          <w:txbxContent>
                            <w:p w:rsidR="00EE13F6" w:rsidRDefault="002E5BC4">
                              <w:r>
                                <w:rPr>
                                  <w:color w:val="585858"/>
                                  <w:sz w:val="10"/>
                                </w:rPr>
                                <w:t>Spr=400</w:t>
                              </w:r>
                              <w:r>
                                <w:rPr>
                                  <w:color w:val="585858"/>
                                  <w:sz w:val="10"/>
                                </w:rPr>
                                <w:tab/>
                                <w:t>b.p</w:t>
                              </w:r>
                            </w:p>
                          </w:txbxContent>
                        </wps:txbx>
                        <wps:bodyPr horzOverflow="overflow" vert="horz" lIns="0" tIns="0" rIns="0" bIns="0" rtlCol="0">
                          <a:noAutofit/>
                        </wps:bodyPr>
                      </wps:wsp>
                      <wps:wsp>
                        <wps:cNvPr id="22802" name="Rectangle 22802"/>
                        <wps:cNvSpPr/>
                        <wps:spPr>
                          <a:xfrm>
                            <a:off x="563028" y="70342"/>
                            <a:ext cx="5354608" cy="157215"/>
                          </a:xfrm>
                          <a:prstGeom prst="rect">
                            <a:avLst/>
                          </a:prstGeom>
                          <a:ln>
                            <a:noFill/>
                          </a:ln>
                        </wps:spPr>
                        <wps:txbx>
                          <w:txbxContent>
                            <w:p w:rsidR="00EE13F6" w:rsidRDefault="002E5BC4">
                              <w:r>
                                <w:rPr>
                                  <w:b/>
                                  <w:color w:val="585858"/>
                                  <w:sz w:val="15"/>
                                </w:rPr>
                                <w:t>Long</w:t>
                              </w:r>
                              <w:r>
                                <w:rPr>
                                  <w:b/>
                                  <w:color w:val="585858"/>
                                  <w:sz w:val="15"/>
                                </w:rPr>
                                <w:tab/>
                                <w:t>Term</w:t>
                              </w:r>
                              <w:r>
                                <w:rPr>
                                  <w:b/>
                                  <w:color w:val="585858"/>
                                  <w:sz w:val="15"/>
                                </w:rPr>
                                <w:tab/>
                                <w:t>Impact</w:t>
                              </w:r>
                              <w:r>
                                <w:rPr>
                                  <w:b/>
                                  <w:color w:val="585858"/>
                                  <w:sz w:val="15"/>
                                </w:rPr>
                                <w:tab/>
                                <w:t>on</w:t>
                              </w:r>
                              <w:r>
                                <w:rPr>
                                  <w:b/>
                                  <w:color w:val="585858"/>
                                  <w:sz w:val="15"/>
                                </w:rPr>
                                <w:tab/>
                                <w:t>the</w:t>
                              </w:r>
                              <w:r>
                                <w:rPr>
                                  <w:b/>
                                  <w:color w:val="585858"/>
                                  <w:sz w:val="15"/>
                                </w:rPr>
                                <w:tab/>
                                <w:t>Theoretical</w:t>
                              </w:r>
                              <w:r>
                                <w:rPr>
                                  <w:b/>
                                  <w:color w:val="585858"/>
                                  <w:sz w:val="15"/>
                                </w:rPr>
                                <w:tab/>
                                <w:t>Equity</w:t>
                              </w:r>
                              <w:r>
                                <w:rPr>
                                  <w:b/>
                                  <w:color w:val="585858"/>
                                  <w:sz w:val="15"/>
                                </w:rPr>
                                <w:tab/>
                                <w:t>Share</w:t>
                              </w:r>
                              <w:r>
                                <w:rPr>
                                  <w:b/>
                                  <w:color w:val="585858"/>
                                  <w:sz w:val="15"/>
                                </w:rPr>
                                <w:tab/>
                                <w:t>price</w:t>
                              </w:r>
                              <w:r>
                                <w:rPr>
                                  <w:b/>
                                  <w:color w:val="585858"/>
                                  <w:sz w:val="15"/>
                                </w:rPr>
                                <w:tab/>
                                <w:t>Depending</w:t>
                              </w:r>
                              <w:r>
                                <w:rPr>
                                  <w:b/>
                                  <w:color w:val="585858"/>
                                  <w:sz w:val="15"/>
                                </w:rPr>
                                <w:tab/>
                                <w:t>Upon</w:t>
                              </w:r>
                              <w:r>
                                <w:rPr>
                                  <w:b/>
                                  <w:color w:val="585858"/>
                                  <w:sz w:val="15"/>
                                </w:rPr>
                                <w:tab/>
                                <w:t>The</w:t>
                              </w:r>
                              <w:r>
                                <w:rPr>
                                  <w:b/>
                                  <w:color w:val="585858"/>
                                  <w:sz w:val="15"/>
                                </w:rPr>
                                <w:tab/>
                                <w:t>Credit</w:t>
                              </w:r>
                              <w:r>
                                <w:rPr>
                                  <w:b/>
                                  <w:color w:val="585858"/>
                                  <w:sz w:val="15"/>
                                </w:rPr>
                                <w:tab/>
                                <w:t>Spread</w:t>
                              </w:r>
                              <w:r>
                                <w:rPr>
                                  <w:b/>
                                  <w:color w:val="585858"/>
                                  <w:sz w:val="15"/>
                                </w:rPr>
                                <w:tab/>
                                <w:t>and</w:t>
                              </w:r>
                              <w:r>
                                <w:rPr>
                                  <w:b/>
                                  <w:color w:val="585858"/>
                                  <w:sz w:val="15"/>
                                </w:rPr>
                                <w:tab/>
                                <w:t>The</w:t>
                              </w:r>
                              <w:r>
                                <w:rPr>
                                  <w:b/>
                                  <w:color w:val="585858"/>
                                  <w:sz w:val="15"/>
                                </w:rPr>
                                <w:tab/>
                              </w:r>
                            </w:p>
                          </w:txbxContent>
                        </wps:txbx>
                        <wps:bodyPr horzOverflow="overflow" vert="horz" lIns="0" tIns="0" rIns="0" bIns="0" rtlCol="0">
                          <a:noAutofit/>
                        </wps:bodyPr>
                      </wps:wsp>
                      <wps:wsp>
                        <wps:cNvPr id="22803" name="Rectangle 22803"/>
                        <wps:cNvSpPr/>
                        <wps:spPr>
                          <a:xfrm>
                            <a:off x="1621298" y="187929"/>
                            <a:ext cx="2508588" cy="157214"/>
                          </a:xfrm>
                          <a:prstGeom prst="rect">
                            <a:avLst/>
                          </a:prstGeom>
                          <a:ln>
                            <a:noFill/>
                          </a:ln>
                        </wps:spPr>
                        <wps:txbx>
                          <w:txbxContent>
                            <w:p w:rsidR="00EE13F6" w:rsidRDefault="002E5BC4">
                              <w:r>
                                <w:rPr>
                                  <w:b/>
                                  <w:color w:val="585858"/>
                                  <w:sz w:val="15"/>
                                </w:rPr>
                                <w:t>Corporate</w:t>
                              </w:r>
                              <w:r>
                                <w:rPr>
                                  <w:b/>
                                  <w:color w:val="585858"/>
                                  <w:sz w:val="15"/>
                                </w:rPr>
                                <w:tab/>
                                <w:t>Tax</w:t>
                              </w:r>
                              <w:r>
                                <w:rPr>
                                  <w:b/>
                                  <w:color w:val="585858"/>
                                  <w:sz w:val="15"/>
                                </w:rPr>
                                <w:tab/>
                                <w:t>Rate</w:t>
                              </w:r>
                              <w:r>
                                <w:rPr>
                                  <w:b/>
                                  <w:color w:val="585858"/>
                                  <w:sz w:val="15"/>
                                </w:rPr>
                                <w:tab/>
                                <w:t>for</w:t>
                              </w:r>
                              <w:r>
                                <w:rPr>
                                  <w:b/>
                                  <w:color w:val="585858"/>
                                  <w:sz w:val="15"/>
                                </w:rPr>
                                <w:tab/>
                                <w:t>a</w:t>
                              </w:r>
                              <w:r>
                                <w:rPr>
                                  <w:b/>
                                  <w:color w:val="585858"/>
                                  <w:sz w:val="15"/>
                                </w:rPr>
                                <w:tab/>
                                <w:t>5</w:t>
                              </w:r>
                              <w:r>
                                <w:rPr>
                                  <w:b/>
                                  <w:color w:val="585858"/>
                                  <w:sz w:val="15"/>
                                </w:rPr>
                                <w:tab/>
                                <w:t>Years</w:t>
                              </w:r>
                              <w:r>
                                <w:rPr>
                                  <w:b/>
                                  <w:color w:val="585858"/>
                                  <w:sz w:val="15"/>
                                </w:rPr>
                                <w:tab/>
                                <w:t>Debt</w:t>
                              </w:r>
                              <w:r>
                                <w:rPr>
                                  <w:b/>
                                  <w:color w:val="585858"/>
                                  <w:sz w:val="15"/>
                                </w:rPr>
                                <w:tab/>
                                <w:t>Maturity.</w:t>
                              </w:r>
                            </w:p>
                          </w:txbxContent>
                        </wps:txbx>
                        <wps:bodyPr horzOverflow="overflow" vert="horz" lIns="0" tIns="0" rIns="0" bIns="0" rtlCol="0">
                          <a:noAutofit/>
                        </wps:bodyPr>
                      </wps:wsp>
                      <wps:wsp>
                        <wps:cNvPr id="22804" name="Shape 22804"/>
                        <wps:cNvSpPr/>
                        <wps:spPr>
                          <a:xfrm>
                            <a:off x="1421403" y="2244502"/>
                            <a:ext cx="138336" cy="0"/>
                          </a:xfrm>
                          <a:custGeom>
                            <a:avLst/>
                            <a:gdLst/>
                            <a:ahLst/>
                            <a:cxnLst/>
                            <a:rect l="0" t="0" r="0" b="0"/>
                            <a:pathLst>
                              <a:path w="138336">
                                <a:moveTo>
                                  <a:pt x="0" y="0"/>
                                </a:moveTo>
                                <a:lnTo>
                                  <a:pt x="138336" y="0"/>
                                </a:lnTo>
                              </a:path>
                            </a:pathLst>
                          </a:custGeom>
                          <a:ln w="13834" cap="rnd">
                            <a:round/>
                          </a:ln>
                        </wps:spPr>
                        <wps:style>
                          <a:lnRef idx="1">
                            <a:srgbClr val="5B9BD5"/>
                          </a:lnRef>
                          <a:fillRef idx="0">
                            <a:srgbClr val="000000">
                              <a:alpha val="0"/>
                            </a:srgbClr>
                          </a:fillRef>
                          <a:effectRef idx="0">
                            <a:scrgbClr r="0" g="0" b="0"/>
                          </a:effectRef>
                          <a:fontRef idx="none"/>
                        </wps:style>
                        <wps:bodyPr/>
                      </wps:wsp>
                      <wps:wsp>
                        <wps:cNvPr id="22805" name="Rectangle 22805"/>
                        <wps:cNvSpPr/>
                        <wps:spPr>
                          <a:xfrm>
                            <a:off x="1570108" y="2206464"/>
                            <a:ext cx="327219" cy="101067"/>
                          </a:xfrm>
                          <a:prstGeom prst="rect">
                            <a:avLst/>
                          </a:prstGeom>
                          <a:ln>
                            <a:noFill/>
                          </a:ln>
                        </wps:spPr>
                        <wps:txbx>
                          <w:txbxContent>
                            <w:p w:rsidR="00EE13F6" w:rsidRDefault="002E5BC4">
                              <w:r>
                                <w:rPr>
                                  <w:color w:val="585858"/>
                                  <w:sz w:val="10"/>
                                </w:rPr>
                                <w:t>Rho=0,15</w:t>
                              </w:r>
                            </w:p>
                          </w:txbxContent>
                        </wps:txbx>
                        <wps:bodyPr horzOverflow="overflow" vert="horz" lIns="0" tIns="0" rIns="0" bIns="0" rtlCol="0">
                          <a:noAutofit/>
                        </wps:bodyPr>
                      </wps:wsp>
                      <wps:wsp>
                        <wps:cNvPr id="22806" name="Shape 22806"/>
                        <wps:cNvSpPr/>
                        <wps:spPr>
                          <a:xfrm>
                            <a:off x="1898662" y="2244502"/>
                            <a:ext cx="131419" cy="0"/>
                          </a:xfrm>
                          <a:custGeom>
                            <a:avLst/>
                            <a:gdLst/>
                            <a:ahLst/>
                            <a:cxnLst/>
                            <a:rect l="0" t="0" r="0" b="0"/>
                            <a:pathLst>
                              <a:path w="131419">
                                <a:moveTo>
                                  <a:pt x="0" y="0"/>
                                </a:moveTo>
                                <a:lnTo>
                                  <a:pt x="131419" y="0"/>
                                </a:lnTo>
                              </a:path>
                            </a:pathLst>
                          </a:custGeom>
                          <a:ln w="13834" cap="rnd">
                            <a:round/>
                          </a:ln>
                        </wps:spPr>
                        <wps:style>
                          <a:lnRef idx="1">
                            <a:srgbClr val="ED7D31"/>
                          </a:lnRef>
                          <a:fillRef idx="0">
                            <a:srgbClr val="000000">
                              <a:alpha val="0"/>
                            </a:srgbClr>
                          </a:fillRef>
                          <a:effectRef idx="0">
                            <a:scrgbClr r="0" g="0" b="0"/>
                          </a:effectRef>
                          <a:fontRef idx="none"/>
                        </wps:style>
                        <wps:bodyPr/>
                      </wps:wsp>
                      <wps:wsp>
                        <wps:cNvPr id="22807" name="Rectangle 22807"/>
                        <wps:cNvSpPr/>
                        <wps:spPr>
                          <a:xfrm>
                            <a:off x="2044318" y="2206464"/>
                            <a:ext cx="327219" cy="101067"/>
                          </a:xfrm>
                          <a:prstGeom prst="rect">
                            <a:avLst/>
                          </a:prstGeom>
                          <a:ln>
                            <a:noFill/>
                          </a:ln>
                        </wps:spPr>
                        <wps:txbx>
                          <w:txbxContent>
                            <w:p w:rsidR="00EE13F6" w:rsidRDefault="002E5BC4">
                              <w:r>
                                <w:rPr>
                                  <w:color w:val="585858"/>
                                  <w:sz w:val="10"/>
                                </w:rPr>
                                <w:t>Rho=0,20</w:t>
                              </w:r>
                            </w:p>
                          </w:txbxContent>
                        </wps:txbx>
                        <wps:bodyPr horzOverflow="overflow" vert="horz" lIns="0" tIns="0" rIns="0" bIns="0" rtlCol="0">
                          <a:noAutofit/>
                        </wps:bodyPr>
                      </wps:wsp>
                      <wps:wsp>
                        <wps:cNvPr id="22808" name="Shape 22808"/>
                        <wps:cNvSpPr/>
                        <wps:spPr>
                          <a:xfrm>
                            <a:off x="2375921" y="2244502"/>
                            <a:ext cx="131419" cy="0"/>
                          </a:xfrm>
                          <a:custGeom>
                            <a:avLst/>
                            <a:gdLst/>
                            <a:ahLst/>
                            <a:cxnLst/>
                            <a:rect l="0" t="0" r="0" b="0"/>
                            <a:pathLst>
                              <a:path w="131419">
                                <a:moveTo>
                                  <a:pt x="0" y="0"/>
                                </a:moveTo>
                                <a:lnTo>
                                  <a:pt x="131419" y="0"/>
                                </a:lnTo>
                              </a:path>
                            </a:pathLst>
                          </a:custGeom>
                          <a:ln w="13834" cap="rnd">
                            <a:round/>
                          </a:ln>
                        </wps:spPr>
                        <wps:style>
                          <a:lnRef idx="1">
                            <a:srgbClr val="A4A4A4"/>
                          </a:lnRef>
                          <a:fillRef idx="0">
                            <a:srgbClr val="000000">
                              <a:alpha val="0"/>
                            </a:srgbClr>
                          </a:fillRef>
                          <a:effectRef idx="0">
                            <a:scrgbClr r="0" g="0" b="0"/>
                          </a:effectRef>
                          <a:fontRef idx="none"/>
                        </wps:style>
                        <wps:bodyPr/>
                      </wps:wsp>
                      <wps:wsp>
                        <wps:cNvPr id="22809" name="Rectangle 22809"/>
                        <wps:cNvSpPr/>
                        <wps:spPr>
                          <a:xfrm>
                            <a:off x="2518528" y="2206464"/>
                            <a:ext cx="327219" cy="101067"/>
                          </a:xfrm>
                          <a:prstGeom prst="rect">
                            <a:avLst/>
                          </a:prstGeom>
                          <a:ln>
                            <a:noFill/>
                          </a:ln>
                        </wps:spPr>
                        <wps:txbx>
                          <w:txbxContent>
                            <w:p w:rsidR="00EE13F6" w:rsidRDefault="002E5BC4">
                              <w:r>
                                <w:rPr>
                                  <w:color w:val="585858"/>
                                  <w:sz w:val="10"/>
                                </w:rPr>
                                <w:t>Rho=0,25</w:t>
                              </w:r>
                            </w:p>
                          </w:txbxContent>
                        </wps:txbx>
                        <wps:bodyPr horzOverflow="overflow" vert="horz" lIns="0" tIns="0" rIns="0" bIns="0" rtlCol="0">
                          <a:noAutofit/>
                        </wps:bodyPr>
                      </wps:wsp>
                      <wps:wsp>
                        <wps:cNvPr id="22810" name="Shape 22810"/>
                        <wps:cNvSpPr/>
                        <wps:spPr>
                          <a:xfrm>
                            <a:off x="2846264" y="2244502"/>
                            <a:ext cx="131419" cy="0"/>
                          </a:xfrm>
                          <a:custGeom>
                            <a:avLst/>
                            <a:gdLst/>
                            <a:ahLst/>
                            <a:cxnLst/>
                            <a:rect l="0" t="0" r="0" b="0"/>
                            <a:pathLst>
                              <a:path w="131419">
                                <a:moveTo>
                                  <a:pt x="0" y="0"/>
                                </a:moveTo>
                                <a:lnTo>
                                  <a:pt x="131419" y="0"/>
                                </a:lnTo>
                              </a:path>
                            </a:pathLst>
                          </a:custGeom>
                          <a:ln w="13834" cap="rnd">
                            <a:round/>
                          </a:ln>
                        </wps:spPr>
                        <wps:style>
                          <a:lnRef idx="1">
                            <a:srgbClr val="FFC000"/>
                          </a:lnRef>
                          <a:fillRef idx="0">
                            <a:srgbClr val="000000">
                              <a:alpha val="0"/>
                            </a:srgbClr>
                          </a:fillRef>
                          <a:effectRef idx="0">
                            <a:scrgbClr r="0" g="0" b="0"/>
                          </a:effectRef>
                          <a:fontRef idx="none"/>
                        </wps:style>
                        <wps:bodyPr/>
                      </wps:wsp>
                      <wps:wsp>
                        <wps:cNvPr id="22811" name="Rectangle 22811"/>
                        <wps:cNvSpPr/>
                        <wps:spPr>
                          <a:xfrm>
                            <a:off x="2992739" y="2206464"/>
                            <a:ext cx="327219" cy="101067"/>
                          </a:xfrm>
                          <a:prstGeom prst="rect">
                            <a:avLst/>
                          </a:prstGeom>
                          <a:ln>
                            <a:noFill/>
                          </a:ln>
                        </wps:spPr>
                        <wps:txbx>
                          <w:txbxContent>
                            <w:p w:rsidR="00EE13F6" w:rsidRDefault="002E5BC4">
                              <w:r>
                                <w:rPr>
                                  <w:color w:val="585858"/>
                                  <w:sz w:val="10"/>
                                </w:rPr>
                                <w:t>Rho=0,30</w:t>
                              </w:r>
                            </w:p>
                          </w:txbxContent>
                        </wps:txbx>
                        <wps:bodyPr horzOverflow="overflow" vert="horz" lIns="0" tIns="0" rIns="0" bIns="0" rtlCol="0">
                          <a:noAutofit/>
                        </wps:bodyPr>
                      </wps:wsp>
                      <wps:wsp>
                        <wps:cNvPr id="22812" name="Shape 22812"/>
                        <wps:cNvSpPr/>
                        <wps:spPr>
                          <a:xfrm>
                            <a:off x="3323523" y="2244502"/>
                            <a:ext cx="131419" cy="0"/>
                          </a:xfrm>
                          <a:custGeom>
                            <a:avLst/>
                            <a:gdLst/>
                            <a:ahLst/>
                            <a:cxnLst/>
                            <a:rect l="0" t="0" r="0" b="0"/>
                            <a:pathLst>
                              <a:path w="131419">
                                <a:moveTo>
                                  <a:pt x="0" y="0"/>
                                </a:moveTo>
                                <a:lnTo>
                                  <a:pt x="131419" y="0"/>
                                </a:lnTo>
                              </a:path>
                            </a:pathLst>
                          </a:custGeom>
                          <a:ln w="13834" cap="rnd">
                            <a:round/>
                          </a:ln>
                        </wps:spPr>
                        <wps:style>
                          <a:lnRef idx="1">
                            <a:srgbClr val="4471C4"/>
                          </a:lnRef>
                          <a:fillRef idx="0">
                            <a:srgbClr val="000000">
                              <a:alpha val="0"/>
                            </a:srgbClr>
                          </a:fillRef>
                          <a:effectRef idx="0">
                            <a:scrgbClr r="0" g="0" b="0"/>
                          </a:effectRef>
                          <a:fontRef idx="none"/>
                        </wps:style>
                        <wps:bodyPr/>
                      </wps:wsp>
                      <wps:wsp>
                        <wps:cNvPr id="22813" name="Rectangle 22813"/>
                        <wps:cNvSpPr/>
                        <wps:spPr>
                          <a:xfrm>
                            <a:off x="3466949" y="2206464"/>
                            <a:ext cx="327219" cy="101067"/>
                          </a:xfrm>
                          <a:prstGeom prst="rect">
                            <a:avLst/>
                          </a:prstGeom>
                          <a:ln>
                            <a:noFill/>
                          </a:ln>
                        </wps:spPr>
                        <wps:txbx>
                          <w:txbxContent>
                            <w:p w:rsidR="00EE13F6" w:rsidRDefault="002E5BC4">
                              <w:r>
                                <w:rPr>
                                  <w:color w:val="585858"/>
                                  <w:sz w:val="10"/>
                                </w:rPr>
                                <w:t>Rho=0,35</w:t>
                              </w:r>
                            </w:p>
                          </w:txbxContent>
                        </wps:txbx>
                        <wps:bodyPr horzOverflow="overflow" vert="horz" lIns="0" tIns="0" rIns="0" bIns="0" rtlCol="0">
                          <a:noAutofit/>
                        </wps:bodyPr>
                      </wps:wsp>
                      <wps:wsp>
                        <wps:cNvPr id="22814" name="Shape 22814"/>
                        <wps:cNvSpPr/>
                        <wps:spPr>
                          <a:xfrm>
                            <a:off x="0" y="0"/>
                            <a:ext cx="5104599" cy="2358629"/>
                          </a:xfrm>
                          <a:custGeom>
                            <a:avLst/>
                            <a:gdLst/>
                            <a:ahLst/>
                            <a:cxnLst/>
                            <a:rect l="0" t="0" r="0" b="0"/>
                            <a:pathLst>
                              <a:path w="5104599" h="2358629">
                                <a:moveTo>
                                  <a:pt x="0" y="0"/>
                                </a:moveTo>
                                <a:lnTo>
                                  <a:pt x="5104599" y="0"/>
                                </a:lnTo>
                                <a:lnTo>
                                  <a:pt x="5104599" y="2358629"/>
                                </a:lnTo>
                                <a:lnTo>
                                  <a:pt x="0" y="2358629"/>
                                </a:lnTo>
                                <a:close/>
                              </a:path>
                            </a:pathLst>
                          </a:custGeom>
                          <a:ln w="6917"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211886" o:spid="_x0000_s1818" style="width:401.95pt;height:185.7pt;mso-position-horizontal-relative:char;mso-position-vertical-relative:line" coordsize="51045,2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">
                <v:shape id="Shape 22747" o:spid="_x0000_s1819" style="position:absolute;left:2005;top:20888;width:48210;height:0;visibility:visible;mso-wrap-style:square;v-text-anchor:top" coordsize="482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AhcQA&#10;AADeAAAADwAAAGRycy9kb3ducmV2LnhtbESPQWsCMRSE7wX/Q3hCbzXrUqqsRtEVwWutCt4em9fN&#10;0uRl2URd/70RhB6HmfmGmS97Z8WVutB4VjAeZSCIK68brhUcfrYfUxAhImu0nknBnQIsF4O3ORba&#10;3/ibrvtYiwThUKACE2NbSBkqQw7DyLfEyfv1ncOYZFdL3eEtwZ2VeZZ9SYcNpwWDLZWGqr/9xSlo&#10;Tva82W3XU3msy80x2mDKc6XU+7BfzUBE6uN/+NXeaQV5PvmcwPNOu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AIXEAAAA3gAAAA8AAAAAAAAAAAAAAAAAmAIAAGRycy9k&#10;b3ducmV2LnhtbFBLBQYAAAAABAAEAPUAAACJAwAAAAA=&#10;" path="m,l4821010,e" filled="f" strokecolor="#d9d9d9" strokeweight=".19214mm">
                  <v:path arrowok="t" textboxrect="0,0,4821010,0"/>
                </v:shape>
                <v:shape id="Shape 22748" o:spid="_x0000_s1820" style="position:absolute;left:2005;top:19297;width:48210;height:0;visibility:visible;mso-wrap-style:square;v-text-anchor:top" coordsize="482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U98EA&#10;AADeAAAADwAAAGRycy9kb3ducmV2LnhtbERPTYvCMBC9L/gfwgje1tQiu1KNohXB67oqeBuasSkm&#10;k9JE7f77zUHw+Hjfi1XvrHhQFxrPCibjDARx5XXDtYLj7+5zBiJEZI3WMyn4owCr5eBjgYX2T/6h&#10;xyHWIoVwKFCBibEtpAyVIYdh7FvixF195zAm2NVSd/hM4c7KPMu+pMOGU4PBlkpD1e1wdwqas71s&#10;97vNTJ7qcnuKNpjyUik1GvbrOYhIfXyLX+69VpDn39O0N91JV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UlPfBAAAA3gAAAA8AAAAAAAAAAAAAAAAAmAIAAGRycy9kb3du&#10;cmV2LnhtbFBLBQYAAAAABAAEAPUAAACGAwAAAAA=&#10;" path="m,l4821010,e" filled="f" strokecolor="#d9d9d9" strokeweight=".19214mm">
                  <v:path arrowok="t" textboxrect="0,0,4821010,0"/>
                </v:shape>
                <v:shape id="Shape 22749" o:spid="_x0000_s1821" style="position:absolute;left:2005;top:17707;width:48210;height:0;visibility:visible;mso-wrap-style:square;v-text-anchor:top" coordsize="482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xbMYA&#10;AADeAAAADwAAAGRycy9kb3ducmV2LnhtbESPQWvCQBSE7wX/w/KE3urGUNSm2YiNCF6rteDtkX3N&#10;hu6+Ddmtpv++KxQ8DjPzDVOuR2fFhYbQeVYwn2UgiBuvO24VfBx3TysQISJrtJ5JwS8FWFeThxIL&#10;7a/8TpdDbEWCcChQgYmxL6QMjSGHYeZ74uR9+cFhTHJopR7wmuDOyjzLFtJhx2nBYE+1oeb78OMU&#10;dJ/2vN3v3lby1NbbU7TB1OdGqcfpuHkFEWmM9/B/e68V5Pny+QVud9IVk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gxbMYAAADeAAAADwAAAAAAAAAAAAAAAACYAgAAZHJz&#10;L2Rvd25yZXYueG1sUEsFBgAAAAAEAAQA9QAAAIsDAAAAAA==&#10;" path="m,l4821010,e" filled="f" strokecolor="#d9d9d9" strokeweight=".19214mm">
                  <v:path arrowok="t" textboxrect="0,0,4821010,0"/>
                </v:shape>
                <v:shape id="Shape 22750" o:spid="_x0000_s1822" style="position:absolute;left:2005;top:16185;width:48210;height:0;visibility:visible;mso-wrap-style:square;v-text-anchor:top" coordsize="482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OLMMA&#10;AADeAAAADwAAAGRycy9kb3ducmV2LnhtbESPzYrCMBSF9wO+Q7iCuzG14IxUo2hFcDuOCu4uzbUp&#10;Jjelidp5+8lCcHk4f3yLVe+seFAXGs8KJuMMBHHldcO1guPv7nMGIkRkjdYzKfijAKvl4GOBhfZP&#10;/qHHIdYijXAoUIGJsS2kDJUhh2HsW+LkXX3nMCbZ1VJ3+Ezjzso8y76kw4bTg8GWSkPV7XB3Cpqz&#10;vWz3u81Mnupye4o2mPJSKTUa9us5iEh9fIdf7b1WkOff0wSQcBIK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sOLMMAAADeAAAADwAAAAAAAAAAAAAAAACYAgAAZHJzL2Rv&#10;d25yZXYueG1sUEsFBgAAAAAEAAQA9QAAAIgDAAAAAA==&#10;" path="m,l4821010,e" filled="f" strokecolor="#d9d9d9" strokeweight=".19214mm">
                  <v:path arrowok="t" textboxrect="0,0,4821010,0"/>
                </v:shape>
                <v:shape id="Shape 22751" o:spid="_x0000_s1823" style="position:absolute;left:2005;top:14594;width:48210;height:0;visibility:visible;mso-wrap-style:square;v-text-anchor:top" coordsize="482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rt8QA&#10;AADeAAAADwAAAGRycy9kb3ducmV2LnhtbESPQWsCMRSE7wX/Q3iCt5p1oVZWo+iK4LVWBW+Pzetm&#10;afKybFJd/30jCB6HmfmGWax6Z8WVutB4VjAZZyCIK68brhUcv3fvMxAhImu0nknBnQKsloO3BRba&#10;3/iLrodYiwThUKACE2NbSBkqQw7D2LfEyfvxncOYZFdL3eEtwZ2VeZZNpcOG04LBlkpD1e/hzylo&#10;zvay3e82M3mqy+0p2mDKS6XUaNiv5yAi9fEVfrb3WkGef35M4HEnX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7fEAAAA3gAAAA8AAAAAAAAAAAAAAAAAmAIAAGRycy9k&#10;b3ducmV2LnhtbFBLBQYAAAAABAAEAPUAAACJAwAAAAA=&#10;" path="m,l4821010,e" filled="f" strokecolor="#d9d9d9" strokeweight=".19214mm">
                  <v:path arrowok="t" textboxrect="0,0,4821010,0"/>
                </v:shape>
                <v:shape id="Shape 22752" o:spid="_x0000_s1824" style="position:absolute;left:2005;top:13003;width:48210;height:0;visibility:visible;mso-wrap-style:square;v-text-anchor:top" coordsize="482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1wMUA&#10;AADeAAAADwAAAGRycy9kb3ducmV2LnhtbESPQWvCQBSE74L/YXmF3nTTQKukboJGBK9qLXh7ZF+z&#10;wd23IbvV9N+7hUKPw8x8w6yq0VlxoyF0nhW8zDMQxI3XHbcKPk672RJEiMgarWdS8EMBqnI6WWGh&#10;/Z0PdDvGViQIhwIVmBj7QsrQGHIY5r4nTt6XHxzGJIdW6gHvCe6szLPsTTrsOC0Y7Kk21FyP305B&#10;92kv2/1us5Tntt6eow2mvjRKPT+N63cQkcb4H/5r77WCPF+85vB7J10BW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TXAxQAAAN4AAAAPAAAAAAAAAAAAAAAAAJgCAABkcnMv&#10;ZG93bnJldi54bWxQSwUGAAAAAAQABAD1AAAAigMAAAAA&#10;" path="m,l4821010,e" filled="f" strokecolor="#d9d9d9" strokeweight=".19214mm">
                  <v:path arrowok="t" textboxrect="0,0,4821010,0"/>
                </v:shape>
                <v:shape id="Shape 22753" o:spid="_x0000_s1825" style="position:absolute;left:2005;top:11481;width:48210;height:0;visibility:visible;mso-wrap-style:square;v-text-anchor:top" coordsize="482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QW8YA&#10;AADeAAAADwAAAGRycy9kb3ducmV2LnhtbESPQWvCQBSE7wX/w/KE3pqNKVpJXcVGBK/VWsjtkX3N&#10;hu6+Ddmtpv++KxQ8DjPzDbPajM6KCw2h86xgluUgiBuvO24VfJz2T0sQISJrtJ5JwS8F2KwnDyss&#10;tb/yO12OsRUJwqFEBSbGvpQyNIYchsz3xMn78oPDmOTQSj3gNcGdlUWeL6TDjtOCwZ4qQ8338ccp&#10;6D5tvTvs35by3Fa7c7TBVHWj1ON03L6CiDTGe/i/fdAKiuJl/gy3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mQW8YAAADeAAAADwAAAAAAAAAAAAAAAACYAgAAZHJz&#10;L2Rvd25yZXYueG1sUEsFBgAAAAAEAAQA9QAAAIsDAAAAAA==&#10;" path="m,l4821010,e" filled="f" strokecolor="#d9d9d9" strokeweight=".19214mm">
                  <v:path arrowok="t" textboxrect="0,0,4821010,0"/>
                </v:shape>
                <v:shape id="Shape 22754" o:spid="_x0000_s1826" style="position:absolute;left:2005;top:9891;width:48210;height:0;visibility:visible;mso-wrap-style:square;v-text-anchor:top" coordsize="482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IL8YA&#10;AADeAAAADwAAAGRycy9kb3ducmV2LnhtbESPQWvCQBSE7wX/w/KE3pqNoVpJXcVGBK/VWsjtkX3N&#10;hu6+Ddmtpv++KxQ8DjPzDbPajM6KCw2h86xgluUgiBuvO24VfJz2T0sQISJrtJ5JwS8F2KwnDyss&#10;tb/yO12OsRUJwqFEBSbGvpQyNIYchsz3xMn78oPDmOTQSj3gNcGdlUWeL6TDjtOCwZ4qQ8338ccp&#10;6D5tvTvs35by3Fa7c7TBVHWj1ON03L6CiDTGe/i/fdAKiuJl/gy3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AIL8YAAADeAAAADwAAAAAAAAAAAAAAAACYAgAAZHJz&#10;L2Rvd25yZXYueG1sUEsFBgAAAAAEAAQA9QAAAIsDAAAAAA==&#10;" path="m,l4821010,e" filled="f" strokecolor="#d9d9d9" strokeweight=".19214mm">
                  <v:path arrowok="t" textboxrect="0,0,4821010,0"/>
                </v:shape>
                <v:shape id="Shape 22755" o:spid="_x0000_s1827" style="position:absolute;left:2005;top:8369;width:48210;height:0;visibility:visible;mso-wrap-style:square;v-text-anchor:top" coordsize="482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ttMQA&#10;AADeAAAADwAAAGRycy9kb3ducmV2LnhtbESPT2sCMRTE74V+h/AK3mq2C1ZZjdKuCF79C94em+dm&#10;MXlZNqmu394UBI/DzPyGmS16Z8WVutB4VvA1zEAQV143XCvY71afExAhImu0nknBnQIs5u9vMyy0&#10;v/GGrttYiwThUKACE2NbSBkqQw7D0LfEyTv7zmFMsqul7vCW4M7KPMu+pcOG04LBlkpD1WX75xQ0&#10;R3tarle/E3moy+Uh2mDKU6XU4KP/mYKI1MdX+NleawV5Ph6N4P9Ou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MrbTEAAAA3gAAAA8AAAAAAAAAAAAAAAAAmAIAAGRycy9k&#10;b3ducmV2LnhtbFBLBQYAAAAABAAEAPUAAACJAwAAAAA=&#10;" path="m,l4821010,e" filled="f" strokecolor="#d9d9d9" strokeweight=".19214mm">
                  <v:path arrowok="t" textboxrect="0,0,4821010,0"/>
                </v:shape>
                <v:shape id="Shape 22756" o:spid="_x0000_s1828" style="position:absolute;left:2005;top:6778;width:48210;height:0;visibility:visible;mso-wrap-style:square;v-text-anchor:top" coordsize="482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zw8QA&#10;AADeAAAADwAAAGRycy9kb3ducmV2LnhtbESPQWsCMRSE7wX/Q3hCbzXrQq2sRtEVwWutCt4em9fN&#10;0uRl2URd/70pCB6HmfmGmS97Z8WVutB4VjAeZSCIK68brhUcfrYfUxAhImu0nknBnQIsF4O3ORba&#10;3/ibrvtYiwThUKACE2NbSBkqQw7DyLfEyfv1ncOYZFdL3eEtwZ2VeZZNpMOG04LBlkpD1d/+4hQ0&#10;J3ve7LbrqTzW5eYYbTDluVLqfdivZiAi9fEVfrZ3WkGef31O4P9Ou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eM8PEAAAA3gAAAA8AAAAAAAAAAAAAAAAAmAIAAGRycy9k&#10;b3ducmV2LnhtbFBLBQYAAAAABAAEAPUAAACJAwAAAAA=&#10;" path="m,l4821010,e" filled="f" strokecolor="#d9d9d9" strokeweight=".19214mm">
                  <v:path arrowok="t" textboxrect="0,0,4821010,0"/>
                </v:shape>
                <v:shape id="Shape 22757" o:spid="_x0000_s1829" style="position:absolute;left:2005;top:5187;width:48210;height:0;visibility:visible;mso-wrap-style:square;v-text-anchor:top" coordsize="482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dNcgA&#10;AADeAAAADwAAAGRycy9kb3ducmV2LnhtbESP3WoCMRSE7wt9h3AEb0SzXVp/VqOIUCq9qX8PcNwc&#10;N4ubk2WT6urTG6HQy2FmvmFmi9ZW4kKNLx0reBskIIhzp0suFBz2n/0xCB+QNVaOScGNPCzmry8z&#10;zLS78pYuu1CICGGfoQITQp1J6XNDFv3A1cTRO7nGYoiyKaRu8BrhtpJpkgylxZLjgsGaVoby8+7X&#10;Kvji4Tsevye9/fF+vm+WP5vc9Aqlup12OQURqA3/4b/2WitI09HHCJ534hW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mt01yAAAAN4AAAAPAAAAAAAAAAAAAAAAAJgCAABk&#10;cnMvZG93bnJldi54bWxQSwUGAAAAAAQABAD1AAAAjQMAAAAA&#10;" path="m,l4821010,1e" filled="f" strokecolor="#d9d9d9" strokeweight=".19214mm">
                  <v:path arrowok="t" textboxrect="0,0,4821010,1"/>
                </v:shape>
                <v:shape id="Shape 22758" o:spid="_x0000_s1830" style="position:absolute;left:5014;top:5775;width:42124;height:4842;visibility:visible;mso-wrap-style:square;v-text-anchor:top" coordsize="4212332,48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4csQA&#10;AADeAAAADwAAAGRycy9kb3ducmV2LnhtbERPz2vCMBS+D/wfwhO8iKYWnFKNIo7pLg6mHvT2bJ5t&#10;MXkpTdTuvzeHwY4f3+/5srVGPKjxlWMFo2ECgjh3uuJCwfHwOZiC8AFZo3FMCn7Jw3LReZtjpt2T&#10;f+ixD4WIIewzVFCGUGdS+rwki37oauLIXV1jMUTYFFI3+Izh1sg0Sd6lxYpjQ4k1rUvKb/u7VbDZ&#10;4apv0u+8jyNTf1zHp+3lfFKq121XMxCB2vAv/nN/aQVpOhnHvfFOv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1OHLEAAAA3gAAAA8AAAAAAAAAAAAAAAAAmAIAAGRycy9k&#10;b3ducmV2LnhtbFBLBQYAAAAABAAEAPUAAACJAwAAAAA=&#10;" path="m,l601762,48418r601761,55334l1805285,166003r601762,76085l3008809,318173r601761,76085l4212332,484176e" filled="f" strokecolor="#5b9bd5" strokeweight=".38428mm">
                  <v:stroke endcap="round"/>
                  <v:path arrowok="t" textboxrect="0,0,4212332,484176"/>
                </v:shape>
                <v:shape id="Shape 22759" o:spid="_x0000_s1831" style="position:absolute;left:5014;top:6259;width:42124;height:7055;visibility:visible;mso-wrap-style:square;v-text-anchor:top" coordsize="4212332,70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f2skA&#10;AADeAAAADwAAAGRycy9kb3ducmV2LnhtbESPW2sCMRSE3wv9D+EU+lI069J6WY0i0lJ9Ei8Ivh02&#10;x93FzcmaRN3+e1Mo9HGYmW+Yyaw1tbiR85VlBb1uAoI4t7riQsF+99UZgvABWWNtmRT8kIfZ9Plp&#10;gpm2d97QbRsKESHsM1RQhtBkUvq8JIO+axvi6J2sMxiidIXUDu8RbmqZJklfGqw4LpTY0KKk/Ly9&#10;GgWV2+zf19/H0dvqMr98HhaD3enqlHp9aedjEIHa8B/+ay+1gjQdfIzg9068AnL6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bAf2skAAADeAAAADwAAAAAAAAAAAAAAAACYAgAA&#10;ZHJzL2Rvd25yZXYueG1sUEsFBgAAAAAEAAQA9QAAAI4DAAAAAA==&#10;" path="m,l601762,76085r601761,89918l1805285,262838r601762,110669l3008809,477259r601761,117586l4212332,705514e" filled="f" strokecolor="#ed7d31" strokeweight=".38428mm">
                  <v:stroke endcap="round"/>
                  <v:path arrowok="t" textboxrect="0,0,4212332,705514"/>
                </v:shape>
                <v:shape id="Shape 22760" o:spid="_x0000_s1832" style="position:absolute;left:5014;top:6813;width:42124;height:9061;visibility:visible;mso-wrap-style:square;v-text-anchor:top" coordsize="4212332,90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Ow8UA&#10;AADeAAAADwAAAGRycy9kb3ducmV2LnhtbESPzYrCMBSF98K8Q7gDsxFNLailGkWEgVE3Wl24vDZ3&#10;2jLNTWkyWn16sxBcHs4f33zZmVpcqXWVZQWjYQSCOLe64kLB6fg9SEA4j6yxtkwK7uRgufjozTHV&#10;9sYHuma+EGGEXYoKSu+bVEqXl2TQDW1DHLxf2xr0QbaF1C3ewripZRxFE2mw4vBQYkPrkvK/7N8o&#10;uIw3/f0q221NNU7OJ/voam0PSn19dqsZCE+df4df7R+tII6nkwAQcAIK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47DxQAAAN4AAAAPAAAAAAAAAAAAAAAAAJgCAABkcnMv&#10;ZG93bnJldi54bWxQSwUGAAAAAAQABAD1AAAAigMAAAAA&#10;" path="m,l601762,110669r601761,117585l1805285,359674r601762,138336l3008809,636346r601761,138336l4212332,906101e" filled="f" strokecolor="#a4a4a4" strokeweight=".38428mm">
                  <v:stroke endcap="round"/>
                  <v:path arrowok="t" textboxrect="0,0,4212332,906101"/>
                </v:shape>
                <v:shape id="Shape 22761" o:spid="_x0000_s1833" style="position:absolute;left:5014;top:7435;width:42124;height:10652;visibility:visible;mso-wrap-style:square;v-text-anchor:top" coordsize="4212332,106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ypsgA&#10;AADeAAAADwAAAGRycy9kb3ducmV2LnhtbESPQWvCQBSE70L/w/IKvenGQDVEVymKtIceqrZ6fWSf&#10;SWr2bcxuY+qvdwXB4zAz3zDTeWcq0VLjSssKhoMIBHFmdcm5gu/tqp+AcB5ZY2WZFPyTg/nsqTfF&#10;VNszr6nd+FwECLsUFRTe16mULivIoBvYmjh4B9sY9EE2udQNngPcVDKOopE0WHJYKLCmRUHZcfNn&#10;FJjx6djulr/m8PP5nu9fXfJ12SdKvTx3bxMQnjr/CN/bH1pBHI9HQ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fKmyAAAAN4AAAAPAAAAAAAAAAAAAAAAAJgCAABk&#10;cnMvZG93bnJldi54bWxQSwUGAAAAAAQABAD1AAAAjQMAAAAA&#10;" path="m,l601762,145253r601761,152169l1805285,456509r601762,166003l3008809,774682r601761,152169l4212332,1065187e" filled="f" strokecolor="#ffc000" strokeweight=".38428mm">
                  <v:stroke endcap="round"/>
                  <v:path arrowok="t" textboxrect="0,0,4212332,1065187"/>
                </v:shape>
                <v:shape id="Shape 22762" o:spid="_x0000_s1834" style="position:absolute;left:5014;top:8127;width:42124;height:11827;visibility:visible;mso-wrap-style:square;v-text-anchor:top" coordsize="4212332,118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w68IA&#10;AADeAAAADwAAAGRycy9kb3ducmV2LnhtbESPT4vCMBTE78J+h/AEbza1QnepRpF1F7z6B89vm2db&#10;2ryUJGr99kYQ9jjMzG+Y5XownbiR841lBbMkBUFcWt1wpeB0/J1+gfABWWNnmRQ8yMN69TFaYqHt&#10;nfd0O4RKRAj7AhXUIfSFlL6syaBPbE8cvYt1BkOUrpLa4T3CTSezNM2lwYbjQo09fddUtoeriRRz&#10;1O0Pti5PaVbZ7W4+nP/mSk3Gw2YBItAQ/sPv9k4ryLLPPIPXnXgF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bDrwgAAAN4AAAAPAAAAAAAAAAAAAAAAAJgCAABkcnMvZG93&#10;bnJldi54bWxQSwUGAAAAAAQABAD1AAAAhwMAAAAA&#10;" path="m,l601762,172920r601761,179837l1805285,539511r601762,179836l3008809,885350r601761,159087l4212332,1182773e" filled="f" strokecolor="#4471c4" strokeweight=".38428mm">
                  <v:stroke endcap="round"/>
                  <v:path arrowok="t" textboxrect="0,0,4212332,1182773"/>
                </v:shape>
                <v:rect id="Rectangle 22763" o:spid="_x0000_s1835" style="position:absolute;left:864;top:20503;width:27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AHsgA&#10;AADeAAAADwAAAGRycy9kb3ducmV2LnhtbESPT2vCQBTE7wW/w/KE3urGFNKYZhXRFj36D2xvj+xr&#10;Esy+DdmtSfvpu0LB4zAzv2HyxWAacaXO1ZYVTCcRCOLC6ppLBafj+1MKwnlkjY1lUvBDDhbz0UOO&#10;mbY97+l68KUIEHYZKqi8bzMpXVGRQTexLXHwvmxn0AfZlVJ32Ae4aWQcRYk0WHNYqLClVUXF5fBt&#10;FGzSdvmxtb992bx9bs6782x9nHmlHsfD8hWEp8Hfw//trVYQxy/J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i0AeyAAAAN4AAAAPAAAAAAAAAAAAAAAAAJgCAABk&#10;cnMvZG93bnJldi54bWxQSwUGAAAAAAQABAD1AAAAjQM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64" o:spid="_x0000_s1836" style="position:absolute;left:1072;top:20503;width:41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YasgA&#10;AADeAAAADwAAAGRycy9kb3ducmV2LnhtbESPT2vCQBTE7wW/w/KE3urGUNKYZhXRFj36D2xvj+xr&#10;Esy+DdmtSfvpu0LB4zAzv2HyxWAacaXO1ZYVTCcRCOLC6ppLBafj+1MKwnlkjY1lUvBDDhbz0UOO&#10;mbY97+l68KUIEHYZKqi8bzMpXVGRQTexLXHwvmxn0AfZlVJ32Ae4aWQcRYk0WHNYqLClVUXF5fBt&#10;FGzSdvmxtb992bx9bs6782x9nHmlHsfD8hWEp8Hfw//trVYQxy/J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YthqyAAAAN4AAAAPAAAAAAAAAAAAAAAAAJgCAABk&#10;cnMvZG93bnJldi54bWxQSwUGAAAAAAQABAD1AAAAjQMAAAAA&#10;" filled="f" stroked="f">
                  <v:textbox inset="0,0,0,0">
                    <w:txbxContent>
                      <w:p w:rsidR="00EE13F6" w:rsidRDefault="002E5BC4">
                        <w:r>
                          <w:rPr>
                            <w:rFonts w:ascii="Times New Roman" w:eastAsia="Times New Roman" w:hAnsi="Times New Roman" w:cs="Times New Roman"/>
                            <w:color w:val="585858"/>
                            <w:sz w:val="10"/>
                          </w:rPr>
                          <w:t>5</w:t>
                        </w:r>
                      </w:p>
                    </w:txbxContent>
                  </v:textbox>
                </v:rect>
                <v:rect id="Rectangle 22765" o:spid="_x0000_s1837" style="position:absolute;left:423;top:18937;width:27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98cgA&#10;AADeAAAADwAAAGRycy9kb3ducmV2LnhtbESPT2vCQBTE7wW/w/KE3urGQNOYZhXRFj36D2xvj+xr&#10;Esy+DdmtSfvpu0LB4zAzv2HyxWAacaXO1ZYVTCcRCOLC6ppLBafj+1MKwnlkjY1lUvBDDhbz0UOO&#10;mbY97+l68KUIEHYZKqi8bzMpXVGRQTexLXHwvmxn0AfZlVJ32Ae4aWQcRYk0WHNYqLClVUXF5fBt&#10;FGzSdvmxtb992bx9bs6782x9nHmlHsfD8hWEp8Hfw//trVYQxy/J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Ln3xyAAAAN4AAAAPAAAAAAAAAAAAAAAAAJgCAABk&#10;cnMvZG93bnJldi54bWxQSwUGAAAAAAQABAD1AAAAjQM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66" o:spid="_x0000_s1838" style="position:absolute;left:631;top:18937;width:41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jhsYA&#10;AADeAAAADwAAAGRycy9kb3ducmV2LnhtbESPQWvCQBSE74L/YXmCN92YQ9TUVcRW9Gi1YHt7ZJ9J&#10;MPs2ZFcT/fVuodDjMDPfMItVZypxp8aVlhVMxhEI4szqknMFX6ftaAbCeWSNlWVS8CAHq2W/t8BU&#10;25Y/6X70uQgQdikqKLyvUyldVpBBN7Y1cfAutjHog2xyqRtsA9xUMo6iRBosOSwUWNOmoOx6vBkF&#10;u1m9/t7bZ5tXHz+78+E8fz/NvVLDQbd+A+Gp8//hv/ZeK4jjaZLA751wBe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zjhs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0"/>
                          </w:rPr>
                          <w:t>4</w:t>
                        </w:r>
                      </w:p>
                    </w:txbxContent>
                  </v:textbox>
                </v:rect>
                <v:rect id="Rectangle 22767" o:spid="_x0000_s1839" style="position:absolute;left:977;top:18937;width:20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GHccA&#10;AADeAAAADwAAAGRycy9kb3ducmV2LnhtbESPS4vCQBCE74L/YWjBm07MwUfWUcQHelwf4O6tyfQm&#10;wUxPyIwmu79+RxA8FlX1FTVftqYUD6pdYVnBaBiBIE6tLjhTcDnvBlMQziNrLC2Tgl9ysFx0O3NM&#10;tG34SI+Tz0SAsEtQQe59lUjp0pwMuqGtiIP3Y2uDPsg6k7rGJsBNKeMoGkuDBYeFHCta55TeTnej&#10;YD+tVl8H+9dk5fZ7f/28zjbnmVeq32tXHyA8tf4dfrUPWkEcT8YTeN4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Rh3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68" o:spid="_x0000_s1840" style="position:absolute;left:1115;top:18937;width:41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b8MA&#10;AADeAAAADwAAAGRycy9kb3ducmV2LnhtbERPy4rCMBTdD/gP4QruxtQufFSjiDOiS0cFdXdprm2x&#10;uSlNtNWvN4sBl4fzni1aU4oH1a6wrGDQj0AQp1YXnCk4HtbfYxDOI2ssLZOCJzlYzDtfM0y0bfiP&#10;HnufiRDCLkEFufdVIqVLczLo+rYiDtzV1gZ9gHUmdY1NCDeljKNoKA0WHBpyrGiVU3rb342Czbha&#10;nrf21WTl72Vz2p0mP4eJV6rXbZdTEJ5a/xH/u7daQRyPhm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Sb8MAAADeAAAADwAAAAAAAAAAAAAAAACYAgAAZHJzL2Rv&#10;d25yZXYueG1sUEsFBgAAAAAEAAQA9QAAAIgDAAAAAA==&#10;" filled="f" stroked="f">
                  <v:textbox inset="0,0,0,0">
                    <w:txbxContent>
                      <w:p w:rsidR="00EE13F6" w:rsidRDefault="002E5BC4">
                        <w:r>
                          <w:rPr>
                            <w:rFonts w:ascii="Times New Roman" w:eastAsia="Times New Roman" w:hAnsi="Times New Roman" w:cs="Times New Roman"/>
                            <w:color w:val="585858"/>
                            <w:sz w:val="10"/>
                          </w:rPr>
                          <w:t>5</w:t>
                        </w:r>
                      </w:p>
                    </w:txbxContent>
                  </v:textbox>
                </v:rect>
                <v:rect id="Rectangle 22769" o:spid="_x0000_s1841" style="position:absolute;left:864;top:17372;width:27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39MYA&#10;AADeAAAADwAAAGRycy9kb3ducmV2LnhtbESPQWvCQBSE7wX/w/IEb3VjDmpSVxFb0aPVgu3tkX0m&#10;wezbkF1N9Ne7BcHjMDPfMLNFZypxpcaVlhWMhhEI4szqknMFP4f1+xSE88gaK8uk4EYOFvPe2wxT&#10;bVv+puve5yJA2KWooPC+TqV0WUEG3dDWxME72cagD7LJpW6wDXBTyTiKxtJgyWGhwJpWBWXn/cUo&#10;2Ezr5e/W3tu8+vrbHHfH5POQeKUG/W75AcJT51/hZ3urFcTxZJz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N39MYAAADeAAAADwAAAAAAAAAAAAAAAACYAgAAZHJz&#10;L2Rvd25yZXYueG1sUEsFBgAAAAAEAAQA9QAAAIsDA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70" o:spid="_x0000_s1842" style="position:absolute;left:1072;top:17372;width:41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ItMcA&#10;AADeAAAADwAAAGRycy9kb3ducmV2LnhtbESPy2qDQBSG94W+w3AK3TVjXTTRZCLSpOgyl0Ka3cE5&#10;ValzRpxptH36zCKQ5c9/41tlk+nEhQbXWlbwOotAEFdWt1wr+Dx+vCxAOI+ssbNMCv7IQbZ+fFhh&#10;qu3Ie7ocfC3CCLsUFTTe96mUrmrIoJvZnjh433Yw6IMcaqkHHMO46WQcRW/SYMvhocGe3huqfg6/&#10;RkGx6POv0v6Pdbc9F6fdKdkcE6/U89OUL0F4mvw9fGuXWkEcz+cBIOAEFJ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LT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4</w:t>
                        </w:r>
                      </w:p>
                    </w:txbxContent>
                  </v:textbox>
                </v:rect>
                <v:rect id="Rectangle 22771" o:spid="_x0000_s1843" style="position:absolute;left:423;top:15806;width:27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tL8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EcDwY9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M7S/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72" o:spid="_x0000_s1844" style="position:absolute;left:631;top:15806;width:41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zWMcA&#10;AADeAAAADwAAAGRycy9kb3ducmV2LnhtbESPQWvCQBSE74L/YXlCb7oxh5pE1xBsRY+tFqy3R/Y1&#10;Cc2+DdnVpP313UKhx2FmvmE2+WhacafeNZYVLBcRCOLS6oYrBW/n/TwB4TyyxtYyKfgiB/l2Otlg&#10;pu3Ar3Q/+UoECLsMFdTed5mUrqzJoFvYjjh4H7Y36IPsK6l7HALctDKOokdpsOGwUGNHu5rKz9PN&#10;KDgkXfF+tN9D1T5fD5eXS/p0Tr1SD7OxWIPwNPr/8F/7qBXE8WoVw++dc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ec1j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3</w:t>
                        </w:r>
                      </w:p>
                    </w:txbxContent>
                  </v:textbox>
                </v:rect>
                <v:rect id="Rectangle 22773" o:spid="_x0000_s1845" style="position:absolute;left:977;top:15806;width:20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Ww8cA&#10;AADeAAAADwAAAGRycy9kb3ducmV2LnhtbESPT2vCQBTE7wW/w/IEb3VjCjWmriLaokf/FGxvj+xr&#10;Esy+DdnVRD+9Kwg9DjPzG2Y670wlLtS40rKC0TACQZxZXXKu4Pvw9ZqAcB5ZY2WZFFzJwXzWe5li&#10;qm3LO7rsfS4ChF2KCgrv61RKlxVk0A1tTRy8P9sY9EE2udQNtgFuKhlH0bs0WHJYKLCmZUHZaX82&#10;CtZJvfjZ2FubV5+/6+P2OFkdJl6pQb9bfIDw1Pn/8LO90QrieDx+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S1sP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74" o:spid="_x0000_s1846" style="position:absolute;left:1115;top:15806;width:41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Ot8cA&#10;AADeAAAADwAAAGRycy9kb3ducmV2LnhtbESPT2vCQBTE7wW/w/IEb3VjKDWmriLaokf/FGxvj+xr&#10;Esy+DdnVRD+9Kwg9DjPzG2Y670wlLtS40rKC0TACQZxZXXKu4Pvw9ZqAcB5ZY2WZFFzJwXzWe5li&#10;qm3LO7rsfS4ChF2KCgrv61RKlxVk0A1tTRy8P9sY9EE2udQNtgFuKhlH0bs0WHJYKLCmZUHZaX82&#10;CtZJvfjZ2FubV5+/6+P2OFkdJl6pQb9bfIDw1Pn/8LO90QrieDx+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7Trf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5</w:t>
                        </w:r>
                      </w:p>
                    </w:txbxContent>
                  </v:textbox>
                </v:rect>
                <v:rect id="Rectangle 22775" o:spid="_x0000_s1847" style="position:absolute;left:864;top:14241;width:276;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LMcA&#10;AADeAAAADwAAAGRycy9kb3ducmV2LnhtbESPT2vCQBTE7wW/w/IEb3VjoDWmriLaokf/FGxvj+xr&#10;Esy+DdnVRD+9Kwg9DjPzG2Y670wlLtS40rKC0TACQZxZXXKu4Pvw9ZqAcB5ZY2WZFFzJwXzWe5li&#10;qm3LO7rsfS4ChF2KCgrv61RKlxVk0A1tTRy8P9sY9EE2udQNtgFuKhlH0bs0WHJYKLCmZUHZaX82&#10;CtZJvfjZ2FubV5+/6+P2OFkdJl6pQb9bfIDw1Pn/8LO90QrieDx+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6yz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76" o:spid="_x0000_s1848" style="position:absolute;left:1072;top:14241;width:414;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1W8cA&#10;AADeAAAADwAAAGRycy9kb3ducmV2LnhtbESPS4vCQBCE74L/YWjBm07MwUfWUcQHelwf4O6tyfQm&#10;wUxPyIwmu79+RxA8FlX1FTVftqYUD6pdYVnBaBiBIE6tLjhTcDnvBlMQziNrLC2Tgl9ysFx0O3NM&#10;tG34SI+Tz0SAsEtQQe59lUjp0pwMuqGtiIP3Y2uDPsg6k7rGJsBNKeMoGkuDBYeFHCta55TeTnej&#10;YD+tVl8H+9dk5fZ7f/28zjbnmVeq32tXHyA8tf4dfrUPWkEcTyZjeN4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ldVv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3</w:t>
                        </w:r>
                      </w:p>
                    </w:txbxContent>
                  </v:textbox>
                </v:rect>
                <v:rect id="Rectangle 22777" o:spid="_x0000_s1849" style="position:absolute;left:423;top:12675;width:27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QwMcA&#10;AADeAAAADwAAAGRycy9kb3ducmV2LnhtbESPQWvCQBSE74L/YXlCb7oxh0bTrCK2okerBdvbI/tM&#10;gtm3IbsmaX+9Wyj0OMzMN0y2HkwtOmpdZVnBfBaBIM6trrhQ8HHeTRcgnEfWWFsmBd/kYL0ajzJM&#10;te35nbqTL0SAsEtRQel9k0rp8pIMupltiIN3ta1BH2RbSN1iH+CmlnEUPUuDFYeFEhvalpTfTnej&#10;YL9oNp8H+9MX9dvX/nK8LF/PS6/U02TYvIDwNPj/8F/7oBXEcZIk8HsnX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p0MD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78" o:spid="_x0000_s1850" style="position:absolute;left:631;top:12675;width:41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EssUA&#10;AADeAAAADwAAAGRycy9kb3ducmV2LnhtbERPu26DMBTdK/UfrFupW2PK0AQSB6EmFYx5VEqzXeFb&#10;QMXXCLuB9uvjIVLGo/NeZZPpxIUG11pW8DqLQBBXVrdcK/g8frwsQDiPrLGzTAr+yEG2fnxYYart&#10;yHu6HHwtQgi7FBU03veplK5qyKCb2Z44cN92MOgDHGqpBxxDuOlkHEVv0mDLoaHBnt4bqn4Ov0ZB&#10;sejzr9L+j3W3PRen3SnZHBOv1PPTlC9BeJr8XXxzl1pBHM/nYW+4E6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kSy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0"/>
                          </w:rPr>
                          <w:t>2</w:t>
                        </w:r>
                      </w:p>
                    </w:txbxContent>
                  </v:textbox>
                </v:rect>
                <v:rect id="Rectangle 22779" o:spid="_x0000_s1851" style="position:absolute;left:977;top:12675;width:20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hKccA&#10;AADeAAAADwAAAGRycy9kb3ducmV2LnhtbESPT2vCQBTE74V+h+UVvNVNc1ATXUXaih79B+rtkX1N&#10;QrNvQ3Y10U/vCoLHYWZ+w0xmnanEhRpXWlbw1Y9AEGdWl5wr2O8WnyMQziNrrCyTgis5mE3f3yaY&#10;atvyhi5bn4sAYZeigsL7OpXSZQUZdH1bEwfvzzYGfZBNLnWDbYCbSsZRNJAGSw4LBdb0XVD2vz0b&#10;BctRPT+u7K3Nq9/T8rA+JD+7xCvV++jmYxCeOv8KP9srrSCOh8ME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64Sn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80" o:spid="_x0000_s1852" style="position:absolute;left:1115;top:12675;width:41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4k8UA&#10;AADeAAAADwAAAGRycy9kb3ducmV2LnhtbESPy4rCMBSG98K8QzgDs9PULsZajSIzDrr0Buru0Bzb&#10;YnNSmmg7Pr1ZCC5//hvfdN6ZStypcaVlBcNBBII4s7rkXMFh/9dPQDiPrLGyTAr+ycF89tGbYqpt&#10;y1u673wuwgi7FBUU3teplC4ryKAb2Jo4eBfbGPRBNrnUDbZh3FQyjqJvabDk8FBgTT8FZdfdzShY&#10;JfXitLaPNq+W59Vxcxz/7sdeqa/PbjEB4anz7/CrvdYK4niUBICAE1B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TiT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0"/>
                          </w:rPr>
                          <w:t>5</w:t>
                        </w:r>
                      </w:p>
                    </w:txbxContent>
                  </v:textbox>
                </v:rect>
                <v:rect id="Rectangle 22781" o:spid="_x0000_s1853" style="position:absolute;left:864;top:11109;width:27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dCMcA&#10;AADeAAAADwAAAGRycy9kb3ducmV2LnhtbESPQWvCQBSE7wX/w/IEb3VjDhrTrCJa0WOrBdvbI/tM&#10;gtm3IbtNor++Wyj0OMzMN0y2HkwtOmpdZVnBbBqBIM6trrhQ8HHePycgnEfWWFsmBXdysF6NnjJM&#10;te35nbqTL0SAsEtRQel9k0rp8pIMuqltiIN3ta1BH2RbSN1iH+CmlnEUzaXBisNCiQ1tS8pvp2+j&#10;4JA0m8+jffRF/fp1uLxdlrvz0is1GQ+bFxCeBv8f/msftYI4XiQ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ZnQj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82" o:spid="_x0000_s1854" style="position:absolute;left:1072;top:11109;width:41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Df8cA&#10;AADeAAAADwAAAGRycy9kb3ducmV2LnhtbESPQWvCQBSE7wX/w/KE3urGHNoYsxHRFj22Kqi3R/aZ&#10;BLNvQ3Zr0v76bkHwOMzMN0y2GEwjbtS52rKC6SQCQVxYXXOp4LD/eElAOI+ssbFMCn7IwSIfPWWY&#10;atvzF912vhQBwi5FBZX3bSqlKyoy6Ca2JQ7exXYGfZBdKXWHfYCbRsZR9CoN1hwWKmxpVVFx3X0b&#10;BZukXZ629rcvm/fz5vh5nK33M6/U83hYzkF4GvwjfG9vtYI4fkti+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LA3/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2</w:t>
                        </w:r>
                      </w:p>
                    </w:txbxContent>
                  </v:textbox>
                </v:rect>
                <v:rect id="Rectangle 22783" o:spid="_x0000_s1855" style="position:absolute;left:423;top:9544;width:276;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m5McA&#10;AADeAAAADwAAAGRycy9kb3ducmV2LnhtbESPT2vCQBTE74LfYXlCb7oxBY2pq4ha9Oifgu3tkX1N&#10;QrNvQ3ZrYj99VxA8DjPzG2a+7EwlrtS40rKC8SgCQZxZXXKu4OP8PkxAOI+ssbJMCm7kYLno9+aY&#10;atvyka4nn4sAYZeigsL7OpXSZQUZdCNbEwfv2zYGfZBNLnWDbYCbSsZRNJEGSw4LBda0Lij7Of0a&#10;BbukXn3u7V+bV9uv3eVwmW3OM6/Uy6BbvYHw1Pln+NHeawVxPE1e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HpuT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84" o:spid="_x0000_s1856" style="position:absolute;left:631;top:9544;width:414;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kMcA&#10;AADeAAAADwAAAGRycy9kb3ducmV2LnhtbESPT2vCQBTE74LfYXlCb7oxFI2pq4ha9Oifgu3tkX1N&#10;QrNvQ3ZrYj99VxA8DjPzG2a+7EwlrtS40rKC8SgCQZxZXXKu4OP8PkxAOI+ssbJMCm7kYLno9+aY&#10;atvyka4nn4sAYZeigsL7OpXSZQUZdCNbEwfv2zYGfZBNLnWDbYCbSsZRNJEGSw4LBda0Lij7Of0a&#10;BbukXn3u7V+bV9uv3eVwmW3OM6/Uy6BbvYHw1Pln+NHeawVxPE1e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PpD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1</w:t>
                        </w:r>
                      </w:p>
                    </w:txbxContent>
                  </v:textbox>
                </v:rect>
                <v:rect id="Rectangle 22785" o:spid="_x0000_s1857" style="position:absolute;left:977;top:9544;width:206;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bC8cA&#10;AADeAAAADwAAAGRycy9kb3ducmV2LnhtbESPT2vCQBTE74LfYXlCb7oxUI2pq4ha9Oifgu3tkX1N&#10;QrNvQ3ZrYj99VxA8DjPzG2a+7EwlrtS40rKC8SgCQZxZXXKu4OP8PkxAOI+ssbJMCm7kYLno9+aY&#10;atvyka4nn4sAYZeigsL7OpXSZQUZdCNbEwfv2zYGfZBNLnWDbYCbSsZRNJEGSw4LBda0Lij7Of0a&#10;BbukXn3u7V+bV9uv3eVwmW3OM6/Uy6BbvYHw1Pln+NHeawVxPE1e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imwv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86" o:spid="_x0000_s1858" style="position:absolute;left:1115;top:9544;width:414;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FfMcA&#10;AADeAAAADwAAAGRycy9kb3ducmV2LnhtbESPQWvCQBSE74X+h+UVequb5qAxzSpSFT2qKdjeHtnX&#10;JDT7NmTXJPXXu0Khx2FmvmGy5Wga0VPnassKXicRCOLC6ppLBR/59iUB4TyyxsYyKfglB8vF40OG&#10;qbYDH6k/+VIECLsUFVTet6mUrqjIoJvYljh437Yz6IPsSqk7HALcNDKOoqk0WHNYqLCl94qKn9PF&#10;KNgl7epzb69D2Wy+dufDeb7O516p56dx9QbC0+j/w3/tvVYQx7NkC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wBXz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5</w:t>
                        </w:r>
                      </w:p>
                    </w:txbxContent>
                  </v:textbox>
                </v:rect>
                <v:rect id="Rectangle 22787" o:spid="_x0000_s1859" style="position:absolute;left:864;top:7978;width:27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g58cA&#10;AADeAAAADwAAAGRycy9kb3ducmV2LnhtbESPQWvCQBSE74L/YXlCb7oxhxrTrCK2oseqBdvbI/tM&#10;gtm3IbsmaX99Vyj0OMzMN0y2HkwtOmpdZVnBfBaBIM6trrhQ8HHeTRMQziNrrC2Tgm9ysF6NRxmm&#10;2vZ8pO7kCxEg7FJUUHrfpFK6vCSDbmYb4uBdbWvQB9kWUrfYB7ipZRxFz9JgxWGhxIa2JeW3090o&#10;2CfN5vNgf/qifvvaX94vy9fz0iv1NBk2LyA8Df4//Nc+aAVxvEgW8Lg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8oOf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88" o:spid="_x0000_s1860" style="position:absolute;left:1072;top:7978;width:41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0lcMA&#10;AADeAAAADwAAAGRycy9kb3ducmV2LnhtbERPy4rCMBTdC/MP4Q7MTlO7GGs1isw46NIXqLtLc22L&#10;zU1pou349WYhuDyc93TemUrcqXGlZQXDQQSCOLO65FzBYf/XT0A4j6yxskwK/snBfPbRm2Kqbctb&#10;uu98LkIIuxQVFN7XqZQuK8igG9iaOHAX2xj0ATa51A22IdxUMo6ib2mw5NBQYE0/BWXX3c0oWCX1&#10;4rS2jzavlufVcXMc/+7HXqmvz24xAeGp82/xy73WCuJ4lIS94U6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0lcMAAADeAAAADwAAAAAAAAAAAAAAAACYAgAAZHJzL2Rv&#10;d25yZXYueG1sUEsFBgAAAAAEAAQA9QAAAIgDAAAAAA==&#10;" filled="f" stroked="f">
                  <v:textbox inset="0,0,0,0">
                    <w:txbxContent>
                      <w:p w:rsidR="00EE13F6" w:rsidRDefault="002E5BC4">
                        <w:r>
                          <w:rPr>
                            <w:rFonts w:ascii="Times New Roman" w:eastAsia="Times New Roman" w:hAnsi="Times New Roman" w:cs="Times New Roman"/>
                            <w:color w:val="585858"/>
                            <w:sz w:val="10"/>
                          </w:rPr>
                          <w:t>1</w:t>
                        </w:r>
                      </w:p>
                    </w:txbxContent>
                  </v:textbox>
                </v:rect>
                <v:rect id="Rectangle 22789" o:spid="_x0000_s1861" style="position:absolute;left:423;top:6412;width:27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DscA&#10;AADeAAAADwAAAGRycy9kb3ducmV2LnhtbESPQWvCQBSE7wX/w/IEb3XTHGoS3QTRFj22WrC9PbLP&#10;JDT7NmS3JvrruwWhx2FmvmFWxWhacaHeNZYVPM0jEMSl1Q1XCj6Or48JCOeRNbaWScGVHBT55GGF&#10;mbYDv9Pl4CsRIOwyVFB732VSurImg25uO+LgnW1v0AfZV1L3OAS4aWUcRc/SYMNhocaONjWV34cf&#10;o2CXdOvPvb0NVfvytTu9ndLtMfVKzabjegnC0+j/w/f2XiuI40W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vkQ7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90" o:spid="_x0000_s1862" style="position:absolute;left:631;top:6412;width:41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uTsUA&#10;AADeAAAADwAAAGRycy9kb3ducmV2LnhtbESPy4rCMBSG98K8QzgDs9PULkZbjSIzDrr0Buru0Bzb&#10;YnNSmmg7Pr1ZCC5//hvfdN6ZStypcaVlBcNBBII4s7rkXMFh/9cfg3AeWWNlmRT8k4P57KM3xVTb&#10;lrd03/lchBF2KSoovK9TKV1WkEE3sDVx8C62MeiDbHKpG2zDuKlkHEXf0mDJ4aHAmn4Kyq67m1Gw&#10;GteL09o+2rxanlfHzTH53Sdeqa/PbjEB4anz7/CrvdYK4niUBICAE1B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K5OxQAAAN4AAAAPAAAAAAAAAAAAAAAAAJgCAABkcnMv&#10;ZG93bnJldi54bWxQSwUGAAAAAAQABAD1AAAAigMAAAAA&#10;" filled="f" stroked="f">
                  <v:textbox inset="0,0,0,0">
                    <w:txbxContent>
                      <w:p w:rsidR="00EE13F6" w:rsidRDefault="002E5BC4">
                        <w:r>
                          <w:rPr>
                            <w:rFonts w:ascii="Times New Roman" w:eastAsia="Times New Roman" w:hAnsi="Times New Roman" w:cs="Times New Roman"/>
                            <w:color w:val="585858"/>
                            <w:sz w:val="10"/>
                          </w:rPr>
                          <w:t>0</w:t>
                        </w:r>
                      </w:p>
                    </w:txbxContent>
                  </v:textbox>
                </v:rect>
                <v:rect id="Rectangle 22791" o:spid="_x0000_s1863" style="position:absolute;left:977;top:6412;width:20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L1ccA&#10;AADeAAAADwAAAGRycy9kb3ducmV2LnhtbESPQWvCQBSE7wX/w/IEb3VjDmrSrCJa0WOrBdvbI/tM&#10;gtm3IbtNor++Wyj0OMzMN0y2HkwtOmpdZVnBbBqBIM6trrhQ8HHePy9BOI+ssbZMCu7kYL0aPWWY&#10;atvzO3UnX4gAYZeigtL7JpXS5SUZdFPbEAfvaluDPsi2kLrFPsBNLeMomkuDFYeFEhvalpTfTt9G&#10;wWHZbD6P9tEX9evX4fJ2SXbnxCs1GQ+bFxCeBv8f/msftYI4XiQ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C9X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w:t>
                        </w:r>
                      </w:p>
                    </w:txbxContent>
                  </v:textbox>
                </v:rect>
                <v:rect id="Rectangle 22792" o:spid="_x0000_s1864" style="position:absolute;left:1115;top:6412;width:41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VoscA&#10;AADeAAAADwAAAGRycy9kb3ducmV2LnhtbESPQWvCQBSE74X+h+UVvNVNc7AmZiPSVvRYTUG9PbLP&#10;JDT7NmS3JvbXdwWhx2FmvmGy5WhacaHeNZYVvEwjEMSl1Q1XCr6K9fMchPPIGlvLpOBKDpb540OG&#10;qbYD7+iy95UIEHYpKqi971IpXVmTQTe1HXHwzrY36IPsK6l7HALctDKOopk02HBYqLGjt5rK7/2P&#10;UbCZd6vj1v4OVftx2hw+D8l7kXilJk/jagHC0+j/w/f2ViuI49ck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laLHAAAA3gAAAA8AAAAAAAAAAAAAAAAAmAIAAGRy&#10;cy9kb3ducmV2LnhtbFBLBQYAAAAABAAEAPUAAACMAwAAAAA=&#10;" filled="f" stroked="f">
                  <v:textbox inset="0,0,0,0">
                    <w:txbxContent>
                      <w:p w:rsidR="00EE13F6" w:rsidRDefault="002E5BC4">
                        <w:r>
                          <w:rPr>
                            <w:rFonts w:ascii="Times New Roman" w:eastAsia="Times New Roman" w:hAnsi="Times New Roman" w:cs="Times New Roman"/>
                            <w:color w:val="585858"/>
                            <w:sz w:val="10"/>
                          </w:rPr>
                          <w:t>5</w:t>
                        </w:r>
                      </w:p>
                    </w:txbxContent>
                  </v:textbox>
                </v:rect>
                <v:rect id="Rectangle 22793" o:spid="_x0000_s1865" style="position:absolute;left:1104;top:4856;width:420;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wOccA&#10;AADeAAAADwAAAGRycy9kb3ducmV2LnhtbESPQWvCQBSE7wX/w/IEb3Vjh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eMDnHAAAA3gAAAA8AAAAAAAAAAAAAAAAAmAIAAGRy&#10;cy9kb3ducmV2LnhtbFBLBQYAAAAABAAEAPUAAACMAwAAAAA=&#10;" filled="f" stroked="f">
                  <v:textbox inset="0,0,0,0">
                    <w:txbxContent>
                      <w:p w:rsidR="00EE13F6" w:rsidRDefault="002E5BC4">
                        <w:r>
                          <w:rPr>
                            <w:color w:val="585858"/>
                            <w:sz w:val="10"/>
                          </w:rPr>
                          <w:t>0</w:t>
                        </w:r>
                      </w:p>
                    </w:txbxContent>
                  </v:textbox>
                </v:rect>
                <v:rect id="Rectangle 22794" o:spid="_x0000_s1866" style="position:absolute;left:3603;top:5631;width:3654;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oTccA&#10;AADeAAAADwAAAGRycy9kb3ducmV2LnhtbESPQWvCQBSE7wX/w/IEb3Vjk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qE3HAAAA3gAAAA8AAAAAAAAAAAAAAAAAmAIAAGRy&#10;cy9kb3ducmV2LnhtbFBLBQYAAAAABAAEAPUAAACMAwAAAAA=&#10;" filled="f" stroked="f">
                  <v:textbox inset="0,0,0,0">
                    <w:txbxContent>
                      <w:p w:rsidR="00EE13F6" w:rsidRDefault="002E5BC4">
                        <w:r>
                          <w:rPr>
                            <w:color w:val="585858"/>
                            <w:sz w:val="10"/>
                          </w:rPr>
                          <w:t>Spr=50</w:t>
                        </w:r>
                        <w:r>
                          <w:rPr>
                            <w:color w:val="585858"/>
                            <w:sz w:val="10"/>
                          </w:rPr>
                          <w:tab/>
                          <w:t>b.p</w:t>
                        </w:r>
                      </w:p>
                    </w:txbxContent>
                  </v:textbox>
                </v:rect>
                <v:rect id="Rectangle 22795" o:spid="_x0000_s1867" style="position:absolute;left:9486;top:5631;width:4114;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1scA&#10;AADeAAAADwAAAGRycy9kb3ducmV2LnhtbESPQWvCQBSE7wX/w/IEb3Vjw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DdbHAAAA3gAAAA8AAAAAAAAAAAAAAAAAmAIAAGRy&#10;cy9kb3ducmV2LnhtbFBLBQYAAAAABAAEAPUAAACMAwAAAAA=&#10;" filled="f" stroked="f">
                  <v:textbox inset="0,0,0,0">
                    <w:txbxContent>
                      <w:p w:rsidR="00EE13F6" w:rsidRDefault="002E5BC4">
                        <w:r>
                          <w:rPr>
                            <w:color w:val="585858"/>
                            <w:sz w:val="10"/>
                          </w:rPr>
                          <w:t>Spr=100</w:t>
                        </w:r>
                        <w:r>
                          <w:rPr>
                            <w:color w:val="585858"/>
                            <w:sz w:val="10"/>
                          </w:rPr>
                          <w:tab/>
                          <w:t>b.p</w:t>
                        </w:r>
                      </w:p>
                    </w:txbxContent>
                  </v:textbox>
                </v:rect>
                <v:rect id="Rectangle 22796" o:spid="_x0000_s1868" style="position:absolute;left:15507;top:5631;width:4114;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ocYA&#10;AADeAAAADwAAAGRycy9kb3ducmV2LnhtbESPQWvCQBSE7wX/w/IEb3VjDmpSVxFb0aPVgu3tkX0m&#10;wezbkF1N9Ne7BcHjMDPfMLNFZypxpcaVlhWMhhEI4szqknMFP4f1+xSE88gaK8uk4EYOFvPe2wxT&#10;bVv+puve5yJA2KWooPC+TqV0WUEG3dDWxME72cagD7LJpW6wDXBTyTiKxtJgyWGhwJpWBWXn/cUo&#10;2Ezr5e/W3tu8+vrbHHfH5POQeKUG/W75AcJT51/hZ3urFcTxJBnD/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TocYAAADeAAAADwAAAAAAAAAAAAAAAACYAgAAZHJz&#10;L2Rvd25yZXYueG1sUEsFBgAAAAAEAAQA9QAAAIsDAAAAAA==&#10;" filled="f" stroked="f">
                  <v:textbox inset="0,0,0,0">
                    <w:txbxContent>
                      <w:p w:rsidR="00EE13F6" w:rsidRDefault="002E5BC4">
                        <w:r>
                          <w:rPr>
                            <w:color w:val="585858"/>
                            <w:sz w:val="10"/>
                          </w:rPr>
                          <w:t>Spr=150</w:t>
                        </w:r>
                        <w:r>
                          <w:rPr>
                            <w:color w:val="585858"/>
                            <w:sz w:val="10"/>
                          </w:rPr>
                          <w:tab/>
                          <w:t>b.p</w:t>
                        </w:r>
                      </w:p>
                    </w:txbxContent>
                  </v:textbox>
                </v:rect>
                <v:rect id="Rectangle 22797" o:spid="_x0000_s1869" style="position:absolute;left:21528;top:5631;width:4114;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2OscA&#10;AADeAAAADwAAAGRycy9kb3ducmV2LnhtbESPT2vCQBTE74V+h+UVvNVNc1ATXUXaih79B+rtkX1N&#10;QrNvQ3Y10U/vCoLHYWZ+w0xmnanEhRpXWlbw1Y9AEGdWl5wr2O8WnyMQziNrrCyTgis5mE3f3yaY&#10;atvyhi5bn4sAYZeigsL7OpXSZQUZdH1bEwfvzzYGfZBNLnWDbYCbSsZRNJAGSw4LBdb0XVD2vz0b&#10;BctRPT+u7K3Nq9/T8rA+JD+7xCvV++jmYxCeOv8KP9srrSCOh8kQ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lNjrHAAAA3gAAAA8AAAAAAAAAAAAAAAAAmAIAAGRy&#10;cy9kb3ducmV2LnhtbFBLBQYAAAAABAAEAPUAAACMAwAAAAA=&#10;" filled="f" stroked="f">
                  <v:textbox inset="0,0,0,0">
                    <w:txbxContent>
                      <w:p w:rsidR="00EE13F6" w:rsidRDefault="002E5BC4">
                        <w:r>
                          <w:rPr>
                            <w:color w:val="585858"/>
                            <w:sz w:val="10"/>
                          </w:rPr>
                          <w:t>Spr=200</w:t>
                        </w:r>
                        <w:r>
                          <w:rPr>
                            <w:color w:val="585858"/>
                            <w:sz w:val="10"/>
                          </w:rPr>
                          <w:tab/>
                          <w:t>b.p</w:t>
                        </w:r>
                      </w:p>
                    </w:txbxContent>
                  </v:textbox>
                </v:rect>
                <v:rect id="Rectangle 22798" o:spid="_x0000_s1870" style="position:absolute;left:27549;top:5631;width:4114;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iSMMA&#10;AADeAAAADwAAAGRycy9kb3ducmV2LnhtbERPy4rCMBTdC/MP4Q7MTlO7GG01isw46NIXqLtLc22L&#10;zU1pou349WYhuDyc93TemUrcqXGlZQXDQQSCOLO65FzBYf/XH4NwHlljZZkU/JOD+eyjN8VU25a3&#10;dN/5XIQQdikqKLyvUyldVpBBN7A1ceAutjHoA2xyqRtsQ7ipZBxF39JgyaGhwJp+Csquu5tRsBrX&#10;i9PaPtq8Wp5Xx80x+d0nXqmvz24xAeGp82/xy73WCuJ4lIS94U6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qiSMMAAADeAAAADwAAAAAAAAAAAAAAAACYAgAAZHJzL2Rv&#10;d25yZXYueG1sUEsFBgAAAAAEAAQA9QAAAIgDAAAAAA==&#10;" filled="f" stroked="f">
                  <v:textbox inset="0,0,0,0">
                    <w:txbxContent>
                      <w:p w:rsidR="00EE13F6" w:rsidRDefault="002E5BC4">
                        <w:r>
                          <w:rPr>
                            <w:color w:val="585858"/>
                            <w:sz w:val="10"/>
                          </w:rPr>
                          <w:t>Spr=250</w:t>
                        </w:r>
                        <w:r>
                          <w:rPr>
                            <w:color w:val="585858"/>
                            <w:sz w:val="10"/>
                          </w:rPr>
                          <w:tab/>
                          <w:t>b.p</w:t>
                        </w:r>
                      </w:p>
                    </w:txbxContent>
                  </v:textbox>
                </v:rect>
                <v:rect id="Rectangle 22799" o:spid="_x0000_s1871" style="position:absolute;left:33570;top:5631;width:4114;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H08cA&#10;AADeAAAADwAAAGRycy9kb3ducmV2LnhtbESPQWvCQBSE74X+h+UVvNVNc1CTZiPSKnqspmB7e2Rf&#10;k9Ds25BdTfTXdwWhx2FmvmGy5WhacabeNZYVvEwjEMSl1Q1XCj6LzfMChPPIGlvLpOBCDpb540OG&#10;qbYD7+l88JUIEHYpKqi971IpXVmTQTe1HXHwfmxv0AfZV1L3OAS4aWUcRTNpsOGwUGNHbzWVv4eT&#10;UbBddKuvnb0OVbv+3h4/jsl7kXilJk/j6hWEp9H/h+/tnVYQx/Mkgd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2B9PHAAAA3gAAAA8AAAAAAAAAAAAAAAAAmAIAAGRy&#10;cy9kb3ducmV2LnhtbFBLBQYAAAAABAAEAPUAAACMAwAAAAA=&#10;" filled="f" stroked="f">
                  <v:textbox inset="0,0,0,0">
                    <w:txbxContent>
                      <w:p w:rsidR="00EE13F6" w:rsidRDefault="002E5BC4">
                        <w:r>
                          <w:rPr>
                            <w:color w:val="585858"/>
                            <w:sz w:val="10"/>
                          </w:rPr>
                          <w:t>Spr=300</w:t>
                        </w:r>
                        <w:r>
                          <w:rPr>
                            <w:color w:val="585858"/>
                            <w:sz w:val="10"/>
                          </w:rPr>
                          <w:tab/>
                          <w:t>b.p</w:t>
                        </w:r>
                      </w:p>
                    </w:txbxContent>
                  </v:textbox>
                </v:rect>
                <v:rect id="Rectangle 22800" o:spid="_x0000_s1872" style="position:absolute;left:39591;top:5631;width:4114;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vn8QA&#10;AADeAAAADwAAAGRycy9kb3ducmV2LnhtbESPzYrCMBSF94LvEK7gTlO7kFqNIjqDLmdUUHeX5toW&#10;m5vSRFvn6ScLweXh/PEtVp2pxJMaV1pWMBlHIIgzq0vOFZyO36MEhPPIGivLpOBFDlbLfm+BqbYt&#10;/9Lz4HMRRtilqKDwvk6ldFlBBt3Y1sTBu9nGoA+yyaVusA3jppJxFE2lwZLDQ4E1bQrK7oeHUbBL&#10;6vVlb//avPq67s4/59n2OPNKDQfdeg7CU+c/4Xd7rxXEcRIFgIATU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r5/EAAAA3gAAAA8AAAAAAAAAAAAAAAAAmAIAAGRycy9k&#10;b3ducmV2LnhtbFBLBQYAAAAABAAEAPUAAACJAwAAAAA=&#10;" filled="f" stroked="f">
                  <v:textbox inset="0,0,0,0">
                    <w:txbxContent>
                      <w:p w:rsidR="00EE13F6" w:rsidRDefault="002E5BC4">
                        <w:r>
                          <w:rPr>
                            <w:color w:val="585858"/>
                            <w:sz w:val="10"/>
                          </w:rPr>
                          <w:t>Spr=350</w:t>
                        </w:r>
                        <w:r>
                          <w:rPr>
                            <w:color w:val="585858"/>
                            <w:sz w:val="10"/>
                          </w:rPr>
                          <w:tab/>
                          <w:t>b.p</w:t>
                        </w:r>
                      </w:p>
                    </w:txbxContent>
                  </v:textbox>
                </v:rect>
                <v:rect id="Rectangle 22801" o:spid="_x0000_s1873" style="position:absolute;left:45612;top:5631;width:4114;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KBMcA&#10;AADeAAAADwAAAGRycy9kb3ducmV2LnhtbESPQWvCQBSE74X+h+UVequb5FCS1FWkVeJRTcH29si+&#10;JqHZtyG7Nam/3hUEj8PMfMPMl5PpxIkG11pWEM8iEMSV1S3XCj7LzUsKwnlkjZ1lUvBPDpaLx4c5&#10;5tqOvKfTwdciQNjlqKDxvs+ldFVDBt3M9sTB+7GDQR/kUEs94BjgppNJFL1Kgy2HhQZ7em+o+j38&#10;GQVF2q++tvY81t36uzjujtlHmXmlnp+m1RsIT5O/h2/trVaQJGkUw/VOu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CgTHAAAA3gAAAA8AAAAAAAAAAAAAAAAAmAIAAGRy&#10;cy9kb3ducmV2LnhtbFBLBQYAAAAABAAEAPUAAACMAwAAAAA=&#10;" filled="f" stroked="f">
                  <v:textbox inset="0,0,0,0">
                    <w:txbxContent>
                      <w:p w:rsidR="00EE13F6" w:rsidRDefault="002E5BC4">
                        <w:r>
                          <w:rPr>
                            <w:color w:val="585858"/>
                            <w:sz w:val="10"/>
                          </w:rPr>
                          <w:t>Spr=400</w:t>
                        </w:r>
                        <w:r>
                          <w:rPr>
                            <w:color w:val="585858"/>
                            <w:sz w:val="10"/>
                          </w:rPr>
                          <w:tab/>
                          <w:t>b.p</w:t>
                        </w:r>
                      </w:p>
                    </w:txbxContent>
                  </v:textbox>
                </v:rect>
                <v:rect id="Rectangle 22802" o:spid="_x0000_s1874" style="position:absolute;left:5630;top:703;width:53546;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Uc8UA&#10;AADeAAAADwAAAGRycy9kb3ducmV2LnhtbESPQYvCMBSE7wv+h/AEb2tqD1KrUUR30eOqC+rt0Tzb&#10;YvNSmmjr/nojCHscZuYbZrboTCXu1LjSsoLRMAJBnFldcq7g9/D9mYBwHlljZZkUPMjBYt77mGGq&#10;bcs7uu99LgKEXYoKCu/rVEqXFWTQDW1NHLyLbQz6IJtc6gbbADeVjKNoLA2WHBYKrGlVUHbd34yC&#10;TVIvT1v71+bV13lz/DlO1oeJV2rQ75ZTEJ46/x9+t7daQRwnUQyvO+E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JRzxQAAAN4AAAAPAAAAAAAAAAAAAAAAAJgCAABkcnMv&#10;ZG93bnJldi54bWxQSwUGAAAAAAQABAD1AAAAigMAAAAA&#10;" filled="f" stroked="f">
                  <v:textbox inset="0,0,0,0">
                    <w:txbxContent>
                      <w:p w:rsidR="00EE13F6" w:rsidRDefault="002E5BC4">
                        <w:r>
                          <w:rPr>
                            <w:b/>
                            <w:color w:val="585858"/>
                            <w:sz w:val="15"/>
                          </w:rPr>
                          <w:t>Long</w:t>
                        </w:r>
                        <w:r>
                          <w:rPr>
                            <w:b/>
                            <w:color w:val="585858"/>
                            <w:sz w:val="15"/>
                          </w:rPr>
                          <w:tab/>
                          <w:t>Term</w:t>
                        </w:r>
                        <w:r>
                          <w:rPr>
                            <w:b/>
                            <w:color w:val="585858"/>
                            <w:sz w:val="15"/>
                          </w:rPr>
                          <w:tab/>
                          <w:t>Impact</w:t>
                        </w:r>
                        <w:r>
                          <w:rPr>
                            <w:b/>
                            <w:color w:val="585858"/>
                            <w:sz w:val="15"/>
                          </w:rPr>
                          <w:tab/>
                          <w:t>on</w:t>
                        </w:r>
                        <w:r>
                          <w:rPr>
                            <w:b/>
                            <w:color w:val="585858"/>
                            <w:sz w:val="15"/>
                          </w:rPr>
                          <w:tab/>
                          <w:t>the</w:t>
                        </w:r>
                        <w:r>
                          <w:rPr>
                            <w:b/>
                            <w:color w:val="585858"/>
                            <w:sz w:val="15"/>
                          </w:rPr>
                          <w:tab/>
                          <w:t>Theoretical</w:t>
                        </w:r>
                        <w:r>
                          <w:rPr>
                            <w:b/>
                            <w:color w:val="585858"/>
                            <w:sz w:val="15"/>
                          </w:rPr>
                          <w:tab/>
                          <w:t>Equity</w:t>
                        </w:r>
                        <w:r>
                          <w:rPr>
                            <w:b/>
                            <w:color w:val="585858"/>
                            <w:sz w:val="15"/>
                          </w:rPr>
                          <w:tab/>
                          <w:t>Share</w:t>
                        </w:r>
                        <w:r>
                          <w:rPr>
                            <w:b/>
                            <w:color w:val="585858"/>
                            <w:sz w:val="15"/>
                          </w:rPr>
                          <w:tab/>
                          <w:t>price</w:t>
                        </w:r>
                        <w:r>
                          <w:rPr>
                            <w:b/>
                            <w:color w:val="585858"/>
                            <w:sz w:val="15"/>
                          </w:rPr>
                          <w:tab/>
                          <w:t>Depending</w:t>
                        </w:r>
                        <w:r>
                          <w:rPr>
                            <w:b/>
                            <w:color w:val="585858"/>
                            <w:sz w:val="15"/>
                          </w:rPr>
                          <w:tab/>
                          <w:t>Upon</w:t>
                        </w:r>
                        <w:r>
                          <w:rPr>
                            <w:b/>
                            <w:color w:val="585858"/>
                            <w:sz w:val="15"/>
                          </w:rPr>
                          <w:tab/>
                          <w:t>The</w:t>
                        </w:r>
                        <w:r>
                          <w:rPr>
                            <w:b/>
                            <w:color w:val="585858"/>
                            <w:sz w:val="15"/>
                          </w:rPr>
                          <w:tab/>
                          <w:t>Credit</w:t>
                        </w:r>
                        <w:r>
                          <w:rPr>
                            <w:b/>
                            <w:color w:val="585858"/>
                            <w:sz w:val="15"/>
                          </w:rPr>
                          <w:tab/>
                          <w:t>Spread</w:t>
                        </w:r>
                        <w:r>
                          <w:rPr>
                            <w:b/>
                            <w:color w:val="585858"/>
                            <w:sz w:val="15"/>
                          </w:rPr>
                          <w:tab/>
                          <w:t>and</w:t>
                        </w:r>
                        <w:r>
                          <w:rPr>
                            <w:b/>
                            <w:color w:val="585858"/>
                            <w:sz w:val="15"/>
                          </w:rPr>
                          <w:tab/>
                          <w:t>The</w:t>
                        </w:r>
                        <w:r>
                          <w:rPr>
                            <w:b/>
                            <w:color w:val="585858"/>
                            <w:sz w:val="15"/>
                          </w:rPr>
                          <w:tab/>
                        </w:r>
                      </w:p>
                    </w:txbxContent>
                  </v:textbox>
                </v:rect>
                <v:rect id="Rectangle 22803" o:spid="_x0000_s1875" style="position:absolute;left:16212;top:1879;width:25086;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x6MYA&#10;AADeAAAADwAAAGRycy9kb3ducmV2LnhtbESPQWvCQBSE7wX/w/KE3urGFEpMXUXUokc1gu3tkX1N&#10;gtm3IbuatL/eFQSPw8x8w0znvanFlVpXWVYwHkUgiHOrKy4UHLOvtwSE88gaa8uk4I8czGeDlymm&#10;2na8p+vBFyJA2KWooPS+SaV0eUkG3cg2xMH7ta1BH2RbSN1iF+CmlnEUfUiDFYeFEhtalpSfDxej&#10;YJM0i++t/e+Kev2zOe1Ok1U28Uq9DvvFJwhPvX+GH+2tVhDHSfQO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Ax6MYAAADeAAAADwAAAAAAAAAAAAAAAACYAgAAZHJz&#10;L2Rvd25yZXYueG1sUEsFBgAAAAAEAAQA9QAAAIsDAAAAAA==&#10;" filled="f" stroked="f">
                  <v:textbox inset="0,0,0,0">
                    <w:txbxContent>
                      <w:p w:rsidR="00EE13F6" w:rsidRDefault="002E5BC4">
                        <w:r>
                          <w:rPr>
                            <w:b/>
                            <w:color w:val="585858"/>
                            <w:sz w:val="15"/>
                          </w:rPr>
                          <w:t>Corporate</w:t>
                        </w:r>
                        <w:r>
                          <w:rPr>
                            <w:b/>
                            <w:color w:val="585858"/>
                            <w:sz w:val="15"/>
                          </w:rPr>
                          <w:tab/>
                          <w:t>Tax</w:t>
                        </w:r>
                        <w:r>
                          <w:rPr>
                            <w:b/>
                            <w:color w:val="585858"/>
                            <w:sz w:val="15"/>
                          </w:rPr>
                          <w:tab/>
                          <w:t>Rate</w:t>
                        </w:r>
                        <w:r>
                          <w:rPr>
                            <w:b/>
                            <w:color w:val="585858"/>
                            <w:sz w:val="15"/>
                          </w:rPr>
                          <w:tab/>
                          <w:t>for</w:t>
                        </w:r>
                        <w:r>
                          <w:rPr>
                            <w:b/>
                            <w:color w:val="585858"/>
                            <w:sz w:val="15"/>
                          </w:rPr>
                          <w:tab/>
                          <w:t>a</w:t>
                        </w:r>
                        <w:r>
                          <w:rPr>
                            <w:b/>
                            <w:color w:val="585858"/>
                            <w:sz w:val="15"/>
                          </w:rPr>
                          <w:tab/>
                          <w:t>5</w:t>
                        </w:r>
                        <w:r>
                          <w:rPr>
                            <w:b/>
                            <w:color w:val="585858"/>
                            <w:sz w:val="15"/>
                          </w:rPr>
                          <w:tab/>
                          <w:t>Years</w:t>
                        </w:r>
                        <w:r>
                          <w:rPr>
                            <w:b/>
                            <w:color w:val="585858"/>
                            <w:sz w:val="15"/>
                          </w:rPr>
                          <w:tab/>
                          <w:t>Debt</w:t>
                        </w:r>
                        <w:r>
                          <w:rPr>
                            <w:b/>
                            <w:color w:val="585858"/>
                            <w:sz w:val="15"/>
                          </w:rPr>
                          <w:tab/>
                          <w:t>Maturity.</w:t>
                        </w:r>
                      </w:p>
                    </w:txbxContent>
                  </v:textbox>
                </v:rect>
                <v:shape id="Shape 22804" o:spid="_x0000_s1876" style="position:absolute;left:14214;top:22445;width:1383;height:0;visibility:visible;mso-wrap-style:square;v-text-anchor:top" coordsize="13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2LsYA&#10;AADeAAAADwAAAGRycy9kb3ducmV2LnhtbESPQWsCMRSE74X+h/AK3mrStRXdGkUEaSkedNX7Y/O6&#10;u3TzsmyiWf99UxB6HGbmG2axGmwrrtT7xrGGl7ECQVw603Cl4XTcPs9A+IBssHVMGm7kYbV8fFhg&#10;blzkA12LUIkEYZ+jhjqELpfSlzVZ9GPXESfv2/UWQ5J9JU2PMcFtKzOlptJiw2mhxo42NZU/xcVq&#10;iJuJipOPdfa1u233zTy++TN3Wo+ehvU7iEBD+A/f259GQ5bN1Cv83U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L2LsYAAADeAAAADwAAAAAAAAAAAAAAAACYAgAAZHJz&#10;L2Rvd25yZXYueG1sUEsFBgAAAAAEAAQA9QAAAIsDAAAAAA==&#10;" path="m,l138336,e" filled="f" strokecolor="#5b9bd5" strokeweight=".38428mm">
                  <v:stroke endcap="round"/>
                  <v:path arrowok="t" textboxrect="0,0,138336,0"/>
                </v:shape>
                <v:rect id="Rectangle 22805" o:spid="_x0000_s1877" style="position:absolute;left:15701;top:22064;width:3272;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MB8YA&#10;AADeAAAADwAAAGRycy9kb3ducmV2LnhtbESPQWvCQBSE7wX/w/KE3urGQEtMXUXUokc1gu3tkX1N&#10;gtm3IbuatL/eFQSPw8x8w0znvanFlVpXWVYwHkUgiHOrKy4UHLOvtwSE88gaa8uk4I8czGeDlymm&#10;2na8p+vBFyJA2KWooPS+SaV0eUkG3cg2xMH7ta1BH2RbSN1iF+CmlnEUfUiDFYeFEhtalpSfDxej&#10;YJM0i++t/e+Kev2zOe1Ok1U28Uq9DvvFJwhPvX+GH+2tVhDHSfQO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UMB8YAAADeAAAADwAAAAAAAAAAAAAAAACYAgAAZHJz&#10;L2Rvd25yZXYueG1sUEsFBgAAAAAEAAQA9QAAAIsDAAAAAA==&#10;" filled="f" stroked="f">
                  <v:textbox inset="0,0,0,0">
                    <w:txbxContent>
                      <w:p w:rsidR="00EE13F6" w:rsidRDefault="002E5BC4">
                        <w:r>
                          <w:rPr>
                            <w:color w:val="585858"/>
                            <w:sz w:val="10"/>
                          </w:rPr>
                          <w:t>Rho=0,15</w:t>
                        </w:r>
                      </w:p>
                    </w:txbxContent>
                  </v:textbox>
                </v:rect>
                <v:shape id="Shape 22806" o:spid="_x0000_s1878" style="position:absolute;left:18986;top:22445;width:1314;height:0;visibility:visible;mso-wrap-style:square;v-text-anchor:top" coordsize="131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sqccA&#10;AADeAAAADwAAAGRycy9kb3ducmV2LnhtbESPzWrDMBCE74G+g9hCbrFcQ0xwo5jSUggpBPJzaG+L&#10;tZWNrZWxVMfp01eFQI7DzHzDrMvJdmKkwTeOFTwlKQjiyumGjYLz6X2xAuEDssbOMSm4kody8zBb&#10;Y6HdhQ80HoMREcK+QAV1CH0hpa9qsugT1xNH79sNFkOUg5F6wEuE205maZpLiw3HhRp7eq2pao8/&#10;VkG/H3Nq5cfbwey2v5rM1/4zWyo1f5xenkEEmsI9fGtvtYIsW6U5/N+JV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JLKnHAAAA3gAAAA8AAAAAAAAAAAAAAAAAmAIAAGRy&#10;cy9kb3ducmV2LnhtbFBLBQYAAAAABAAEAPUAAACMAwAAAAA=&#10;" path="m,l131419,e" filled="f" strokecolor="#ed7d31" strokeweight=".38428mm">
                  <v:stroke endcap="round"/>
                  <v:path arrowok="t" textboxrect="0,0,131419,0"/>
                </v:shape>
                <v:rect id="Rectangle 22807" o:spid="_x0000_s1879" style="position:absolute;left:20443;top:22064;width:3272;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368cA&#10;AADeAAAADwAAAGRycy9kb3ducmV2LnhtbESPQWvCQBSE7wX/w/KE3urGHNqYuoqoRY9qBNvbI/ua&#10;BLNvQ3Y1aX+9Kwgeh5n5hpnOe1OLK7WusqxgPIpAEOdWV1woOGZfbwkI55E11pZJwR85mM8GL1NM&#10;te14T9eDL0SAsEtRQel9k0rp8pIMupFtiIP3a1uDPsi2kLrFLsBNLeMoepcGKw4LJTa0LCk/Hy5G&#10;wSZpFt9b+98V9fpnc9qdJqts4pV6HfaLTxCeev8MP9pbrSCOk+gD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bN+vHAAAA3gAAAA8AAAAAAAAAAAAAAAAAmAIAAGRy&#10;cy9kb3ducmV2LnhtbFBLBQYAAAAABAAEAPUAAACMAwAAAAA=&#10;" filled="f" stroked="f">
                  <v:textbox inset="0,0,0,0">
                    <w:txbxContent>
                      <w:p w:rsidR="00EE13F6" w:rsidRDefault="002E5BC4">
                        <w:r>
                          <w:rPr>
                            <w:color w:val="585858"/>
                            <w:sz w:val="10"/>
                          </w:rPr>
                          <w:t>Rho=0,20</w:t>
                        </w:r>
                      </w:p>
                    </w:txbxContent>
                  </v:textbox>
                </v:rect>
                <v:shape id="Shape 22808" o:spid="_x0000_s1880" style="position:absolute;left:23759;top:22445;width:1314;height:0;visibility:visible;mso-wrap-style:square;v-text-anchor:top" coordsize="131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BZMQA&#10;AADeAAAADwAAAGRycy9kb3ducmV2LnhtbERPPW/CMBDdkfgP1iF1IzYZKpRiUEUEQu1QEWBgu8bX&#10;JBCfo9iF8O/xUKnj0/terAbbihv1vnGsYZYoEMSlMw1XGo6HzXQOwgdkg61j0vAgD6vleLTAzLg7&#10;7+lWhErEEPYZaqhD6DIpfVmTRZ+4jjhyP663GCLsK2l6vMdw28pUqVdpseHYUGNH65rKa/FrNXg+&#10;55+PnLZd8fWdl6fz6UNdZlq/TIb3NxCBhvAv/nPvjIY0nau4N96JV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HgWTEAAAA3gAAAA8AAAAAAAAAAAAAAAAAmAIAAGRycy9k&#10;b3ducmV2LnhtbFBLBQYAAAAABAAEAPUAAACJAwAAAAA=&#10;" path="m,l131419,e" filled="f" strokecolor="#a4a4a4" strokeweight=".38428mm">
                  <v:stroke endcap="round"/>
                  <v:path arrowok="t" textboxrect="0,0,131419,0"/>
                </v:shape>
                <v:rect id="Rectangle 22809" o:spid="_x0000_s1881" style="position:absolute;left:25185;top:22064;width:3272;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GAsYA&#10;AADeAAAADwAAAGRycy9kb3ducmV2LnhtbESPQWvCQBSE7wX/w/IEb3VjDpJEVxFt0aPVgnp7ZJ9J&#10;MPs2ZFcT/fXdQqHHYWa+YebL3tTiQa2rLCuYjCMQxLnVFRcKvo+f7wkI55E11pZJwZMcLBeDtzlm&#10;2nb8RY+DL0SAsMtQQel9k0np8pIMurFtiIN3ta1BH2RbSN1iF+CmlnEUTaXBisNCiQ2tS8pvh7tR&#10;sE2a1XlnX11Rf1y2p/0p3RxTr9Ro2K9mIDz1/j/8195pBXGcRCn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gGAsYAAADeAAAADwAAAAAAAAAAAAAAAACYAgAAZHJz&#10;L2Rvd25yZXYueG1sUEsFBgAAAAAEAAQA9QAAAIsDAAAAAA==&#10;" filled="f" stroked="f">
                  <v:textbox inset="0,0,0,0">
                    <w:txbxContent>
                      <w:p w:rsidR="00EE13F6" w:rsidRDefault="002E5BC4">
                        <w:r>
                          <w:rPr>
                            <w:color w:val="585858"/>
                            <w:sz w:val="10"/>
                          </w:rPr>
                          <w:t>Rho=0,25</w:t>
                        </w:r>
                      </w:p>
                    </w:txbxContent>
                  </v:textbox>
                </v:rect>
                <v:shape id="Shape 22810" o:spid="_x0000_s1882" style="position:absolute;left:28462;top:22445;width:1314;height:0;visibility:visible;mso-wrap-style:square;v-text-anchor:top" coordsize="131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YcUA&#10;AADeAAAADwAAAGRycy9kb3ducmV2LnhtbESPTWvCQBCG70L/wzKF3nSTHEpMXYOIQg+l1I9Cj0N2&#10;mkSzszE71fTfu4dCjy/vF8+iHF2nrjSE1rOBdJaAIq68bbk2cDxspzmoIMgWO89k4JcClMuHyQIL&#10;62+8o+teahVHOBRooBHpC61D1ZDDMPM9cfS+/eBQohxqbQe8xXHX6SxJnrXDluNDgz2tG6rO+x9n&#10;YP45zz8urbxvLl8jnrKDfctZjHl6HFcvoIRG+Q//tV+tgSzL0wgQcSIK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1hxQAAAN4AAAAPAAAAAAAAAAAAAAAAAJgCAABkcnMv&#10;ZG93bnJldi54bWxQSwUGAAAAAAQABAD1AAAAigMAAAAA&#10;" path="m,l131419,e" filled="f" strokecolor="#ffc000" strokeweight=".38428mm">
                  <v:stroke endcap="round"/>
                  <v:path arrowok="t" textboxrect="0,0,131419,0"/>
                </v:shape>
                <v:rect id="Rectangle 22811" o:spid="_x0000_s1883" style="position:absolute;left:29927;top:22064;width:3272;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c2cYA&#10;AADeAAAADwAAAGRycy9kb3ducmV2LnhtbESPQWvCQBSE7wX/w/IEb3WTHCRGVxFt0WOrgnp7ZJ9J&#10;MPs2ZFcT++u7hYLHYWa+YebL3tTiQa2rLCuIxxEI4tzqigsFx8PnewrCeWSNtWVS8CQHy8XgbY6Z&#10;th1/02PvCxEg7DJUUHrfZFK6vCSDbmwb4uBdbWvQB9kWUrfYBbipZRJFE2mw4rBQYkPrkvLb/m4U&#10;bNNmdd7Zn66oPy7b09dpujlMvVKjYb+agfDU+1f4v73TCpIkj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ec2cYAAADeAAAADwAAAAAAAAAAAAAAAACYAgAAZHJz&#10;L2Rvd25yZXYueG1sUEsFBgAAAAAEAAQA9QAAAIsDAAAAAA==&#10;" filled="f" stroked="f">
                  <v:textbox inset="0,0,0,0">
                    <w:txbxContent>
                      <w:p w:rsidR="00EE13F6" w:rsidRDefault="002E5BC4">
                        <w:r>
                          <w:rPr>
                            <w:color w:val="585858"/>
                            <w:sz w:val="10"/>
                          </w:rPr>
                          <w:t>Rho=0,30</w:t>
                        </w:r>
                      </w:p>
                    </w:txbxContent>
                  </v:textbox>
                </v:rect>
                <v:shape id="Shape 22812" o:spid="_x0000_s1884" style="position:absolute;left:33235;top:22445;width:1314;height:0;visibility:visible;mso-wrap-style:square;v-text-anchor:top" coordsize="131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Q9sYA&#10;AADeAAAADwAAAGRycy9kb3ducmV2LnhtbESPQWvCQBSE7wX/w/IEb3VjwCKpqxRBKYpCo4cen9ln&#10;Epp9G3a3mvjru0LB4zAz3zDzZWcacSXna8sKJuMEBHFhdc2lgtNx/ToD4QOyxsYyKejJw3IxeJlj&#10;pu2Nv+iah1JECPsMFVQhtJmUvqjIoB/bljh6F+sMhihdKbXDW4SbRqZJ8iYN1hwXKmxpVVHxk/8a&#10;BVu773frvE+mZ2c29+a7PdzlVKnRsPt4BxGoC8/wf/tTK0jT2SSF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QQ9sYAAADeAAAADwAAAAAAAAAAAAAAAACYAgAAZHJz&#10;L2Rvd25yZXYueG1sUEsFBgAAAAAEAAQA9QAAAIsDAAAAAA==&#10;" path="m,l131419,e" filled="f" strokecolor="#4471c4" strokeweight=".38428mm">
                  <v:stroke endcap="round"/>
                  <v:path arrowok="t" textboxrect="0,0,131419,0"/>
                </v:shape>
                <v:rect id="Rectangle 22813" o:spid="_x0000_s1885" style="position:absolute;left:34669;top:22064;width:3272;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nNccA&#10;AADeAAAADwAAAGRycy9kb3ducmV2LnhtbESPQWvCQBSE7wX/w/IEb3VjBIlpVhGt6LHVgu3tkX0m&#10;wezbkN0m0V/fLRR6HGbmGyZbD6YWHbWusqxgNo1AEOdWV1wo+DjvnxMQziNrrC2Tgjs5WK9GTxmm&#10;2vb8Tt3JFyJA2KWooPS+SaV0eUkG3dQ2xMG72tagD7ItpG6xD3BTyziKFtJgxWGhxIa2JeW307dR&#10;cEiazefRPvqifv06XN4uy9156ZWajIfNCwhPg/8P/7WPWkEcJ7M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5pzXHAAAA3gAAAA8AAAAAAAAAAAAAAAAAmAIAAGRy&#10;cy9kb3ducmV2LnhtbFBLBQYAAAAABAAEAPUAAACMAwAAAAA=&#10;" filled="f" stroked="f">
                  <v:textbox inset="0,0,0,0">
                    <w:txbxContent>
                      <w:p w:rsidR="00EE13F6" w:rsidRDefault="002E5BC4">
                        <w:r>
                          <w:rPr>
                            <w:color w:val="585858"/>
                            <w:sz w:val="10"/>
                          </w:rPr>
                          <w:t>Rho=0,35</w:t>
                        </w:r>
                      </w:p>
                    </w:txbxContent>
                  </v:textbox>
                </v:rect>
                <v:shape id="Shape 22814" o:spid="_x0000_s1886" style="position:absolute;width:51045;height:23586;visibility:visible;mso-wrap-style:square;v-text-anchor:top" coordsize="5104599,2358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JcUA&#10;AADeAAAADwAAAGRycy9kb3ducmV2LnhtbESPQWvCQBSE7wX/w/IEL6IbY1tC6iqlKPWqLdTjI/tM&#10;QrNv0+yrSf+9Kwg9DjPzDbPaDK5RF+pC7dnAYp6AIi68rbk08Pmxm2WggiBbbDyTgT8KsFmPHlaY&#10;W9/zgS5HKVWEcMjRQCXS5lqHoiKHYe5b4uidfedQouxKbTvsI9w1Ok2SZ+2w5rhQYUtvFRXfx19n&#10;4OxOX/S+babBtv3WLlN5mv6IMZPx8PoCSmiQ//C9vbcG0jRbPMLtTrwC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klxQAAAN4AAAAPAAAAAAAAAAAAAAAAAJgCAABkcnMv&#10;ZG93bnJldi54bWxQSwUGAAAAAAQABAD1AAAAigMAAAAA&#10;" path="m,l5104599,r,2358629l,2358629,,xe" filled="f" strokecolor="#d9d9d9" strokeweight=".19214mm">
                  <v:path arrowok="t" textboxrect="0,0,5104599,2358629"/>
                </v:shape>
                <w10:anchorlock/>
              </v:group>
            </w:pict>
          </mc:Fallback>
        </mc:AlternateContent>
      </w:r>
    </w:p>
    <w:p w:rsidR="00EE13F6" w:rsidRDefault="002E5BC4">
      <w:pPr>
        <w:pStyle w:val="Heading1"/>
        <w:spacing w:after="263" w:line="261" w:lineRule="auto"/>
        <w:ind w:left="469" w:right="468" w:hanging="484"/>
        <w:jc w:val="both"/>
      </w:pPr>
      <w:r>
        <w:t>3</w:t>
      </w:r>
      <w:r>
        <w:tab/>
        <w:t>Model Calibration and Application to a Sample of 5 Corporate Companies</w:t>
      </w:r>
    </w:p>
    <w:p w:rsidR="00EE13F6" w:rsidRDefault="002E5BC4">
      <w:pPr>
        <w:spacing w:after="135" w:line="264" w:lineRule="auto"/>
        <w:ind w:left="-5" w:right="468" w:hanging="10"/>
        <w:jc w:val="both"/>
      </w:pPr>
      <w:r>
        <w:rPr>
          <w:rFonts w:ascii="Cambria" w:eastAsia="Cambria" w:hAnsi="Cambria" w:cs="Cambria"/>
        </w:rPr>
        <w:t>We apply the two models described above to a sample of 5 corporate companies which includes three industrial corporate firms (Michelin, Arcelor Mittal, Alsthom) and two financial corporate firms (Axa, Commerzbank). We consider two valuation dates. The firs</w:t>
      </w:r>
      <w:r>
        <w:rPr>
          <w:rFonts w:ascii="Cambria" w:eastAsia="Cambria" w:hAnsi="Cambria" w:cs="Cambria"/>
        </w:rPr>
        <w:t>t date is the 30th of September 2016, in order to have a direct comparison with the calculations done on debt at Chapter II. The second is the 12th of January 2018.</w:t>
      </w:r>
    </w:p>
    <w:p w:rsidR="00EE13F6" w:rsidRDefault="002E5BC4">
      <w:pPr>
        <w:spacing w:after="135" w:line="264" w:lineRule="auto"/>
        <w:ind w:left="-5" w:right="468" w:hanging="10"/>
        <w:jc w:val="both"/>
      </w:pPr>
      <w:r>
        <w:rPr>
          <w:rFonts w:ascii="Cambria" w:eastAsia="Cambria" w:hAnsi="Cambria" w:cs="Cambria"/>
        </w:rPr>
        <w:lastRenderedPageBreak/>
        <w:t xml:space="preserve">The data we used consists of balance sheet, profit and loss statements, and credit spreads </w:t>
      </w:r>
      <w:r>
        <w:rPr>
          <w:rFonts w:ascii="Cambria" w:eastAsia="Cambria" w:hAnsi="Cambria" w:cs="Cambria"/>
        </w:rPr>
        <w:t>as well as the entire universe of bond issued which are still outstanding. The corporate short term debt is assumed to have a 1 month maturity.</w:t>
      </w:r>
    </w:p>
    <w:p w:rsidR="00EE13F6" w:rsidRDefault="002E5BC4">
      <w:pPr>
        <w:spacing w:after="135" w:line="264" w:lineRule="auto"/>
        <w:ind w:left="-5" w:right="468" w:hanging="10"/>
        <w:jc w:val="both"/>
      </w:pPr>
      <w:r>
        <w:rPr>
          <w:rFonts w:ascii="Cambria" w:eastAsia="Cambria" w:hAnsi="Cambria" w:cs="Cambria"/>
        </w:rPr>
        <w:t>Most of the corporate bonds, nowadays are featuring a call clause in favor of the issuer. This clause allows the</w:t>
      </w:r>
      <w:r>
        <w:rPr>
          <w:rFonts w:ascii="Cambria" w:eastAsia="Cambria" w:hAnsi="Cambria" w:cs="Cambria"/>
        </w:rPr>
        <w:t xml:space="preserve"> issuer to buy back at a predetermined price (generally at par) the corporate debt which has been issued previously. This clause is useful, for instance, when the credit worthiness of the firm has improved since the bonds were issued and the current coupon</w:t>
      </w:r>
      <w:r>
        <w:rPr>
          <w:rFonts w:ascii="Cambria" w:eastAsia="Cambria" w:hAnsi="Cambria" w:cs="Cambria"/>
        </w:rPr>
        <w:t xml:space="preserve"> served on outstanding corporate debt is above the current market price. It is then worth to buy back this debt and reissue new debt at a lower coupon price.</w:t>
      </w:r>
    </w:p>
    <w:p w:rsidR="00EE13F6" w:rsidRDefault="002E5BC4">
      <w:pPr>
        <w:spacing w:after="135" w:line="264" w:lineRule="auto"/>
        <w:ind w:left="-5" w:right="468" w:hanging="10"/>
        <w:jc w:val="both"/>
      </w:pPr>
      <w:r>
        <w:rPr>
          <w:rFonts w:ascii="Cambria" w:eastAsia="Cambria" w:hAnsi="Cambria" w:cs="Cambria"/>
        </w:rPr>
        <w:t>For simplicity’s sake, we will not consider the impact of such clause. The long call component for</w:t>
      </w:r>
      <w:r>
        <w:rPr>
          <w:rFonts w:ascii="Cambria" w:eastAsia="Cambria" w:hAnsi="Cambria" w:cs="Cambria"/>
        </w:rPr>
        <w:t xml:space="preserve"> the shareholder is going to be negatively impacted by the introduction of the FTT, because the subsequent increase in volatility is going to increase the credit spread and the cost of corporate debt. For this reason, we can consider that our estimation co</w:t>
      </w:r>
      <w:r>
        <w:rPr>
          <w:rFonts w:ascii="Cambria" w:eastAsia="Cambria" w:hAnsi="Cambria" w:cs="Cambria"/>
        </w:rPr>
        <w:t>nstitutes a minimum evaluation of the FTT impact on corporate theoretical share prices.</w:t>
      </w:r>
    </w:p>
    <w:p w:rsidR="00EE13F6" w:rsidRDefault="002E5BC4">
      <w:pPr>
        <w:spacing w:after="135" w:line="264" w:lineRule="auto"/>
        <w:ind w:left="-5" w:right="468" w:hanging="10"/>
        <w:jc w:val="both"/>
      </w:pPr>
      <w:r>
        <w:rPr>
          <w:rFonts w:ascii="Cambria" w:eastAsia="Cambria" w:hAnsi="Cambria" w:cs="Cambria"/>
        </w:rPr>
        <w:t>We consider the credit spreads on the type of debt seniority prevailing on the Credit Default Swap market at valuation date. We consider the average duration of the cor</w:t>
      </w:r>
      <w:r>
        <w:rPr>
          <w:rFonts w:ascii="Cambria" w:eastAsia="Cambria" w:hAnsi="Cambria" w:cs="Cambria"/>
        </w:rPr>
        <w:t>porate debt weighted by the amount of outstanding debt per maturity. We then calibrate an asset volatility such that the outstanding average corporate debt is valued at par using our model. Then we apply the Boyle and Vorst calculation for a 2 percent ∆</w:t>
      </w:r>
      <w:r>
        <w:rPr>
          <w:rFonts w:ascii="Cambria" w:eastAsia="Cambria" w:hAnsi="Cambria" w:cs="Cambria"/>
          <w:i/>
          <w:vertAlign w:val="subscript"/>
        </w:rPr>
        <w:t xml:space="preserve">S </w:t>
      </w:r>
      <w:r>
        <w:rPr>
          <w:rFonts w:ascii="Cambria" w:eastAsia="Cambria" w:hAnsi="Cambria" w:cs="Cambria"/>
        </w:rPr>
        <w:t>r</w:t>
      </w:r>
      <w:r>
        <w:rPr>
          <w:rFonts w:ascii="Cambria" w:eastAsia="Cambria" w:hAnsi="Cambria" w:cs="Cambria"/>
        </w:rPr>
        <w:t>ule and the FTT rate.</w:t>
      </w:r>
    </w:p>
    <w:p w:rsidR="00EE13F6" w:rsidRDefault="002E5BC4">
      <w:pPr>
        <w:spacing w:after="338" w:line="264" w:lineRule="auto"/>
        <w:ind w:left="-5" w:right="468" w:hanging="10"/>
        <w:jc w:val="both"/>
      </w:pPr>
      <w:r>
        <w:rPr>
          <w:rFonts w:ascii="Cambria" w:eastAsia="Cambria" w:hAnsi="Cambria" w:cs="Cambria"/>
        </w:rPr>
        <w:t>We conduct two different calculations:</w:t>
      </w:r>
    </w:p>
    <w:p w:rsidR="00EE13F6" w:rsidRDefault="002E5BC4" w:rsidP="002E5BC4">
      <w:pPr>
        <w:numPr>
          <w:ilvl w:val="0"/>
          <w:numId w:val="46"/>
        </w:numPr>
        <w:spacing w:after="193" w:line="264" w:lineRule="auto"/>
        <w:ind w:right="468" w:hanging="218"/>
        <w:jc w:val="both"/>
      </w:pPr>
      <w:r>
        <w:rPr>
          <w:rFonts w:ascii="Cambria" w:eastAsia="Cambria" w:hAnsi="Cambria" w:cs="Cambria"/>
        </w:rPr>
        <w:t>The first one consists of the computation of the short-term instantaneous effect, as described in previous sections.</w:t>
      </w:r>
    </w:p>
    <w:p w:rsidR="00EE13F6" w:rsidRDefault="002E5BC4" w:rsidP="002E5BC4">
      <w:pPr>
        <w:numPr>
          <w:ilvl w:val="0"/>
          <w:numId w:val="46"/>
        </w:numPr>
        <w:spacing w:after="312" w:line="264" w:lineRule="auto"/>
        <w:ind w:right="468" w:hanging="218"/>
        <w:jc w:val="both"/>
      </w:pPr>
      <w:r>
        <w:rPr>
          <w:rFonts w:ascii="Cambria" w:eastAsia="Cambria" w:hAnsi="Cambria" w:cs="Cambria"/>
        </w:rPr>
        <w:t>The second one consist of the computation of the stationary state impact, once</w:t>
      </w:r>
      <w:r>
        <w:rPr>
          <w:rFonts w:ascii="Cambria" w:eastAsia="Cambria" w:hAnsi="Cambria" w:cs="Cambria"/>
        </w:rPr>
        <w:t xml:space="preserve"> the corporate firm has adjusted its capital structure, by replacing the corporate debt with bond issues featuring a higher coupon, in order to raise the same amount of capital.</w:t>
      </w:r>
    </w:p>
    <w:p w:rsidR="00EE13F6" w:rsidRDefault="002E5BC4">
      <w:pPr>
        <w:spacing w:after="135" w:line="264" w:lineRule="auto"/>
        <w:ind w:left="-5" w:right="468" w:hanging="10"/>
        <w:jc w:val="both"/>
      </w:pPr>
      <w:r>
        <w:rPr>
          <w:rFonts w:ascii="Cambria" w:eastAsia="Cambria" w:hAnsi="Cambria" w:cs="Cambria"/>
        </w:rPr>
        <w:t>We display the separate effects on both the expected theoretical value of Corp</w:t>
      </w:r>
      <w:r>
        <w:rPr>
          <w:rFonts w:ascii="Cambria" w:eastAsia="Cambria" w:hAnsi="Cambria" w:cs="Cambria"/>
        </w:rPr>
        <w:t>orate equity, and corporate bond credit spreads.</w:t>
      </w:r>
    </w:p>
    <w:p w:rsidR="00EE13F6" w:rsidRDefault="002E5BC4">
      <w:pPr>
        <w:spacing w:after="135" w:line="264" w:lineRule="auto"/>
        <w:ind w:left="-5" w:right="468" w:hanging="10"/>
        <w:jc w:val="both"/>
      </w:pPr>
      <w:r>
        <w:rPr>
          <w:rFonts w:ascii="Cambria" w:eastAsia="Cambria" w:hAnsi="Cambria" w:cs="Cambria"/>
        </w:rPr>
        <w:t>Results are displayed in Table 14 and 15.</w:t>
      </w:r>
    </w:p>
    <w:p w:rsidR="00EE13F6" w:rsidRDefault="002E5BC4">
      <w:pPr>
        <w:spacing w:after="215" w:line="264" w:lineRule="auto"/>
        <w:ind w:left="-5" w:right="468" w:hanging="10"/>
        <w:jc w:val="both"/>
      </w:pPr>
      <w:r>
        <w:rPr>
          <w:rFonts w:ascii="Cambria" w:eastAsia="Cambria" w:hAnsi="Cambria" w:cs="Cambria"/>
        </w:rPr>
        <w:t>One can see that the impact is negative for most stocks of our corporate sample.</w:t>
      </w:r>
    </w:p>
    <w:p w:rsidR="00EE13F6" w:rsidRDefault="002E5BC4">
      <w:pPr>
        <w:spacing w:after="2" w:line="257" w:lineRule="auto"/>
        <w:ind w:left="-5" w:right="468" w:hanging="10"/>
        <w:jc w:val="both"/>
      </w:pPr>
      <w:r>
        <w:rPr>
          <w:rFonts w:ascii="Cambria" w:eastAsia="Cambria" w:hAnsi="Cambria" w:cs="Cambria"/>
        </w:rPr>
        <w:t xml:space="preserve">Table 14: </w:t>
      </w:r>
      <w:r>
        <w:rPr>
          <w:rFonts w:ascii="Cambria" w:eastAsia="Cambria" w:hAnsi="Cambria" w:cs="Cambria"/>
          <w:b/>
        </w:rPr>
        <w:t xml:space="preserve">FTT Impact on Theoretical Equity Prices and CDS spreads for a sample of five European Corporate Firms As of the 30/09/2016 </w:t>
      </w:r>
      <w:r>
        <w:rPr>
          <w:rFonts w:ascii="Cambria" w:eastAsia="Cambria" w:hAnsi="Cambria" w:cs="Cambria"/>
        </w:rPr>
        <w:t>(spreads in b.p, volatilities in percent)</w:t>
      </w:r>
    </w:p>
    <w:tbl>
      <w:tblPr>
        <w:tblStyle w:val="TableGrid"/>
        <w:tblW w:w="9045" w:type="dxa"/>
        <w:tblInd w:w="4" w:type="dxa"/>
        <w:tblCellMar>
          <w:top w:w="42" w:type="dxa"/>
          <w:left w:w="124" w:type="dxa"/>
          <w:bottom w:w="0" w:type="dxa"/>
          <w:right w:w="124" w:type="dxa"/>
        </w:tblCellMar>
        <w:tblLook w:val="04A0" w:firstRow="1" w:lastRow="0" w:firstColumn="1" w:lastColumn="0" w:noHBand="0" w:noVBand="1"/>
      </w:tblPr>
      <w:tblGrid>
        <w:gridCol w:w="1843"/>
        <w:gridCol w:w="1006"/>
        <w:gridCol w:w="1236"/>
        <w:gridCol w:w="1517"/>
        <w:gridCol w:w="1453"/>
        <w:gridCol w:w="1990"/>
      </w:tblGrid>
      <w:tr w:rsidR="00EE13F6">
        <w:trPr>
          <w:trHeight w:val="279"/>
        </w:trPr>
        <w:tc>
          <w:tcPr>
            <w:tcW w:w="184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Issuer</w:t>
            </w:r>
          </w:p>
        </w:tc>
        <w:tc>
          <w:tcPr>
            <w:tcW w:w="10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Spread</w:t>
            </w:r>
          </w:p>
        </w:tc>
        <w:tc>
          <w:tcPr>
            <w:tcW w:w="123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Duration</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Short Term</w:t>
            </w:r>
          </w:p>
        </w:tc>
        <w:tc>
          <w:tcPr>
            <w:tcW w:w="14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Long Term</w:t>
            </w:r>
          </w:p>
        </w:tc>
        <w:tc>
          <w:tcPr>
            <w:tcW w:w="1990"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Spread Increase</w:t>
            </w:r>
          </w:p>
        </w:tc>
      </w:tr>
      <w:tr w:rsidR="00EE13F6">
        <w:trPr>
          <w:trHeight w:val="279"/>
        </w:trPr>
        <w:tc>
          <w:tcPr>
            <w:tcW w:w="184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Alsthom</w:t>
            </w:r>
          </w:p>
        </w:tc>
        <w:tc>
          <w:tcPr>
            <w:tcW w:w="10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40</w:t>
            </w:r>
          </w:p>
        </w:tc>
        <w:tc>
          <w:tcPr>
            <w:tcW w:w="123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2.76</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-8.61</w:t>
            </w:r>
          </w:p>
        </w:tc>
        <w:tc>
          <w:tcPr>
            <w:tcW w:w="14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-5.53</w:t>
            </w:r>
          </w:p>
        </w:tc>
        <w:tc>
          <w:tcPr>
            <w:tcW w:w="1990"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79</w:t>
            </w:r>
          </w:p>
        </w:tc>
      </w:tr>
      <w:tr w:rsidR="00EE13F6">
        <w:trPr>
          <w:trHeight w:val="279"/>
        </w:trPr>
        <w:tc>
          <w:tcPr>
            <w:tcW w:w="184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Arcelor-Mittal</w:t>
            </w:r>
          </w:p>
        </w:tc>
        <w:tc>
          <w:tcPr>
            <w:tcW w:w="10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167</w:t>
            </w:r>
          </w:p>
        </w:tc>
        <w:tc>
          <w:tcPr>
            <w:tcW w:w="123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7.33</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-1.96</w:t>
            </w:r>
          </w:p>
        </w:tc>
        <w:tc>
          <w:tcPr>
            <w:tcW w:w="14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0.63</w:t>
            </w:r>
          </w:p>
        </w:tc>
        <w:tc>
          <w:tcPr>
            <w:tcW w:w="1990"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264</w:t>
            </w:r>
          </w:p>
        </w:tc>
      </w:tr>
      <w:tr w:rsidR="00EE13F6">
        <w:trPr>
          <w:trHeight w:val="279"/>
        </w:trPr>
        <w:tc>
          <w:tcPr>
            <w:tcW w:w="184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Axa</w:t>
            </w:r>
          </w:p>
        </w:tc>
        <w:tc>
          <w:tcPr>
            <w:tcW w:w="10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201</w:t>
            </w:r>
          </w:p>
        </w:tc>
        <w:tc>
          <w:tcPr>
            <w:tcW w:w="123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20.77</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-8.98</w:t>
            </w:r>
          </w:p>
        </w:tc>
        <w:tc>
          <w:tcPr>
            <w:tcW w:w="14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-11.78</w:t>
            </w:r>
          </w:p>
        </w:tc>
        <w:tc>
          <w:tcPr>
            <w:tcW w:w="1990"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145</w:t>
            </w:r>
          </w:p>
        </w:tc>
      </w:tr>
      <w:tr w:rsidR="00EE13F6">
        <w:trPr>
          <w:trHeight w:val="279"/>
        </w:trPr>
        <w:tc>
          <w:tcPr>
            <w:tcW w:w="184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4"/>
              <w:jc w:val="both"/>
            </w:pPr>
            <w:r>
              <w:rPr>
                <w:rFonts w:ascii="Cambria" w:eastAsia="Cambria" w:hAnsi="Cambria" w:cs="Cambria"/>
                <w:b/>
              </w:rPr>
              <w:t>Commerzbank</w:t>
            </w:r>
          </w:p>
        </w:tc>
        <w:tc>
          <w:tcPr>
            <w:tcW w:w="10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120</w:t>
            </w:r>
          </w:p>
        </w:tc>
        <w:tc>
          <w:tcPr>
            <w:tcW w:w="123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4.45</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-1.44</w:t>
            </w:r>
          </w:p>
        </w:tc>
        <w:tc>
          <w:tcPr>
            <w:tcW w:w="14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-2.05</w:t>
            </w:r>
          </w:p>
        </w:tc>
        <w:tc>
          <w:tcPr>
            <w:tcW w:w="1990"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160</w:t>
            </w:r>
          </w:p>
        </w:tc>
      </w:tr>
      <w:tr w:rsidR="00EE13F6">
        <w:trPr>
          <w:trHeight w:val="279"/>
        </w:trPr>
        <w:tc>
          <w:tcPr>
            <w:tcW w:w="184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Michelin</w:t>
            </w:r>
          </w:p>
        </w:tc>
        <w:tc>
          <w:tcPr>
            <w:tcW w:w="10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47</w:t>
            </w:r>
          </w:p>
        </w:tc>
        <w:tc>
          <w:tcPr>
            <w:tcW w:w="123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6.6</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-1.06</w:t>
            </w:r>
          </w:p>
        </w:tc>
        <w:tc>
          <w:tcPr>
            <w:tcW w:w="14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w:t>
            </w:r>
          </w:p>
        </w:tc>
        <w:tc>
          <w:tcPr>
            <w:tcW w:w="1990"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62</w:t>
            </w:r>
          </w:p>
        </w:tc>
      </w:tr>
    </w:tbl>
    <w:p w:rsidR="00EE13F6" w:rsidRDefault="002E5BC4">
      <w:pPr>
        <w:spacing w:after="2" w:line="257" w:lineRule="auto"/>
        <w:ind w:left="-5" w:right="468" w:hanging="10"/>
        <w:jc w:val="both"/>
      </w:pPr>
      <w:r>
        <w:rPr>
          <w:rFonts w:ascii="Cambria" w:eastAsia="Cambria" w:hAnsi="Cambria" w:cs="Cambria"/>
        </w:rPr>
        <w:lastRenderedPageBreak/>
        <w:t xml:space="preserve">Table 15: </w:t>
      </w:r>
      <w:r>
        <w:rPr>
          <w:rFonts w:ascii="Cambria" w:eastAsia="Cambria" w:hAnsi="Cambria" w:cs="Cambria"/>
          <w:b/>
        </w:rPr>
        <w:t xml:space="preserve">FTT Impact on Theoretical Equity Prices and CDS spreads for a sample of five European Corporate Firms As of the 12/01/2018 </w:t>
      </w:r>
      <w:r>
        <w:rPr>
          <w:rFonts w:ascii="Cambria" w:eastAsia="Cambria" w:hAnsi="Cambria" w:cs="Cambria"/>
        </w:rPr>
        <w:t>(spreads in b.p, volatilities in percent)</w:t>
      </w:r>
    </w:p>
    <w:tbl>
      <w:tblPr>
        <w:tblStyle w:val="TableGrid"/>
        <w:tblW w:w="9045" w:type="dxa"/>
        <w:tblInd w:w="4" w:type="dxa"/>
        <w:tblCellMar>
          <w:top w:w="42" w:type="dxa"/>
          <w:left w:w="124" w:type="dxa"/>
          <w:bottom w:w="0" w:type="dxa"/>
          <w:right w:w="124" w:type="dxa"/>
        </w:tblCellMar>
        <w:tblLook w:val="04A0" w:firstRow="1" w:lastRow="0" w:firstColumn="1" w:lastColumn="0" w:noHBand="0" w:noVBand="1"/>
      </w:tblPr>
      <w:tblGrid>
        <w:gridCol w:w="1843"/>
        <w:gridCol w:w="1006"/>
        <w:gridCol w:w="1236"/>
        <w:gridCol w:w="1517"/>
        <w:gridCol w:w="1453"/>
        <w:gridCol w:w="1990"/>
      </w:tblGrid>
      <w:tr w:rsidR="00EE13F6">
        <w:trPr>
          <w:trHeight w:val="279"/>
        </w:trPr>
        <w:tc>
          <w:tcPr>
            <w:tcW w:w="184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Issuer</w:t>
            </w:r>
          </w:p>
        </w:tc>
        <w:tc>
          <w:tcPr>
            <w:tcW w:w="10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Spread</w:t>
            </w:r>
          </w:p>
        </w:tc>
        <w:tc>
          <w:tcPr>
            <w:tcW w:w="123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Duration</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Short Term</w:t>
            </w:r>
          </w:p>
        </w:tc>
        <w:tc>
          <w:tcPr>
            <w:tcW w:w="14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both"/>
            </w:pPr>
            <w:r>
              <w:rPr>
                <w:rFonts w:ascii="Cambria" w:eastAsia="Cambria" w:hAnsi="Cambria" w:cs="Cambria"/>
                <w:b/>
              </w:rPr>
              <w:t>Long Term</w:t>
            </w:r>
          </w:p>
        </w:tc>
        <w:tc>
          <w:tcPr>
            <w:tcW w:w="1990"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Spread Increase</w:t>
            </w:r>
          </w:p>
        </w:tc>
      </w:tr>
      <w:tr w:rsidR="00EE13F6">
        <w:trPr>
          <w:trHeight w:val="279"/>
        </w:trPr>
        <w:tc>
          <w:tcPr>
            <w:tcW w:w="184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Alsthom</w:t>
            </w:r>
          </w:p>
        </w:tc>
        <w:tc>
          <w:tcPr>
            <w:tcW w:w="10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15</w:t>
            </w:r>
          </w:p>
        </w:tc>
        <w:tc>
          <w:tcPr>
            <w:tcW w:w="123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2.76</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-9.12</w:t>
            </w:r>
          </w:p>
        </w:tc>
        <w:tc>
          <w:tcPr>
            <w:tcW w:w="14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-7.14</w:t>
            </w:r>
          </w:p>
        </w:tc>
        <w:tc>
          <w:tcPr>
            <w:tcW w:w="1990"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50</w:t>
            </w:r>
          </w:p>
        </w:tc>
      </w:tr>
      <w:tr w:rsidR="00EE13F6">
        <w:trPr>
          <w:trHeight w:val="279"/>
        </w:trPr>
        <w:tc>
          <w:tcPr>
            <w:tcW w:w="1843" w:type="dxa"/>
            <w:tcBorders>
              <w:top w:val="single" w:sz="3" w:space="0" w:color="000000"/>
              <w:left w:val="single" w:sz="3" w:space="0" w:color="000000"/>
              <w:bottom w:val="single" w:sz="3" w:space="0" w:color="000000"/>
              <w:right w:val="single" w:sz="3" w:space="0" w:color="000000"/>
            </w:tcBorders>
          </w:tcPr>
          <w:p w:rsidR="00EE13F6" w:rsidRDefault="002E5BC4">
            <w:pPr>
              <w:spacing w:after="0"/>
            </w:pPr>
            <w:r>
              <w:rPr>
                <w:rFonts w:ascii="Cambria" w:eastAsia="Cambria" w:hAnsi="Cambria" w:cs="Cambria"/>
                <w:b/>
              </w:rPr>
              <w:t>Arcelor-Mittal</w:t>
            </w:r>
          </w:p>
        </w:tc>
        <w:tc>
          <w:tcPr>
            <w:tcW w:w="10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138</w:t>
            </w:r>
          </w:p>
        </w:tc>
        <w:tc>
          <w:tcPr>
            <w:tcW w:w="123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6.05</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-2.71</w:t>
            </w:r>
          </w:p>
        </w:tc>
        <w:tc>
          <w:tcPr>
            <w:tcW w:w="14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0.20</w:t>
            </w:r>
          </w:p>
        </w:tc>
        <w:tc>
          <w:tcPr>
            <w:tcW w:w="1990"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148</w:t>
            </w:r>
          </w:p>
        </w:tc>
      </w:tr>
      <w:tr w:rsidR="00EE13F6">
        <w:trPr>
          <w:trHeight w:val="279"/>
        </w:trPr>
        <w:tc>
          <w:tcPr>
            <w:tcW w:w="184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Axa</w:t>
            </w:r>
          </w:p>
        </w:tc>
        <w:tc>
          <w:tcPr>
            <w:tcW w:w="10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150</w:t>
            </w:r>
          </w:p>
        </w:tc>
        <w:tc>
          <w:tcPr>
            <w:tcW w:w="123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19.483</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-4.05</w:t>
            </w:r>
          </w:p>
        </w:tc>
        <w:tc>
          <w:tcPr>
            <w:tcW w:w="14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-7.68</w:t>
            </w:r>
          </w:p>
        </w:tc>
        <w:tc>
          <w:tcPr>
            <w:tcW w:w="1990"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104</w:t>
            </w:r>
          </w:p>
        </w:tc>
      </w:tr>
      <w:tr w:rsidR="00EE13F6">
        <w:trPr>
          <w:trHeight w:val="279"/>
        </w:trPr>
        <w:tc>
          <w:tcPr>
            <w:tcW w:w="1843" w:type="dxa"/>
            <w:tcBorders>
              <w:top w:val="single" w:sz="3" w:space="0" w:color="000000"/>
              <w:left w:val="single" w:sz="3" w:space="0" w:color="000000"/>
              <w:bottom w:val="single" w:sz="3" w:space="0" w:color="000000"/>
              <w:right w:val="single" w:sz="3" w:space="0" w:color="000000"/>
            </w:tcBorders>
          </w:tcPr>
          <w:p w:rsidR="00EE13F6" w:rsidRDefault="002E5BC4">
            <w:pPr>
              <w:spacing w:after="0"/>
              <w:ind w:left="4"/>
              <w:jc w:val="both"/>
            </w:pPr>
            <w:r>
              <w:rPr>
                <w:rFonts w:ascii="Cambria" w:eastAsia="Cambria" w:hAnsi="Cambria" w:cs="Cambria"/>
                <w:b/>
              </w:rPr>
              <w:t>Commerzbank</w:t>
            </w:r>
          </w:p>
        </w:tc>
        <w:tc>
          <w:tcPr>
            <w:tcW w:w="10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35</w:t>
            </w:r>
          </w:p>
        </w:tc>
        <w:tc>
          <w:tcPr>
            <w:tcW w:w="123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3.14</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-2.24</w:t>
            </w:r>
          </w:p>
        </w:tc>
        <w:tc>
          <w:tcPr>
            <w:tcW w:w="14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-2.83</w:t>
            </w:r>
          </w:p>
        </w:tc>
        <w:tc>
          <w:tcPr>
            <w:tcW w:w="1990"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85</w:t>
            </w:r>
          </w:p>
        </w:tc>
      </w:tr>
      <w:tr w:rsidR="00EE13F6">
        <w:trPr>
          <w:trHeight w:val="279"/>
        </w:trPr>
        <w:tc>
          <w:tcPr>
            <w:tcW w:w="184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b/>
              </w:rPr>
              <w:t>Michelin</w:t>
            </w:r>
          </w:p>
        </w:tc>
        <w:tc>
          <w:tcPr>
            <w:tcW w:w="100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42</w:t>
            </w:r>
          </w:p>
        </w:tc>
        <w:tc>
          <w:tcPr>
            <w:tcW w:w="1236"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5.269</w:t>
            </w:r>
          </w:p>
        </w:tc>
        <w:tc>
          <w:tcPr>
            <w:tcW w:w="1517"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-2.90</w:t>
            </w:r>
          </w:p>
        </w:tc>
        <w:tc>
          <w:tcPr>
            <w:tcW w:w="1453"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-1.81</w:t>
            </w:r>
          </w:p>
        </w:tc>
        <w:tc>
          <w:tcPr>
            <w:tcW w:w="1990" w:type="dxa"/>
            <w:tcBorders>
              <w:top w:val="single" w:sz="3" w:space="0" w:color="000000"/>
              <w:left w:val="single" w:sz="3" w:space="0" w:color="000000"/>
              <w:bottom w:val="single" w:sz="3" w:space="0" w:color="000000"/>
              <w:right w:val="single" w:sz="3" w:space="0" w:color="000000"/>
            </w:tcBorders>
          </w:tcPr>
          <w:p w:rsidR="00EE13F6" w:rsidRDefault="002E5BC4">
            <w:pPr>
              <w:spacing w:after="0"/>
              <w:jc w:val="center"/>
            </w:pPr>
            <w:r>
              <w:rPr>
                <w:rFonts w:ascii="Cambria" w:eastAsia="Cambria" w:hAnsi="Cambria" w:cs="Cambria"/>
              </w:rPr>
              <w:t>46</w:t>
            </w:r>
          </w:p>
        </w:tc>
      </w:tr>
    </w:tbl>
    <w:p w:rsidR="00EE13F6" w:rsidRDefault="002E5BC4">
      <w:pPr>
        <w:pStyle w:val="Heading1"/>
        <w:spacing w:after="301" w:line="261" w:lineRule="auto"/>
        <w:ind w:left="469" w:right="468" w:hanging="484"/>
        <w:jc w:val="both"/>
      </w:pPr>
      <w:r>
        <w:t>4 Comparison with the Existing Results from The Literature and FTT Impact in the Particular Case of the Banking Sector in the Basel III Context and the Need for Banks to Raise additional Capital</w:t>
      </w:r>
    </w:p>
    <w:p w:rsidR="00EE13F6" w:rsidRDefault="002E5BC4">
      <w:pPr>
        <w:pStyle w:val="Heading2"/>
        <w:tabs>
          <w:tab w:val="center" w:pos="4094"/>
        </w:tabs>
        <w:spacing w:after="266" w:line="251" w:lineRule="auto"/>
        <w:ind w:left="-15" w:firstLine="0"/>
      </w:pPr>
      <w:r>
        <w:t>4.1</w:t>
      </w:r>
      <w:r>
        <w:tab/>
        <w:t>Comparison with the Existing Results from The Literature</w:t>
      </w:r>
    </w:p>
    <w:p w:rsidR="00EE13F6" w:rsidRDefault="002E5BC4">
      <w:pPr>
        <w:spacing w:after="135" w:line="264" w:lineRule="auto"/>
        <w:ind w:left="-5" w:right="468" w:hanging="10"/>
        <w:jc w:val="both"/>
      </w:pPr>
      <w:r>
        <w:rPr>
          <w:rFonts w:ascii="Cambria" w:eastAsia="Cambria" w:hAnsi="Cambria" w:cs="Cambria"/>
        </w:rPr>
        <w:t>We can now compare our conclusions with existing results from the literature. Existing empirical studies were done exclusively for the specific case of Sweden (Umlauf (1993), Westerholm (2003)) till 2003. At this time, similar reviews using the same method</w:t>
      </w:r>
      <w:r>
        <w:rPr>
          <w:rFonts w:ascii="Cambria" w:eastAsia="Cambria" w:hAnsi="Cambria" w:cs="Cambria"/>
        </w:rPr>
        <w:t>ology where done for the UK (Saporta and Kan (1997), Hawkins and McCrae (2002)). Those studies were considering the stock market only and were excluding the corporate bond market.</w:t>
      </w:r>
    </w:p>
    <w:p w:rsidR="00EE13F6" w:rsidRDefault="002E5BC4">
      <w:pPr>
        <w:spacing w:after="135" w:line="264" w:lineRule="auto"/>
        <w:ind w:left="-5" w:right="468" w:hanging="10"/>
        <w:jc w:val="both"/>
      </w:pPr>
      <w:r>
        <w:rPr>
          <w:rFonts w:ascii="Cambria" w:eastAsia="Cambria" w:hAnsi="Cambria" w:cs="Cambria"/>
        </w:rPr>
        <w:t>In the case of Sweden, Umlauf (1993) reports that the Swedish All-Equity Ind</w:t>
      </w:r>
      <w:r>
        <w:rPr>
          <w:rFonts w:ascii="Cambria" w:eastAsia="Cambria" w:hAnsi="Cambria" w:cs="Cambria"/>
        </w:rPr>
        <w:t>ex fell by 2.2 percent on the day a 1 percent transaction tax was introduced and again by 0.8 percent on the day it was increased to 2 percent. This suggests a short-term elasticity of 2.2 and an additional 0.4 for the second increase. Westerholm (2003) co</w:t>
      </w:r>
      <w:r>
        <w:rPr>
          <w:rFonts w:ascii="Cambria" w:eastAsia="Cambria" w:hAnsi="Cambria" w:cs="Cambria"/>
        </w:rPr>
        <w:t>ncludes that the suppression of the two respective taxes of 1and 2 percent introduced respectively in 1983 and 1986 would lead to an increase of respectively 7.5 and 9.7 percent of the stock prices. This is consistent with an elasticity to the tax which is</w:t>
      </w:r>
      <w:r>
        <w:rPr>
          <w:rFonts w:ascii="Cambria" w:eastAsia="Cambria" w:hAnsi="Cambria" w:cs="Cambria"/>
        </w:rPr>
        <w:t xml:space="preserve"> comprised between 4.85 and 7.5.</w:t>
      </w:r>
    </w:p>
    <w:p w:rsidR="00EE13F6" w:rsidRDefault="002E5BC4">
      <w:pPr>
        <w:spacing w:after="135" w:line="264" w:lineRule="auto"/>
        <w:ind w:left="-5" w:right="468" w:hanging="10"/>
        <w:jc w:val="both"/>
      </w:pPr>
      <w:r>
        <w:rPr>
          <w:rFonts w:ascii="Cambria" w:eastAsia="Cambria" w:hAnsi="Cambria" w:cs="Cambria"/>
        </w:rPr>
        <w:t>In the case of UK, which constitutes the only case for empirical reviews of the introduction of a STET, besides the Swedish case, Saporta and Kan (1997) by using the same methodology as Umlauf, found that a decrease of 1 pe</w:t>
      </w:r>
      <w:r>
        <w:rPr>
          <w:rFonts w:ascii="Cambria" w:eastAsia="Cambria" w:hAnsi="Cambria" w:cs="Cambria"/>
        </w:rPr>
        <w:t>rcent of the ”stamp duty ” tax, would bring an expected index rise of 6.24 percent. Their study was based on observations of UK stock market prices from 1969 to 1996. Both Saporta, Umlauf and Westerholm do not consider the leverage as an explaining variabl</w:t>
      </w:r>
      <w:r>
        <w:rPr>
          <w:rFonts w:ascii="Cambria" w:eastAsia="Cambria" w:hAnsi="Cambria" w:cs="Cambria"/>
        </w:rPr>
        <w:t>e and do not disclose the average leverage of the sample of corporations they are reviewing. In the case of UK, Hawkins and McCrae (2002) explore the case of the suppression of the STET and find an elasticity which is comprised between 6.75 and 12.25 depen</w:t>
      </w:r>
      <w:r>
        <w:rPr>
          <w:rFonts w:ascii="Cambria" w:eastAsia="Cambria" w:hAnsi="Cambria" w:cs="Cambria"/>
        </w:rPr>
        <w:t>ding upon the assumptions done on the impact of the suppression on shares transaction turnover.</w:t>
      </w:r>
    </w:p>
    <w:p w:rsidR="00EE13F6" w:rsidRDefault="002E5BC4">
      <w:pPr>
        <w:spacing w:after="135" w:line="264" w:lineRule="auto"/>
        <w:ind w:left="-5" w:right="468" w:hanging="10"/>
        <w:jc w:val="both"/>
      </w:pPr>
      <w:r>
        <w:rPr>
          <w:rFonts w:ascii="Cambria" w:eastAsia="Cambria" w:hAnsi="Cambria" w:cs="Cambria"/>
        </w:rPr>
        <w:t xml:space="preserve">The STET considered in both the Swedish and the UK cases had different specifics than the FTT project. For instance, in both UK and Swedish cases, transactions </w:t>
      </w:r>
      <w:r>
        <w:rPr>
          <w:rFonts w:ascii="Cambria" w:eastAsia="Cambria" w:hAnsi="Cambria" w:cs="Cambria"/>
        </w:rPr>
        <w:t>initiated by f inancial institutions were exempt from the tax, whereas the European FTT would apply to all transactions with the EU. In addition, the Swedish review was done on a period where both the equity and credit derivatives markets were not develope</w:t>
      </w:r>
      <w:r>
        <w:rPr>
          <w:rFonts w:ascii="Cambria" w:eastAsia="Cambria" w:hAnsi="Cambria" w:cs="Cambria"/>
        </w:rPr>
        <w:t>d significantly. In the UK case, the review was achieved in 2003, at a time where the credit derivatives markets were just beginning their development, while the equity derivatives market was already in place. In both cases, the possibility to conduct capi</w:t>
      </w:r>
      <w:r>
        <w:rPr>
          <w:rFonts w:ascii="Cambria" w:eastAsia="Cambria" w:hAnsi="Cambria" w:cs="Cambria"/>
        </w:rPr>
        <w:t xml:space="preserve">tal structure arbitrage between credit and equity derivatives, which is the justification of our analysis, was limited. </w:t>
      </w:r>
      <w:r>
        <w:rPr>
          <w:rFonts w:ascii="Cambria" w:eastAsia="Cambria" w:hAnsi="Cambria" w:cs="Cambria"/>
        </w:rPr>
        <w:lastRenderedPageBreak/>
        <w:t>Furthermore, in both cases of Sweden and UK reviews, the authors do not disclose or compute the average corporation leverage of the stoc</w:t>
      </w:r>
      <w:r>
        <w:rPr>
          <w:rFonts w:ascii="Cambria" w:eastAsia="Cambria" w:hAnsi="Cambria" w:cs="Cambria"/>
        </w:rPr>
        <w:t>k index they are considering.</w:t>
      </w:r>
    </w:p>
    <w:p w:rsidR="00EE13F6" w:rsidRDefault="002E5BC4">
      <w:pPr>
        <w:spacing w:after="135" w:line="264" w:lineRule="auto"/>
        <w:ind w:left="-5" w:right="468" w:hanging="10"/>
        <w:jc w:val="both"/>
      </w:pPr>
      <w:r>
        <w:rPr>
          <w:rFonts w:ascii="Cambria" w:eastAsia="Cambria" w:hAnsi="Cambria" w:cs="Cambria"/>
        </w:rPr>
        <w:t>Despite these differences, our results are comparable in terms of directions and magnitude to existing results from literature, based on empirical studies, for a reasonable assumption on corporation’s leverage. Our results dis</w:t>
      </w:r>
      <w:r>
        <w:rPr>
          <w:rFonts w:ascii="Cambria" w:eastAsia="Cambria" w:hAnsi="Cambria" w:cs="Cambria"/>
        </w:rPr>
        <w:t>played Table 4 evidence approximately the same short-term magnitude as Saporta and Kan (1997) or Westerholm (2003) and Umlauf (1993), and even Hawkins and McCrae (2002), if we consider an average leverage between 3 and 4, and a FTT roundtrip rate of 0.4 pe</w:t>
      </w:r>
      <w:r>
        <w:rPr>
          <w:rFonts w:ascii="Cambria" w:eastAsia="Cambria" w:hAnsi="Cambria" w:cs="Cambria"/>
        </w:rPr>
        <w:t>rcent.</w:t>
      </w:r>
    </w:p>
    <w:p w:rsidR="00EE13F6" w:rsidRDefault="002E5BC4">
      <w:pPr>
        <w:pStyle w:val="Heading2"/>
        <w:spacing w:after="266" w:line="251" w:lineRule="auto"/>
        <w:ind w:left="608" w:right="468" w:hanging="623"/>
        <w:jc w:val="both"/>
      </w:pPr>
      <w:r>
        <w:t>4.2 The Particular Case of the Banking Sector in the Basel III Context and the Need for Banks to Raise additional Capital</w:t>
      </w:r>
    </w:p>
    <w:p w:rsidR="00EE13F6" w:rsidRDefault="002E5BC4">
      <w:pPr>
        <w:spacing w:after="135" w:line="264" w:lineRule="auto"/>
        <w:ind w:left="-5" w:right="468" w:hanging="10"/>
        <w:jc w:val="both"/>
      </w:pPr>
      <w:r>
        <w:rPr>
          <w:rFonts w:ascii="Cambria" w:eastAsia="Cambria" w:hAnsi="Cambria" w:cs="Cambria"/>
        </w:rPr>
        <w:t xml:space="preserve">Results stated above are of particular importance for banks and financial institutions, especially in the European Union which </w:t>
      </w:r>
      <w:r>
        <w:rPr>
          <w:rFonts w:ascii="Cambria" w:eastAsia="Cambria" w:hAnsi="Cambria" w:cs="Cambria"/>
        </w:rPr>
        <w:t>are subject to the new capital requirements implemented by the CRD IV (”Basel III”) rules. According to those rules, banks must maintain enough capital to offset the risk they bear on their asset portfolio. Pursuant to the new requirements introduced by th</w:t>
      </w:r>
      <w:r>
        <w:rPr>
          <w:rFonts w:ascii="Cambria" w:eastAsia="Cambria" w:hAnsi="Cambria" w:cs="Cambria"/>
        </w:rPr>
        <w:t>e CRD IV rule, banks have issued specific debt investment vehicles allowing them to fulfil this obligation in case their core equity defined as the Tier 1 falls below a predetermined fraction of their assets. Those instruments are in fact “quasi-equity” an</w:t>
      </w:r>
      <w:r>
        <w:rPr>
          <w:rFonts w:ascii="Cambria" w:eastAsia="Cambria" w:hAnsi="Cambria" w:cs="Cambria"/>
        </w:rPr>
        <w:t>d are issued as convertible perpetual contingent debt(COCO), where generally the debt is converted into equity, once a specific event is triggered. This specific event consist of the equity value a poses then a fixed capital structure (and leverage) for ba</w:t>
      </w:r>
      <w:r>
        <w:rPr>
          <w:rFonts w:ascii="Cambria" w:eastAsia="Cambria" w:hAnsi="Cambria" w:cs="Cambria"/>
        </w:rPr>
        <w:t>nks and financial institutions falling under a predetermined threshold expressed as a fraction of the bank corporate assets. This debt is either at a fixed or floating rate. Additionally, banks have offered variants of COCOs which encompass a “wipe-off” cl</w:t>
      </w:r>
      <w:r>
        <w:rPr>
          <w:rFonts w:ascii="Cambria" w:eastAsia="Cambria" w:hAnsi="Cambria" w:cs="Cambria"/>
        </w:rPr>
        <w:t>ause where instead of a conversion into equity, the entire capital is lost for the investor, the rate of return of the instrument being priced accordingly.</w:t>
      </w:r>
    </w:p>
    <w:p w:rsidR="00EE13F6" w:rsidRDefault="002E5BC4">
      <w:pPr>
        <w:spacing w:after="135" w:line="264" w:lineRule="auto"/>
        <w:ind w:left="-5" w:right="468" w:hanging="10"/>
        <w:jc w:val="both"/>
      </w:pPr>
      <w:r>
        <w:rPr>
          <w:rFonts w:ascii="Cambria" w:eastAsia="Cambria" w:hAnsi="Cambria" w:cs="Cambria"/>
        </w:rPr>
        <w:t>Those instruments might encompass also a call clause where the issuer can buy back those instruments</w:t>
      </w:r>
      <w:r>
        <w:rPr>
          <w:rFonts w:ascii="Cambria" w:eastAsia="Cambria" w:hAnsi="Cambria" w:cs="Cambria"/>
        </w:rPr>
        <w:t>. In this case, there is an embedded call option which is sold by the investor to the issuer. From the investor’s standpoint, the introduction of the FTT which triggers an increase in both asset and stock price value, generates an additional cost which has</w:t>
      </w:r>
      <w:r>
        <w:rPr>
          <w:rFonts w:ascii="Cambria" w:eastAsia="Cambria" w:hAnsi="Cambria" w:cs="Cambria"/>
        </w:rPr>
        <w:t xml:space="preserve"> to be compensated by the issuer, generally by increasing the principal amount of COCOs. This in turn creates an additional drop in the stock price. We will not consider this possible call clause, and therefore the impact we will compute is in fact the min</w:t>
      </w:r>
      <w:r>
        <w:rPr>
          <w:rFonts w:ascii="Cambria" w:eastAsia="Cambria" w:hAnsi="Cambria" w:cs="Cambria"/>
        </w:rPr>
        <w:t>imum possible effect.</w:t>
      </w:r>
    </w:p>
    <w:p w:rsidR="00EE13F6" w:rsidRDefault="002E5BC4">
      <w:pPr>
        <w:spacing w:line="264" w:lineRule="auto"/>
        <w:ind w:left="-5" w:right="468" w:hanging="10"/>
        <w:jc w:val="both"/>
      </w:pPr>
      <w:r>
        <w:rPr>
          <w:rFonts w:ascii="Cambria" w:eastAsia="Cambria" w:hAnsi="Cambria" w:cs="Cambria"/>
        </w:rPr>
        <w:t>Those new convertible instruments denominated as Contingent Convertible Bonds (”COCOs”) can be stripped into a perpetual debt issued either at a fixed or floating rate, and a ”call” option sold by the investors to the issuer. The issu</w:t>
      </w:r>
      <w:r>
        <w:rPr>
          <w:rFonts w:ascii="Cambria" w:eastAsia="Cambria" w:hAnsi="Cambria" w:cs="Cambria"/>
        </w:rPr>
        <w:t>er can then convert the debt into equity in the case the bank capital falls below a predetermined threshold. Practically, the computation of the price of a COCO uses the same framework as the one exposed previously in Section I. When the COCOS features a c</w:t>
      </w:r>
      <w:r>
        <w:rPr>
          <w:rFonts w:ascii="Cambria" w:eastAsia="Cambria" w:hAnsi="Cambria" w:cs="Cambria"/>
        </w:rPr>
        <w:t>omplete wipe-off possibility, instead, the calculation is then simplified as it consists solely of the expected value of the futures payment coupons, under the natural risk neutral measure attached to the diffusion process followed by the share price,</w:t>
      </w:r>
    </w:p>
    <w:p w:rsidR="00EE13F6" w:rsidRDefault="002E5BC4">
      <w:pPr>
        <w:spacing w:after="167" w:line="264" w:lineRule="auto"/>
        <w:ind w:left="-5" w:right="468" w:hanging="10"/>
        <w:jc w:val="both"/>
      </w:pPr>
      <w:r>
        <w:rPr>
          <w:rFonts w:ascii="Cambria" w:eastAsia="Cambria" w:hAnsi="Cambria" w:cs="Cambria"/>
        </w:rPr>
        <w:t>Let’</w:t>
      </w:r>
      <w:r>
        <w:rPr>
          <w:rFonts w:ascii="Cambria" w:eastAsia="Cambria" w:hAnsi="Cambria" w:cs="Cambria"/>
        </w:rPr>
        <w:t xml:space="preserve">s consider </w:t>
      </w:r>
      <w:r>
        <w:rPr>
          <w:rFonts w:ascii="Cambria" w:eastAsia="Cambria" w:hAnsi="Cambria" w:cs="Cambria"/>
          <w:i/>
        </w:rPr>
        <w:t>S</w:t>
      </w:r>
      <w:r>
        <w:rPr>
          <w:rFonts w:ascii="Cambria" w:eastAsia="Cambria" w:hAnsi="Cambria" w:cs="Cambria"/>
        </w:rPr>
        <w:t>(</w:t>
      </w:r>
      <w:r>
        <w:rPr>
          <w:rFonts w:ascii="Cambria" w:eastAsia="Cambria" w:hAnsi="Cambria" w:cs="Cambria"/>
          <w:i/>
        </w:rPr>
        <w:t>t</w:t>
      </w:r>
      <w:r>
        <w:rPr>
          <w:rFonts w:ascii="Cambria" w:eastAsia="Cambria" w:hAnsi="Cambria" w:cs="Cambria"/>
        </w:rPr>
        <w:t xml:space="preserve">) which designates the value of corporate equity at time </w:t>
      </w:r>
      <w:r>
        <w:rPr>
          <w:rFonts w:ascii="Cambria" w:eastAsia="Cambria" w:hAnsi="Cambria" w:cs="Cambria"/>
          <w:i/>
        </w:rPr>
        <w:t>t</w:t>
      </w:r>
      <w:r>
        <w:rPr>
          <w:rFonts w:ascii="Cambria" w:eastAsia="Cambria" w:hAnsi="Cambria" w:cs="Cambria"/>
        </w:rPr>
        <w:t xml:space="preserve">, and </w:t>
      </w:r>
      <w:r>
        <w:rPr>
          <w:rFonts w:ascii="Cambria" w:eastAsia="Cambria" w:hAnsi="Cambria" w:cs="Cambria"/>
          <w:i/>
        </w:rPr>
        <w:t>D</w:t>
      </w:r>
      <w:r>
        <w:rPr>
          <w:rFonts w:ascii="Cambria" w:eastAsia="Cambria" w:hAnsi="Cambria" w:cs="Cambria"/>
        </w:rPr>
        <w:t>(</w:t>
      </w:r>
      <w:r>
        <w:rPr>
          <w:rFonts w:ascii="Cambria" w:eastAsia="Cambria" w:hAnsi="Cambria" w:cs="Cambria"/>
          <w:i/>
        </w:rPr>
        <w:t>t</w:t>
      </w:r>
      <w:r>
        <w:rPr>
          <w:rFonts w:ascii="Cambria" w:eastAsia="Cambria" w:hAnsi="Cambria" w:cs="Cambria"/>
        </w:rPr>
        <w:t xml:space="preserve">) designates the total amount of corporate outstanding debt, excluding COCOs. We assume for simplicity’ sake that we have only one issue of COCO. We designate by </w:t>
      </w:r>
      <w:r>
        <w:rPr>
          <w:rFonts w:ascii="Cambria" w:eastAsia="Cambria" w:hAnsi="Cambria" w:cs="Cambria"/>
          <w:i/>
        </w:rPr>
        <w:t>DD</w:t>
      </w:r>
      <w:r>
        <w:rPr>
          <w:rFonts w:ascii="Cambria" w:eastAsia="Cambria" w:hAnsi="Cambria" w:cs="Cambria"/>
        </w:rPr>
        <w:t>(</w:t>
      </w:r>
      <w:r>
        <w:rPr>
          <w:rFonts w:ascii="Cambria" w:eastAsia="Cambria" w:hAnsi="Cambria" w:cs="Cambria"/>
          <w:i/>
        </w:rPr>
        <w:t>t</w:t>
      </w:r>
      <w:r>
        <w:rPr>
          <w:rFonts w:ascii="Cambria" w:eastAsia="Cambria" w:hAnsi="Cambria" w:cs="Cambria"/>
        </w:rPr>
        <w:t>) the mar</w:t>
      </w:r>
      <w:r>
        <w:rPr>
          <w:rFonts w:ascii="Cambria" w:eastAsia="Cambria" w:hAnsi="Cambria" w:cs="Cambria"/>
        </w:rPr>
        <w:t xml:space="preserve">ket value of the COCO debt, corresponding to the facial value </w:t>
      </w:r>
      <w:r>
        <w:rPr>
          <w:rFonts w:ascii="Cambria" w:eastAsia="Cambria" w:hAnsi="Cambria" w:cs="Cambria"/>
          <w:i/>
        </w:rPr>
        <w:t>P</w:t>
      </w:r>
      <w:r>
        <w:rPr>
          <w:rFonts w:ascii="Cambria" w:eastAsia="Cambria" w:hAnsi="Cambria" w:cs="Cambria"/>
        </w:rPr>
        <w:t>(</w:t>
      </w:r>
      <w:r>
        <w:rPr>
          <w:rFonts w:ascii="Cambria" w:eastAsia="Cambria" w:hAnsi="Cambria" w:cs="Cambria"/>
          <w:i/>
        </w:rPr>
        <w:t>t</w:t>
      </w:r>
      <w:r>
        <w:rPr>
          <w:rFonts w:ascii="Cambria" w:eastAsia="Cambria" w:hAnsi="Cambria" w:cs="Cambria"/>
        </w:rPr>
        <w:t>) of the COCO issued.</w:t>
      </w:r>
    </w:p>
    <w:p w:rsidR="00EE13F6" w:rsidRDefault="002E5BC4">
      <w:pPr>
        <w:spacing w:after="446" w:line="264" w:lineRule="auto"/>
        <w:ind w:left="-5" w:right="468" w:hanging="10"/>
        <w:jc w:val="both"/>
      </w:pPr>
      <w:r>
        <w:rPr>
          <w:rFonts w:ascii="Cambria" w:eastAsia="Cambria" w:hAnsi="Cambria" w:cs="Cambria"/>
        </w:rPr>
        <w:lastRenderedPageBreak/>
        <w:t xml:space="preserve">We designate by </w:t>
      </w:r>
      <w:r>
        <w:rPr>
          <w:rFonts w:ascii="Cambria" w:eastAsia="Cambria" w:hAnsi="Cambria" w:cs="Cambria"/>
          <w:i/>
        </w:rPr>
        <w:t xml:space="preserve">r </w:t>
      </w:r>
      <w:r>
        <w:rPr>
          <w:rFonts w:ascii="Cambria" w:eastAsia="Cambria" w:hAnsi="Cambria" w:cs="Cambria"/>
        </w:rPr>
        <w:t xml:space="preserve">the “risk-free ” yearly interest rate, </w:t>
      </w:r>
      <w:r>
        <w:rPr>
          <w:rFonts w:ascii="Cambria" w:eastAsia="Cambria" w:hAnsi="Cambria" w:cs="Cambria"/>
          <w:i/>
        </w:rPr>
        <w:t xml:space="preserve">d </w:t>
      </w:r>
      <w:r>
        <w:rPr>
          <w:rFonts w:ascii="Cambria" w:eastAsia="Cambria" w:hAnsi="Cambria" w:cs="Cambria"/>
        </w:rPr>
        <w:t xml:space="preserve">is the continuous dividend yield paid by the stock, and </w:t>
      </w:r>
      <w:r>
        <w:rPr>
          <w:rFonts w:ascii="Cambria" w:eastAsia="Cambria" w:hAnsi="Cambria" w:cs="Cambria"/>
          <w:i/>
        </w:rPr>
        <w:t xml:space="preserve">σ </w:t>
      </w:r>
      <w:r>
        <w:rPr>
          <w:rFonts w:ascii="Cambria" w:eastAsia="Cambria" w:hAnsi="Cambria" w:cs="Cambria"/>
        </w:rPr>
        <w:t>designates the stock volatility.</w:t>
      </w:r>
    </w:p>
    <w:p w:rsidR="00EE13F6" w:rsidRDefault="002E5BC4">
      <w:pPr>
        <w:tabs>
          <w:tab w:val="center" w:pos="4675"/>
          <w:tab w:val="center" w:pos="9166"/>
        </w:tabs>
        <w:spacing w:after="188" w:line="265" w:lineRule="auto"/>
      </w:pPr>
      <w:r>
        <w:tab/>
      </w:r>
      <w:r>
        <w:rPr>
          <w:rFonts w:ascii="Cambria" w:eastAsia="Cambria" w:hAnsi="Cambria" w:cs="Cambria"/>
          <w:i/>
        </w:rPr>
        <w:t>dS</w:t>
      </w:r>
      <w:r>
        <w:rPr>
          <w:rFonts w:ascii="Cambria" w:eastAsia="Cambria" w:hAnsi="Cambria" w:cs="Cambria"/>
          <w:i/>
          <w:vertAlign w:val="subscript"/>
        </w:rPr>
        <w:t xml:space="preserve">t </w:t>
      </w:r>
      <w:r>
        <w:rPr>
          <w:rFonts w:ascii="Cambria" w:eastAsia="Cambria" w:hAnsi="Cambria" w:cs="Cambria"/>
        </w:rPr>
        <w:t>= (</w:t>
      </w:r>
      <w:r>
        <w:rPr>
          <w:rFonts w:ascii="Cambria" w:eastAsia="Cambria" w:hAnsi="Cambria" w:cs="Cambria"/>
          <w:i/>
        </w:rPr>
        <w:t xml:space="preserve">r </w:t>
      </w:r>
      <w:r>
        <w:rPr>
          <w:rFonts w:ascii="Cambria" w:eastAsia="Cambria" w:hAnsi="Cambria" w:cs="Cambria"/>
        </w:rPr>
        <w:t>−</w:t>
      </w:r>
      <w:r>
        <w:rPr>
          <w:rFonts w:ascii="Cambria" w:eastAsia="Cambria" w:hAnsi="Cambria" w:cs="Cambria"/>
        </w:rPr>
        <w:t xml:space="preserve"> </w:t>
      </w:r>
      <w:r>
        <w:rPr>
          <w:rFonts w:ascii="Cambria" w:eastAsia="Cambria" w:hAnsi="Cambria" w:cs="Cambria"/>
          <w:i/>
        </w:rPr>
        <w:t>d</w:t>
      </w:r>
      <w:r>
        <w:rPr>
          <w:rFonts w:ascii="Cambria" w:eastAsia="Cambria" w:hAnsi="Cambria" w:cs="Cambria"/>
        </w:rPr>
        <w:t>)</w:t>
      </w:r>
      <w:r>
        <w:rPr>
          <w:rFonts w:ascii="Cambria" w:eastAsia="Cambria" w:hAnsi="Cambria" w:cs="Cambria"/>
          <w:i/>
        </w:rPr>
        <w:t xml:space="preserve">dt </w:t>
      </w:r>
      <w:r>
        <w:rPr>
          <w:rFonts w:ascii="Cambria" w:eastAsia="Cambria" w:hAnsi="Cambria" w:cs="Cambria"/>
        </w:rPr>
        <w:t xml:space="preserve">+ </w:t>
      </w:r>
      <w:r>
        <w:rPr>
          <w:rFonts w:ascii="Cambria" w:eastAsia="Cambria" w:hAnsi="Cambria" w:cs="Cambria"/>
          <w:i/>
        </w:rPr>
        <w:t>σdW</w:t>
      </w:r>
      <w:r>
        <w:rPr>
          <w:rFonts w:ascii="Cambria" w:eastAsia="Cambria" w:hAnsi="Cambria" w:cs="Cambria"/>
          <w:i/>
          <w:vertAlign w:val="subscript"/>
        </w:rPr>
        <w:t>t</w:t>
      </w:r>
      <w:r>
        <w:rPr>
          <w:rFonts w:ascii="Cambria" w:eastAsia="Cambria" w:hAnsi="Cambria" w:cs="Cambria"/>
          <w:i/>
          <w:vertAlign w:val="subscript"/>
        </w:rPr>
        <w:tab/>
      </w:r>
      <w:r>
        <w:rPr>
          <w:rFonts w:ascii="Cambria" w:eastAsia="Cambria" w:hAnsi="Cambria" w:cs="Cambria"/>
        </w:rPr>
        <w:t>(32)</w:t>
      </w:r>
    </w:p>
    <w:p w:rsidR="00EE13F6" w:rsidRDefault="002E5BC4">
      <w:pPr>
        <w:spacing w:after="150" w:line="261" w:lineRule="auto"/>
        <w:ind w:left="-5" w:right="1773" w:hanging="10"/>
      </w:pPr>
      <w:r>
        <w:rPr>
          <w:rFonts w:ascii="Cambria" w:eastAsia="Cambria" w:hAnsi="Cambria" w:cs="Cambria"/>
          <w:i/>
        </w:rPr>
        <w:t>S</w:t>
      </w:r>
      <w:r>
        <w:rPr>
          <w:rFonts w:ascii="Cambria" w:eastAsia="Cambria" w:hAnsi="Cambria" w:cs="Cambria"/>
          <w:vertAlign w:val="subscript"/>
        </w:rPr>
        <w:t xml:space="preserve">0 </w:t>
      </w:r>
      <w:r>
        <w:rPr>
          <w:rFonts w:ascii="Cambria" w:eastAsia="Cambria" w:hAnsi="Cambria" w:cs="Cambria"/>
          <w:i/>
        </w:rPr>
        <w:t xml:space="preserve">&gt; </w:t>
      </w:r>
      <w:r>
        <w:rPr>
          <w:rFonts w:ascii="Cambria" w:eastAsia="Cambria" w:hAnsi="Cambria" w:cs="Cambria"/>
        </w:rPr>
        <w:t>0</w:t>
      </w:r>
    </w:p>
    <w:p w:rsidR="00EE13F6" w:rsidRDefault="002E5BC4">
      <w:pPr>
        <w:spacing w:after="135" w:line="264" w:lineRule="auto"/>
        <w:ind w:left="-5" w:right="468" w:hanging="10"/>
        <w:jc w:val="both"/>
      </w:pPr>
      <w:r>
        <w:rPr>
          <w:rFonts w:ascii="Cambria" w:eastAsia="Cambria" w:hAnsi="Cambria" w:cs="Cambria"/>
        </w:rPr>
        <w:t>Let’s compare two situations, one without FTT and one where the FTT has been introduced. We want to do a static comparison between the two values of the COCOs issued.</w:t>
      </w:r>
    </w:p>
    <w:p w:rsidR="00EE13F6" w:rsidRDefault="002E5BC4">
      <w:pPr>
        <w:spacing w:after="159" w:line="264" w:lineRule="auto"/>
        <w:ind w:left="-5" w:right="468" w:hanging="10"/>
        <w:jc w:val="both"/>
      </w:pPr>
      <w:r>
        <w:rPr>
          <w:rFonts w:ascii="Cambria" w:eastAsia="Cambria" w:hAnsi="Cambria" w:cs="Cambria"/>
          <w:i/>
        </w:rPr>
        <w:t xml:space="preserve">τ </w:t>
      </w:r>
      <w:r>
        <w:rPr>
          <w:rFonts w:ascii="Cambria" w:eastAsia="Cambria" w:hAnsi="Cambria" w:cs="Cambria"/>
        </w:rPr>
        <w:t>designates the first hitting time such that it triggers the conversion of one monetary unit of COCO into one monetary unit of corporate equity. This time is such that</w:t>
      </w:r>
    </w:p>
    <w:p w:rsidR="00EE13F6" w:rsidRDefault="002E5BC4">
      <w:pPr>
        <w:spacing w:after="176" w:line="265" w:lineRule="auto"/>
        <w:ind w:left="10" w:right="483" w:hanging="10"/>
        <w:jc w:val="center"/>
      </w:pPr>
      <w:r>
        <w:rPr>
          <w:rFonts w:ascii="Cambria" w:eastAsia="Cambria" w:hAnsi="Cambria" w:cs="Cambria"/>
          <w:i/>
        </w:rPr>
        <w:t xml:space="preserve">τ </w:t>
      </w:r>
      <w:r>
        <w:rPr>
          <w:rFonts w:ascii="Cambria" w:eastAsia="Cambria" w:hAnsi="Cambria" w:cs="Cambria"/>
        </w:rPr>
        <w:t>= inf(</w:t>
      </w:r>
      <w:r>
        <w:rPr>
          <w:rFonts w:ascii="Cambria" w:eastAsia="Cambria" w:hAnsi="Cambria" w:cs="Cambria"/>
          <w:i/>
        </w:rPr>
        <w:t>t</w:t>
      </w:r>
      <w:r>
        <w:rPr>
          <w:rFonts w:ascii="Cambria" w:eastAsia="Cambria" w:hAnsi="Cambria" w:cs="Cambria"/>
        </w:rPr>
        <w:t>;</w:t>
      </w:r>
      <w:r>
        <w:rPr>
          <w:rFonts w:ascii="Cambria" w:eastAsia="Cambria" w:hAnsi="Cambria" w:cs="Cambria"/>
          <w:i/>
        </w:rPr>
        <w:t>B</w:t>
      </w:r>
      <w:r>
        <w:rPr>
          <w:rFonts w:ascii="Cambria" w:eastAsia="Cambria" w:hAnsi="Cambria" w:cs="Cambria"/>
          <w:i/>
          <w:vertAlign w:val="subscript"/>
        </w:rPr>
        <w:t xml:space="preserve">t </w:t>
      </w:r>
      <w:r>
        <w:rPr>
          <w:rFonts w:ascii="Cambria" w:eastAsia="Cambria" w:hAnsi="Cambria" w:cs="Cambria"/>
        </w:rPr>
        <w:t xml:space="preserve">≤ </w:t>
      </w:r>
      <w:r>
        <w:rPr>
          <w:rFonts w:ascii="Cambria" w:eastAsia="Cambria" w:hAnsi="Cambria" w:cs="Cambria"/>
          <w:i/>
        </w:rPr>
        <w:t>K</w:t>
      </w:r>
      <w:r>
        <w:rPr>
          <w:rFonts w:ascii="Cambria" w:eastAsia="Cambria" w:hAnsi="Cambria" w:cs="Cambria"/>
        </w:rPr>
        <w:t>)</w:t>
      </w:r>
    </w:p>
    <w:p w:rsidR="00EE13F6" w:rsidRDefault="002E5BC4">
      <w:pPr>
        <w:spacing w:after="169" w:line="264" w:lineRule="auto"/>
        <w:ind w:left="-5" w:right="468" w:hanging="10"/>
        <w:jc w:val="both"/>
      </w:pPr>
      <w:r>
        <w:rPr>
          <w:rFonts w:ascii="Cambria" w:eastAsia="Cambria" w:hAnsi="Cambria" w:cs="Cambria"/>
        </w:rPr>
        <w:t xml:space="preserve">. </w:t>
      </w:r>
      <w:r>
        <w:rPr>
          <w:rFonts w:ascii="Cambria" w:eastAsia="Cambria" w:hAnsi="Cambria" w:cs="Cambria"/>
          <w:i/>
        </w:rPr>
        <w:t xml:space="preserve">K </w:t>
      </w:r>
      <w:r>
        <w:rPr>
          <w:rFonts w:ascii="Cambria" w:eastAsia="Cambria" w:hAnsi="Cambria" w:cs="Cambria"/>
        </w:rPr>
        <w:t>designates the threshold on the equity value such that the conversi</w:t>
      </w:r>
      <w:r>
        <w:rPr>
          <w:rFonts w:ascii="Cambria" w:eastAsia="Cambria" w:hAnsi="Cambria" w:cs="Cambria"/>
        </w:rPr>
        <w:t>on is triggered;</w:t>
      </w:r>
    </w:p>
    <w:p w:rsidR="00EE13F6" w:rsidRDefault="002E5BC4">
      <w:pPr>
        <w:spacing w:after="135" w:line="264" w:lineRule="auto"/>
        <w:ind w:left="-5" w:right="468" w:hanging="10"/>
        <w:jc w:val="both"/>
      </w:pPr>
      <w:r>
        <w:rPr>
          <w:rFonts w:ascii="Cambria" w:eastAsia="Cambria" w:hAnsi="Cambria" w:cs="Cambria"/>
        </w:rPr>
        <w:t xml:space="preserve">The risk neutral valuation of the COCO whose facial value is </w:t>
      </w:r>
      <w:r>
        <w:rPr>
          <w:rFonts w:ascii="Cambria" w:eastAsia="Cambria" w:hAnsi="Cambria" w:cs="Cambria"/>
          <w:i/>
        </w:rPr>
        <w:t xml:space="preserve">P </w:t>
      </w:r>
      <w:r>
        <w:rPr>
          <w:rFonts w:ascii="Cambria" w:eastAsia="Cambria" w:hAnsi="Cambria" w:cs="Cambria"/>
        </w:rPr>
        <w:t xml:space="preserve">and which pays a continuous coupon </w:t>
      </w:r>
      <w:r>
        <w:rPr>
          <w:rFonts w:ascii="Cambria" w:eastAsia="Cambria" w:hAnsi="Cambria" w:cs="Cambria"/>
          <w:i/>
        </w:rPr>
        <w:t xml:space="preserve">C </w:t>
      </w:r>
      <w:r>
        <w:rPr>
          <w:rFonts w:ascii="Cambria" w:eastAsia="Cambria" w:hAnsi="Cambria" w:cs="Cambria"/>
        </w:rPr>
        <w:t xml:space="preserve">encompasses the coupon payments till the debt is converted into corporate equity at the share price </w:t>
      </w:r>
      <w:r>
        <w:rPr>
          <w:rFonts w:ascii="Cambria" w:eastAsia="Cambria" w:hAnsi="Cambria" w:cs="Cambria"/>
          <w:i/>
        </w:rPr>
        <w:t>K</w:t>
      </w:r>
      <w:r>
        <w:rPr>
          <w:rFonts w:ascii="Cambria" w:eastAsia="Cambria" w:hAnsi="Cambria" w:cs="Cambria"/>
        </w:rPr>
        <w:t>.</w:t>
      </w:r>
    </w:p>
    <w:p w:rsidR="00EE13F6" w:rsidRDefault="002E5BC4">
      <w:pPr>
        <w:spacing w:after="135" w:line="264" w:lineRule="auto"/>
        <w:ind w:left="-5" w:right="468" w:hanging="10"/>
        <w:jc w:val="both"/>
      </w:pPr>
      <w:r>
        <w:rPr>
          <w:rFonts w:ascii="Cambria" w:eastAsia="Cambria" w:hAnsi="Cambria" w:cs="Cambria"/>
        </w:rPr>
        <w:t>The pricing of such COCO appears ver</w:t>
      </w:r>
      <w:r>
        <w:rPr>
          <w:rFonts w:ascii="Cambria" w:eastAsia="Cambria" w:hAnsi="Cambria" w:cs="Cambria"/>
        </w:rPr>
        <w:t>y similar to the pricing of the perpetual debt with an exogenous threshold triggering the bankruptcy, that we described in Section I.</w:t>
      </w:r>
    </w:p>
    <w:p w:rsidR="00EE13F6" w:rsidRDefault="002E5BC4">
      <w:pPr>
        <w:spacing w:after="59" w:line="264" w:lineRule="auto"/>
        <w:ind w:left="-5" w:right="468" w:hanging="10"/>
        <w:jc w:val="both"/>
      </w:pPr>
      <w:r>
        <w:rPr>
          <w:rFonts w:ascii="Cambria" w:eastAsia="Cambria" w:hAnsi="Cambria" w:cs="Cambria"/>
        </w:rPr>
        <w:t>By the same token as in Section I, the COCO’s coupon payment term writes:</w:t>
      </w:r>
    </w:p>
    <w:p w:rsidR="00EE13F6" w:rsidRDefault="002E5BC4">
      <w:pPr>
        <w:spacing w:after="231"/>
        <w:ind w:left="3960"/>
      </w:pPr>
      <w:r>
        <w:rPr>
          <w:noProof/>
        </w:rPr>
        <w:drawing>
          <wp:inline distT="0" distB="0" distL="0" distR="0">
            <wp:extent cx="856488" cy="292608"/>
            <wp:effectExtent l="0" t="0" r="0" b="0"/>
            <wp:docPr id="222039" name="Picture 222039"/>
            <wp:cNvGraphicFramePr/>
            <a:graphic xmlns:a="http://schemas.openxmlformats.org/drawingml/2006/main">
              <a:graphicData uri="http://schemas.openxmlformats.org/drawingml/2006/picture">
                <pic:pic xmlns:pic="http://schemas.openxmlformats.org/drawingml/2006/picture">
                  <pic:nvPicPr>
                    <pic:cNvPr id="222039" name="Picture 222039"/>
                    <pic:cNvPicPr/>
                  </pic:nvPicPr>
                  <pic:blipFill>
                    <a:blip r:embed="rId253"/>
                    <a:stretch>
                      <a:fillRect/>
                    </a:stretch>
                  </pic:blipFill>
                  <pic:spPr>
                    <a:xfrm>
                      <a:off x="0" y="0"/>
                      <a:ext cx="856488" cy="292608"/>
                    </a:xfrm>
                    <a:prstGeom prst="rect">
                      <a:avLst/>
                    </a:prstGeom>
                  </pic:spPr>
                </pic:pic>
              </a:graphicData>
            </a:graphic>
          </wp:inline>
        </w:drawing>
      </w:r>
    </w:p>
    <w:p w:rsidR="00EE13F6" w:rsidRDefault="002E5BC4">
      <w:pPr>
        <w:spacing w:after="0" w:line="264" w:lineRule="auto"/>
        <w:ind w:left="-5" w:right="468" w:hanging="10"/>
        <w:jc w:val="both"/>
      </w:pPr>
      <w:r>
        <w:rPr>
          <w:rFonts w:ascii="Cambria" w:eastAsia="Cambria" w:hAnsi="Cambria" w:cs="Cambria"/>
        </w:rPr>
        <w:t xml:space="preserve">The payment at the date of exercice is </w:t>
      </w:r>
      <w:r>
        <w:rPr>
          <w:rFonts w:ascii="Cambria" w:eastAsia="Cambria" w:hAnsi="Cambria" w:cs="Cambria"/>
          <w:i/>
        </w:rPr>
        <w:t>PK</w:t>
      </w:r>
      <w:r>
        <w:rPr>
          <w:rFonts w:ascii="Cambria" w:eastAsia="Cambria" w:hAnsi="Cambria" w:cs="Cambria"/>
        </w:rPr>
        <w:t>. The</w:t>
      </w:r>
      <w:r>
        <w:rPr>
          <w:rFonts w:ascii="Cambria" w:eastAsia="Cambria" w:hAnsi="Cambria" w:cs="Cambria"/>
        </w:rPr>
        <w:t xml:space="preserve"> expectation of such payment under the natural measure is</w:t>
      </w:r>
    </w:p>
    <w:p w:rsidR="00EE13F6" w:rsidRDefault="002E5BC4">
      <w:pPr>
        <w:spacing w:after="121"/>
        <w:ind w:left="4040"/>
      </w:pPr>
      <w:r>
        <w:rPr>
          <w:noProof/>
        </w:rPr>
        <w:drawing>
          <wp:inline distT="0" distB="0" distL="0" distR="0">
            <wp:extent cx="725424" cy="289560"/>
            <wp:effectExtent l="0" t="0" r="0" b="0"/>
            <wp:docPr id="222040" name="Picture 222040"/>
            <wp:cNvGraphicFramePr/>
            <a:graphic xmlns:a="http://schemas.openxmlformats.org/drawingml/2006/main">
              <a:graphicData uri="http://schemas.openxmlformats.org/drawingml/2006/picture">
                <pic:pic xmlns:pic="http://schemas.openxmlformats.org/drawingml/2006/picture">
                  <pic:nvPicPr>
                    <pic:cNvPr id="222040" name="Picture 222040"/>
                    <pic:cNvPicPr/>
                  </pic:nvPicPr>
                  <pic:blipFill>
                    <a:blip r:embed="rId254"/>
                    <a:stretch>
                      <a:fillRect/>
                    </a:stretch>
                  </pic:blipFill>
                  <pic:spPr>
                    <a:xfrm>
                      <a:off x="0" y="0"/>
                      <a:ext cx="725424" cy="289560"/>
                    </a:xfrm>
                    <a:prstGeom prst="rect">
                      <a:avLst/>
                    </a:prstGeom>
                  </pic:spPr>
                </pic:pic>
              </a:graphicData>
            </a:graphic>
          </wp:inline>
        </w:drawing>
      </w:r>
    </w:p>
    <w:p w:rsidR="00EE13F6" w:rsidRDefault="002E5BC4">
      <w:pPr>
        <w:spacing w:after="181" w:line="264" w:lineRule="auto"/>
        <w:ind w:left="-5" w:right="468" w:hanging="10"/>
        <w:jc w:val="both"/>
      </w:pPr>
      <w:r>
        <w:rPr>
          <w:rFonts w:ascii="Cambria" w:eastAsia="Cambria" w:hAnsi="Cambria" w:cs="Cambria"/>
        </w:rPr>
        <w:t xml:space="preserve">where </w:t>
      </w:r>
      <w:r>
        <w:rPr>
          <w:rFonts w:ascii="Cambria" w:eastAsia="Cambria" w:hAnsi="Cambria" w:cs="Cambria"/>
          <w:i/>
        </w:rPr>
        <w:t xml:space="preserve">z </w:t>
      </w:r>
      <w:r>
        <w:rPr>
          <w:rFonts w:ascii="Cambria" w:eastAsia="Cambria" w:hAnsi="Cambria" w:cs="Cambria"/>
        </w:rPr>
        <w:t xml:space="preserve">is computed accordingly to section 1, given that the process </w:t>
      </w:r>
      <w:r>
        <w:rPr>
          <w:rFonts w:ascii="Cambria" w:eastAsia="Cambria" w:hAnsi="Cambria" w:cs="Cambria"/>
          <w:i/>
        </w:rPr>
        <w:t>S</w:t>
      </w:r>
      <w:r>
        <w:rPr>
          <w:rFonts w:ascii="Cambria" w:eastAsia="Cambria" w:hAnsi="Cambria" w:cs="Cambria"/>
        </w:rPr>
        <w:t>(</w:t>
      </w:r>
      <w:r>
        <w:rPr>
          <w:rFonts w:ascii="Cambria" w:eastAsia="Cambria" w:hAnsi="Cambria" w:cs="Cambria"/>
          <w:i/>
        </w:rPr>
        <w:t>t</w:t>
      </w:r>
      <w:r>
        <w:rPr>
          <w:rFonts w:ascii="Cambria" w:eastAsia="Cambria" w:hAnsi="Cambria" w:cs="Cambria"/>
        </w:rPr>
        <w:t xml:space="preserve">) has a drift equal to </w:t>
      </w:r>
      <w:r>
        <w:rPr>
          <w:rFonts w:ascii="Cambria" w:eastAsia="Cambria" w:hAnsi="Cambria" w:cs="Cambria"/>
          <w:i/>
        </w:rPr>
        <w:t>r</w:t>
      </w:r>
      <w:r>
        <w:rPr>
          <w:rFonts w:ascii="Cambria" w:eastAsia="Cambria" w:hAnsi="Cambria" w:cs="Cambria"/>
        </w:rPr>
        <w:t>−</w:t>
      </w:r>
      <w:r>
        <w:rPr>
          <w:rFonts w:ascii="Cambria" w:eastAsia="Cambria" w:hAnsi="Cambria" w:cs="Cambria"/>
          <w:i/>
        </w:rPr>
        <w:t>d</w:t>
      </w:r>
      <w:r>
        <w:rPr>
          <w:rFonts w:ascii="Cambria" w:eastAsia="Cambria" w:hAnsi="Cambria" w:cs="Cambria"/>
        </w:rPr>
        <w:t xml:space="preserve">. </w:t>
      </w:r>
      <w:r>
        <w:rPr>
          <w:rFonts w:ascii="Cambria" w:eastAsia="Cambria" w:hAnsi="Cambria" w:cs="Cambria"/>
        </w:rPr>
        <w:t xml:space="preserve">The payment at the date of exercise is in fact similar to the pay-off of a perpetual one touch put paying </w:t>
      </w:r>
      <w:r>
        <w:rPr>
          <w:rFonts w:ascii="Cambria" w:eastAsia="Cambria" w:hAnsi="Cambria" w:cs="Cambria"/>
          <w:i/>
        </w:rPr>
        <w:t>PS</w:t>
      </w:r>
      <w:r>
        <w:rPr>
          <w:rFonts w:ascii="Cambria" w:eastAsia="Cambria" w:hAnsi="Cambria" w:cs="Cambria"/>
          <w:i/>
          <w:vertAlign w:val="subscript"/>
        </w:rPr>
        <w:t xml:space="preserve">c </w:t>
      </w:r>
      <w:r>
        <w:rPr>
          <w:rFonts w:ascii="Cambria" w:eastAsia="Cambria" w:hAnsi="Cambria" w:cs="Cambria"/>
        </w:rPr>
        <w:t xml:space="preserve">in case the barrier </w:t>
      </w:r>
      <w:r>
        <w:rPr>
          <w:rFonts w:ascii="Cambria" w:eastAsia="Cambria" w:hAnsi="Cambria" w:cs="Cambria"/>
          <w:i/>
        </w:rPr>
        <w:t xml:space="preserve">K </w:t>
      </w:r>
      <w:r>
        <w:rPr>
          <w:rFonts w:ascii="Cambria" w:eastAsia="Cambria" w:hAnsi="Cambria" w:cs="Cambria"/>
        </w:rPr>
        <w:t xml:space="preserve">is touched by </w:t>
      </w:r>
      <w:r>
        <w:rPr>
          <w:rFonts w:ascii="Cambria" w:eastAsia="Cambria" w:hAnsi="Cambria" w:cs="Cambria"/>
          <w:i/>
        </w:rPr>
        <w:t>B</w:t>
      </w:r>
      <w:r>
        <w:rPr>
          <w:rFonts w:ascii="Cambria" w:eastAsia="Cambria" w:hAnsi="Cambria" w:cs="Cambria"/>
        </w:rPr>
        <w:t>(</w:t>
      </w:r>
      <w:r>
        <w:rPr>
          <w:rFonts w:ascii="Cambria" w:eastAsia="Cambria" w:hAnsi="Cambria" w:cs="Cambria"/>
          <w:i/>
        </w:rPr>
        <w:t>t</w:t>
      </w:r>
      <w:r>
        <w:rPr>
          <w:rFonts w:ascii="Cambria" w:eastAsia="Cambria" w:hAnsi="Cambria" w:cs="Cambria"/>
        </w:rPr>
        <w:t>).</w:t>
      </w:r>
    </w:p>
    <w:p w:rsidR="00EE13F6" w:rsidRDefault="002E5BC4">
      <w:pPr>
        <w:spacing w:after="37" w:line="264" w:lineRule="auto"/>
        <w:ind w:left="-5" w:right="468" w:hanging="10"/>
        <w:jc w:val="both"/>
      </w:pPr>
      <w:r>
        <w:rPr>
          <w:rFonts w:ascii="Cambria" w:eastAsia="Cambria" w:hAnsi="Cambria" w:cs="Cambria"/>
        </w:rPr>
        <w:t xml:space="preserve">We can therefore express the value </w:t>
      </w:r>
      <w:r>
        <w:rPr>
          <w:rFonts w:ascii="Cambria" w:eastAsia="Cambria" w:hAnsi="Cambria" w:cs="Cambria"/>
          <w:i/>
        </w:rPr>
        <w:t xml:space="preserve">DD </w:t>
      </w:r>
      <w:r>
        <w:rPr>
          <w:rFonts w:ascii="Cambria" w:eastAsia="Cambria" w:hAnsi="Cambria" w:cs="Cambria"/>
        </w:rPr>
        <w:t>of the COCO which writes:</w:t>
      </w:r>
    </w:p>
    <w:p w:rsidR="00EE13F6" w:rsidRDefault="002E5BC4">
      <w:pPr>
        <w:tabs>
          <w:tab w:val="center" w:pos="4711"/>
          <w:tab w:val="center" w:pos="9166"/>
        </w:tabs>
        <w:spacing w:after="257" w:line="265" w:lineRule="auto"/>
      </w:pPr>
      <w:r>
        <w:tab/>
      </w:r>
      <w:r>
        <w:rPr>
          <w:noProof/>
        </w:rPr>
        <w:drawing>
          <wp:inline distT="0" distB="0" distL="0" distR="0">
            <wp:extent cx="2365248" cy="335280"/>
            <wp:effectExtent l="0" t="0" r="0" b="0"/>
            <wp:docPr id="222041" name="Picture 222041"/>
            <wp:cNvGraphicFramePr/>
            <a:graphic xmlns:a="http://schemas.openxmlformats.org/drawingml/2006/main">
              <a:graphicData uri="http://schemas.openxmlformats.org/drawingml/2006/picture">
                <pic:pic xmlns:pic="http://schemas.openxmlformats.org/drawingml/2006/picture">
                  <pic:nvPicPr>
                    <pic:cNvPr id="222041" name="Picture 222041"/>
                    <pic:cNvPicPr/>
                  </pic:nvPicPr>
                  <pic:blipFill>
                    <a:blip r:embed="rId255"/>
                    <a:stretch>
                      <a:fillRect/>
                    </a:stretch>
                  </pic:blipFill>
                  <pic:spPr>
                    <a:xfrm>
                      <a:off x="0" y="0"/>
                      <a:ext cx="2365248" cy="335280"/>
                    </a:xfrm>
                    <a:prstGeom prst="rect">
                      <a:avLst/>
                    </a:prstGeom>
                  </pic:spPr>
                </pic:pic>
              </a:graphicData>
            </a:graphic>
          </wp:inline>
        </w:drawing>
      </w:r>
      <w:r>
        <w:rPr>
          <w:rFonts w:ascii="Cambria" w:eastAsia="Cambria" w:hAnsi="Cambria" w:cs="Cambria"/>
        </w:rPr>
        <w:tab/>
        <w:t>(33)</w:t>
      </w:r>
    </w:p>
    <w:p w:rsidR="00EE13F6" w:rsidRDefault="002E5BC4">
      <w:pPr>
        <w:spacing w:after="272" w:line="264" w:lineRule="auto"/>
        <w:ind w:left="-5" w:right="468" w:hanging="10"/>
        <w:jc w:val="both"/>
      </w:pPr>
      <w:r>
        <w:rPr>
          <w:rFonts w:ascii="Cambria" w:eastAsia="Cambria" w:hAnsi="Cambria" w:cs="Cambria"/>
        </w:rPr>
        <w:t>Equation above evidences that th</w:t>
      </w:r>
      <w:r>
        <w:rPr>
          <w:rFonts w:ascii="Cambria" w:eastAsia="Cambria" w:hAnsi="Cambria" w:cs="Cambria"/>
        </w:rPr>
        <w:t>e increase in the stock price implied volatility due to the implementation of the FTT is going to have two antagonistic effects:</w:t>
      </w:r>
    </w:p>
    <w:p w:rsidR="00EE13F6" w:rsidRDefault="002E5BC4" w:rsidP="002E5BC4">
      <w:pPr>
        <w:numPr>
          <w:ilvl w:val="0"/>
          <w:numId w:val="47"/>
        </w:numPr>
        <w:spacing w:after="167" w:line="264" w:lineRule="auto"/>
        <w:ind w:right="468" w:hanging="218"/>
        <w:jc w:val="both"/>
      </w:pPr>
      <w:r>
        <w:rPr>
          <w:rFonts w:ascii="Cambria" w:eastAsia="Cambria" w:hAnsi="Cambria" w:cs="Cambria"/>
        </w:rPr>
        <w:t>The discounted value of future coupon payments is going to be negatively affected by the increase in the probability of exercis</w:t>
      </w:r>
      <w:r>
        <w:rPr>
          <w:rFonts w:ascii="Cambria" w:eastAsia="Cambria" w:hAnsi="Cambria" w:cs="Cambria"/>
        </w:rPr>
        <w:t>ing the COCO;</w:t>
      </w:r>
    </w:p>
    <w:p w:rsidR="00EE13F6" w:rsidRDefault="002E5BC4" w:rsidP="002E5BC4">
      <w:pPr>
        <w:numPr>
          <w:ilvl w:val="0"/>
          <w:numId w:val="47"/>
        </w:numPr>
        <w:spacing w:after="255" w:line="264" w:lineRule="auto"/>
        <w:ind w:right="468" w:hanging="218"/>
        <w:jc w:val="both"/>
      </w:pPr>
      <w:r>
        <w:rPr>
          <w:rFonts w:ascii="Cambria" w:eastAsia="Cambria" w:hAnsi="Cambria" w:cs="Cambria"/>
        </w:rPr>
        <w:t>The conversion option is going to be positively affected by the increase in the volatility.</w:t>
      </w:r>
    </w:p>
    <w:p w:rsidR="00EE13F6" w:rsidRDefault="002E5BC4">
      <w:pPr>
        <w:spacing w:after="135" w:line="264" w:lineRule="auto"/>
        <w:ind w:left="-5" w:right="468" w:hanging="10"/>
        <w:jc w:val="both"/>
      </w:pPr>
      <w:r>
        <w:rPr>
          <w:rFonts w:ascii="Cambria" w:eastAsia="Cambria" w:hAnsi="Cambria" w:cs="Cambria"/>
        </w:rPr>
        <w:t>This effect will not exist, of course, in a COCO featuring a complete wipe-off clause.</w:t>
      </w:r>
    </w:p>
    <w:p w:rsidR="00EE13F6" w:rsidRDefault="002E5BC4">
      <w:pPr>
        <w:spacing w:after="135" w:line="264" w:lineRule="auto"/>
        <w:ind w:left="-5" w:right="468" w:hanging="10"/>
        <w:jc w:val="both"/>
      </w:pPr>
      <w:r>
        <w:rPr>
          <w:rFonts w:ascii="Cambria" w:eastAsia="Cambria" w:hAnsi="Cambria" w:cs="Cambria"/>
        </w:rPr>
        <w:lastRenderedPageBreak/>
        <w:t>Equation (23) then allows to simulate the generic impact of the</w:t>
      </w:r>
      <w:r>
        <w:rPr>
          <w:rFonts w:ascii="Cambria" w:eastAsia="Cambria" w:hAnsi="Cambria" w:cs="Cambria"/>
        </w:rPr>
        <w:t xml:space="preserve"> increase of the FTT on the corporate equity of banks, depending upon the capital requirements they have to abide by and the exact COCOs clauses.</w:t>
      </w:r>
    </w:p>
    <w:p w:rsidR="00EE13F6" w:rsidRDefault="002E5BC4">
      <w:pPr>
        <w:spacing w:after="135" w:line="264" w:lineRule="auto"/>
        <w:ind w:left="-5" w:right="468" w:hanging="10"/>
        <w:jc w:val="both"/>
      </w:pPr>
      <w:r>
        <w:rPr>
          <w:rFonts w:ascii="Cambria" w:eastAsia="Cambria" w:hAnsi="Cambria" w:cs="Cambria"/>
        </w:rPr>
        <w:t>In case of the introduction of the FTT, the value of the COCOs is going to decrease. Consequently, banks and f</w:t>
      </w:r>
      <w:r>
        <w:rPr>
          <w:rFonts w:ascii="Cambria" w:eastAsia="Cambria" w:hAnsi="Cambria" w:cs="Cambria"/>
        </w:rPr>
        <w:t>inancial institutions will have to adjust the coupon paid by the COCOs in order to raise the same amount of cap. Applying the reasoning of section 2.1.1 and equation (19), we find that the increase in the COCO coupon will lower both the theoretical bank’ v</w:t>
      </w:r>
      <w:r>
        <w:rPr>
          <w:rFonts w:ascii="Cambria" w:eastAsia="Cambria" w:hAnsi="Cambria" w:cs="Cambria"/>
        </w:rPr>
        <w:t>alue and its equity.</w:t>
      </w:r>
    </w:p>
    <w:p w:rsidR="00EE13F6" w:rsidRDefault="002E5BC4">
      <w:pPr>
        <w:spacing w:after="135" w:line="264" w:lineRule="auto"/>
        <w:ind w:left="-5" w:right="468" w:hanging="10"/>
        <w:jc w:val="both"/>
      </w:pPr>
      <w:r>
        <w:rPr>
          <w:rFonts w:ascii="Cambria" w:eastAsia="Cambria" w:hAnsi="Cambria" w:cs="Cambria"/>
        </w:rPr>
        <w:t>Consequently, the introduction of the FTT will conflict with the implementation of CRD IV. The FTT will lower the equity value of banks when, at the same time, CRD IV aims to increase the banks equity.</w:t>
      </w:r>
    </w:p>
    <w:p w:rsidR="00EE13F6" w:rsidRDefault="002E5BC4">
      <w:pPr>
        <w:pStyle w:val="Heading1"/>
        <w:tabs>
          <w:tab w:val="center" w:pos="1256"/>
        </w:tabs>
        <w:spacing w:after="263" w:line="261" w:lineRule="auto"/>
        <w:ind w:left="-15" w:firstLine="0"/>
      </w:pPr>
      <w:r>
        <w:t>5</w:t>
      </w:r>
      <w:r>
        <w:tab/>
        <w:t>Conclusion</w:t>
      </w:r>
    </w:p>
    <w:p w:rsidR="00EE13F6" w:rsidRDefault="002E5BC4">
      <w:pPr>
        <w:spacing w:after="135" w:line="264" w:lineRule="auto"/>
        <w:ind w:left="-5" w:right="468" w:hanging="10"/>
        <w:jc w:val="both"/>
      </w:pPr>
      <w:r>
        <w:rPr>
          <w:rFonts w:ascii="Cambria" w:eastAsia="Cambria" w:hAnsi="Cambria" w:cs="Cambria"/>
        </w:rPr>
        <w:t>We have reviewed the possible impact of the European Union Financial Transaction Tax (FTT) on the theoretical values of corporations and the theoretical prices of their equity shares, as well as the corporate debt issued and to be issued. The FTT is a part</w:t>
      </w:r>
      <w:r>
        <w:rPr>
          <w:rFonts w:ascii="Cambria" w:eastAsia="Cambria" w:hAnsi="Cambria" w:cs="Cambria"/>
        </w:rPr>
        <w:t>icular case of Standard Transaction Excise Tax (STET) that will apply to all financial transactions taking place within the EU or where at least one counterpart is domiciled within the EU.</w:t>
      </w:r>
    </w:p>
    <w:p w:rsidR="00EE13F6" w:rsidRDefault="002E5BC4">
      <w:pPr>
        <w:spacing w:after="135" w:line="264" w:lineRule="auto"/>
        <w:ind w:left="-5" w:right="468" w:hanging="10"/>
        <w:jc w:val="both"/>
      </w:pPr>
      <w:r>
        <w:rPr>
          <w:rFonts w:ascii="Cambria" w:eastAsia="Cambria" w:hAnsi="Cambria" w:cs="Cambria"/>
        </w:rPr>
        <w:t>Unlike other works, mostly based on practical surveys of equity pri</w:t>
      </w:r>
      <w:r>
        <w:rPr>
          <w:rFonts w:ascii="Cambria" w:eastAsia="Cambria" w:hAnsi="Cambria" w:cs="Cambria"/>
        </w:rPr>
        <w:t>ces following the introduction of a STET in various countries, our approach is micro-economic and based on theoretical models. We arrive at the conclusion that the introduction of a tax applying to all corporations will have different effects at the micro-</w:t>
      </w:r>
      <w:r>
        <w:rPr>
          <w:rFonts w:ascii="Cambria" w:eastAsia="Cambria" w:hAnsi="Cambria" w:cs="Cambria"/>
        </w:rPr>
        <w:t>economic level depending upon the capital structure of each corporation.</w:t>
      </w:r>
    </w:p>
    <w:p w:rsidR="00EE13F6" w:rsidRDefault="002E5BC4">
      <w:pPr>
        <w:spacing w:after="135" w:line="264" w:lineRule="auto"/>
        <w:ind w:left="-5" w:right="468" w:hanging="10"/>
        <w:jc w:val="both"/>
      </w:pPr>
      <w:r>
        <w:rPr>
          <w:rFonts w:ascii="Cambria" w:eastAsia="Cambria" w:hAnsi="Cambria" w:cs="Cambria"/>
        </w:rPr>
        <w:t xml:space="preserve">We assume the existence of capital structure arbitrage between the various cash instruments used to fund the corporate capital requirements, such as equity and debt. We also consider </w:t>
      </w:r>
      <w:r>
        <w:rPr>
          <w:rFonts w:ascii="Cambria" w:eastAsia="Cambria" w:hAnsi="Cambria" w:cs="Cambria"/>
        </w:rPr>
        <w:t>the existence of arbitrage between equity and credit derivatives written on corporate equity and debt.</w:t>
      </w:r>
    </w:p>
    <w:p w:rsidR="00EE13F6" w:rsidRDefault="002E5BC4">
      <w:pPr>
        <w:spacing w:after="135" w:line="264" w:lineRule="auto"/>
        <w:ind w:left="-5" w:right="468" w:hanging="10"/>
        <w:jc w:val="both"/>
      </w:pPr>
      <w:r>
        <w:rPr>
          <w:rFonts w:ascii="Cambria" w:eastAsia="Cambria" w:hAnsi="Cambria" w:cs="Cambria"/>
        </w:rPr>
        <w:t>We take into account standard available structural models found in the relevant literature. They assume a corporate default triggered by the value of cor</w:t>
      </w:r>
      <w:r>
        <w:rPr>
          <w:rFonts w:ascii="Cambria" w:eastAsia="Cambria" w:hAnsi="Cambria" w:cs="Cambria"/>
        </w:rPr>
        <w:t>porate asset falling below a fraction of the outstanding corporate debt. This ”option-like” approach allows us to connect equity and asset volatility to the corporate credit spread and corporate debt value.</w:t>
      </w:r>
    </w:p>
    <w:p w:rsidR="00EE13F6" w:rsidRDefault="002E5BC4">
      <w:pPr>
        <w:spacing w:after="135" w:line="264" w:lineRule="auto"/>
        <w:ind w:left="-5" w:right="468" w:hanging="10"/>
        <w:jc w:val="both"/>
      </w:pPr>
      <w:r>
        <w:rPr>
          <w:rFonts w:ascii="Cambria" w:eastAsia="Cambria" w:hAnsi="Cambria" w:cs="Cambria"/>
        </w:rPr>
        <w:t>All theoretical prices or values of corporate deb</w:t>
      </w:r>
      <w:r>
        <w:rPr>
          <w:rFonts w:ascii="Cambria" w:eastAsia="Cambria" w:hAnsi="Cambria" w:cs="Cambria"/>
        </w:rPr>
        <w:t>t or equity are then valued under the natural risk measure associated with the corporate asset diffusion process.</w:t>
      </w:r>
    </w:p>
    <w:p w:rsidR="00EE13F6" w:rsidRDefault="002E5BC4">
      <w:pPr>
        <w:spacing w:after="135" w:line="264" w:lineRule="auto"/>
        <w:ind w:left="-5" w:right="468" w:hanging="10"/>
        <w:jc w:val="both"/>
      </w:pPr>
      <w:r>
        <w:rPr>
          <w:rFonts w:ascii="Cambria" w:eastAsia="Cambria" w:hAnsi="Cambria" w:cs="Cambria"/>
        </w:rPr>
        <w:t>We rely upon the results of Chapters I and II to determine the FTT impact on equity share and corporate asset volatility. In particular the op</w:t>
      </w:r>
      <w:r>
        <w:rPr>
          <w:rFonts w:ascii="Cambria" w:eastAsia="Cambria" w:hAnsi="Cambria" w:cs="Cambria"/>
        </w:rPr>
        <w:t>tion market used to hedge the credit derivatives market is not liquid enough to amortize the impact of the FTT on equity share price volatility.</w:t>
      </w:r>
    </w:p>
    <w:p w:rsidR="00EE13F6" w:rsidRDefault="002E5BC4">
      <w:pPr>
        <w:spacing w:after="135" w:line="264" w:lineRule="auto"/>
        <w:ind w:left="-5" w:right="468" w:hanging="10"/>
        <w:jc w:val="both"/>
      </w:pPr>
      <w:r>
        <w:rPr>
          <w:rFonts w:ascii="Cambria" w:eastAsia="Cambria" w:hAnsi="Cambria" w:cs="Cambria"/>
        </w:rPr>
        <w:t>Under these circumstances, we describe the stationary state of a corporation funding its capital requirements t</w:t>
      </w:r>
      <w:r>
        <w:rPr>
          <w:rFonts w:ascii="Cambria" w:eastAsia="Cambria" w:hAnsi="Cambria" w:cs="Cambria"/>
        </w:rPr>
        <w:t>hrough the issuance of perpetual debt, quasi-equity, equity and fixed-term debt. We then conduct comparative statics to estimate the effects of the introduction of the FTT, depending upon leverage, asset volatility, risk free rate, credit spread and corpor</w:t>
      </w:r>
      <w:r>
        <w:rPr>
          <w:rFonts w:ascii="Cambria" w:eastAsia="Cambria" w:hAnsi="Cambria" w:cs="Cambria"/>
        </w:rPr>
        <w:t>ate tax rate.</w:t>
      </w:r>
    </w:p>
    <w:p w:rsidR="00EE13F6" w:rsidRDefault="002E5BC4">
      <w:pPr>
        <w:spacing w:after="135" w:line="264" w:lineRule="auto"/>
        <w:ind w:left="-5" w:right="468" w:hanging="10"/>
        <w:jc w:val="both"/>
      </w:pPr>
      <w:r>
        <w:rPr>
          <w:rFonts w:ascii="Cambria" w:eastAsia="Cambria" w:hAnsi="Cambria" w:cs="Cambria"/>
        </w:rPr>
        <w:t>We find that the introduction of the FTT will generally tend to lower the corporation’s value, the price of corporate equity shares as well as the market value of the corporate debt. Those conclusions are in line with various practical studie</w:t>
      </w:r>
      <w:r>
        <w:rPr>
          <w:rFonts w:ascii="Cambria" w:eastAsia="Cambria" w:hAnsi="Cambria" w:cs="Cambria"/>
        </w:rPr>
        <w:t xml:space="preserve">s, such as Umlauf (1993) and Saporta and Kan (1997), based upon the experience of the actual introduction of an FTT in Sweden and the United Kingdom. In addition, </w:t>
      </w:r>
      <w:r>
        <w:rPr>
          <w:rFonts w:ascii="Cambria" w:eastAsia="Cambria" w:hAnsi="Cambria" w:cs="Cambria"/>
        </w:rPr>
        <w:lastRenderedPageBreak/>
        <w:t xml:space="preserve">we find that the magnitude of the negative impact is going to increase with the level of the </w:t>
      </w:r>
      <w:r>
        <w:rPr>
          <w:rFonts w:ascii="Cambria" w:eastAsia="Cambria" w:hAnsi="Cambria" w:cs="Cambria"/>
        </w:rPr>
        <w:t>risk-free rate.</w:t>
      </w:r>
    </w:p>
    <w:p w:rsidR="00EE13F6" w:rsidRDefault="002E5BC4">
      <w:pPr>
        <w:spacing w:after="135" w:line="264" w:lineRule="auto"/>
        <w:ind w:left="-5" w:right="468" w:hanging="10"/>
        <w:jc w:val="both"/>
      </w:pPr>
      <w:r>
        <w:rPr>
          <w:rFonts w:ascii="Cambria" w:eastAsia="Cambria" w:hAnsi="Cambria" w:cs="Cambria"/>
        </w:rPr>
        <w:t xml:space="preserve">We further find that this impact is going to be affected by the corporate tax rate and the duration of corporate debt used to raise capital. For corporations raising capital through intermediate debt (1 to 15 years), the impact is going to </w:t>
      </w:r>
      <w:r>
        <w:rPr>
          <w:rFonts w:ascii="Cambria" w:eastAsia="Cambria" w:hAnsi="Cambria" w:cs="Cambria"/>
        </w:rPr>
        <w:t>be lower in countries with a lower corporate tax rate. However, corporations raising capital through perpetual debt in countries with a lower tax rate will experience a higher decrease of their theoretical equity share price than the ones located in countr</w:t>
      </w:r>
      <w:r>
        <w:rPr>
          <w:rFonts w:ascii="Cambria" w:eastAsia="Cambria" w:hAnsi="Cambria" w:cs="Cambria"/>
        </w:rPr>
        <w:t>ies with a higher tax rate. Consequently, even if the FTT is introduced at the same time in all European Union countries, the differences in country corporate tax rates will induce competitive distortions within the EU when it comes to the corporate cost o</w:t>
      </w:r>
      <w:r>
        <w:rPr>
          <w:rFonts w:ascii="Cambria" w:eastAsia="Cambria" w:hAnsi="Cambria" w:cs="Cambria"/>
        </w:rPr>
        <w:t>f funding.</w:t>
      </w:r>
    </w:p>
    <w:p w:rsidR="00EE13F6" w:rsidRDefault="002E5BC4">
      <w:pPr>
        <w:spacing w:after="135" w:line="264" w:lineRule="auto"/>
        <w:ind w:left="-5" w:right="468" w:hanging="10"/>
        <w:jc w:val="both"/>
      </w:pPr>
      <w:r>
        <w:rPr>
          <w:rFonts w:ascii="Cambria" w:eastAsia="Cambria" w:hAnsi="Cambria" w:cs="Cambria"/>
        </w:rPr>
        <w:t>We also demonstrate that those corporations with the most volatile share prices will generally experience a stronger decrease of their corporate equity price and overall value. The negative impact will often increase with the corporation’s lever</w:t>
      </w:r>
      <w:r>
        <w:rPr>
          <w:rFonts w:ascii="Cambria" w:eastAsia="Cambria" w:hAnsi="Cambria" w:cs="Cambria"/>
        </w:rPr>
        <w:t>age. However, we find that for highly leveraged corporations with high asset volatility that issue debt with high credit spreads, the impact on corporate share price will be in fact positive, though the impact on overall firm’s value will still be negative</w:t>
      </w:r>
      <w:r>
        <w:rPr>
          <w:rFonts w:ascii="Cambria" w:eastAsia="Cambria" w:hAnsi="Cambria" w:cs="Cambria"/>
        </w:rPr>
        <w:t>. In fact, we reproduce the results found by Leland and Toft, evidencing an agency effect in that the shareholders of corporations issuing junk bonds benefit from an increase in the riskiness of the assets. We conclude that the introduction of the FTT will</w:t>
      </w:r>
      <w:r>
        <w:rPr>
          <w:rFonts w:ascii="Cambria" w:eastAsia="Cambria" w:hAnsi="Cambria" w:cs="Cambria"/>
        </w:rPr>
        <w:t xml:space="preserve"> produce some adverse selection bias in favor of risky corporations and behavior.</w:t>
      </w:r>
    </w:p>
    <w:p w:rsidR="00EE13F6" w:rsidRDefault="002E5BC4">
      <w:pPr>
        <w:spacing w:after="135" w:line="264" w:lineRule="auto"/>
        <w:ind w:left="-5" w:right="468" w:hanging="10"/>
        <w:jc w:val="both"/>
      </w:pPr>
      <w:r>
        <w:rPr>
          <w:rFonts w:ascii="Cambria" w:eastAsia="Cambria" w:hAnsi="Cambria" w:cs="Cambria"/>
        </w:rPr>
        <w:t>We find also a dependency between the return on equity and the impact of the introduction of the FTT. In theory, for very high values of ROE, the impact on the equity share p</w:t>
      </w:r>
      <w:r>
        <w:rPr>
          <w:rFonts w:ascii="Cambria" w:eastAsia="Cambria" w:hAnsi="Cambria" w:cs="Cambria"/>
        </w:rPr>
        <w:t>rice might be positive. However, we find that for common values of ROE and leverage, the impact will be negative. We determine theoretically, an ”envelope” of parameters such as ROE, leverage, credit spreads, within which the introduction of the FTT will l</w:t>
      </w:r>
      <w:r>
        <w:rPr>
          <w:rFonts w:ascii="Cambria" w:eastAsia="Cambria" w:hAnsi="Cambria" w:cs="Cambria"/>
        </w:rPr>
        <w:t>ead to lower equity share prices. For instance, we find that such is the case for most companies in the French CAC 40 benchmark.</w:t>
      </w:r>
    </w:p>
    <w:p w:rsidR="00EE13F6" w:rsidRDefault="002E5BC4">
      <w:pPr>
        <w:spacing w:after="135" w:line="264" w:lineRule="auto"/>
        <w:ind w:left="-5" w:right="468" w:hanging="10"/>
        <w:jc w:val="both"/>
      </w:pPr>
      <w:r>
        <w:rPr>
          <w:rFonts w:ascii="Cambria" w:eastAsia="Cambria" w:hAnsi="Cambria" w:cs="Cambria"/>
        </w:rPr>
        <w:t>We apply those theoretical results to a sample of 6 European Union corporations, from both financial and industrial sectors, an</w:t>
      </w:r>
      <w:r>
        <w:rPr>
          <w:rFonts w:ascii="Cambria" w:eastAsia="Cambria" w:hAnsi="Cambria" w:cs="Cambria"/>
        </w:rPr>
        <w:t>d evaluate the magnitude of the drop in equity share price values and corporate debt.</w:t>
      </w:r>
    </w:p>
    <w:p w:rsidR="00EE13F6" w:rsidRDefault="002E5BC4">
      <w:pPr>
        <w:spacing w:after="135" w:line="264" w:lineRule="auto"/>
        <w:ind w:left="-5" w:right="468" w:hanging="10"/>
        <w:jc w:val="both"/>
      </w:pPr>
      <w:r>
        <w:rPr>
          <w:rFonts w:ascii="Cambria" w:eastAsia="Cambria" w:hAnsi="Cambria" w:cs="Cambria"/>
        </w:rPr>
        <w:t>We find that our results are in line with results taken from the existing literature, and based upon empirical reviews of stock market prices, following. for instance the</w:t>
      </w:r>
      <w:r>
        <w:rPr>
          <w:rFonts w:ascii="Cambria" w:eastAsia="Cambria" w:hAnsi="Cambria" w:cs="Cambria"/>
        </w:rPr>
        <w:t xml:space="preserve"> introduction of a STET in Sweden or the United Kingdom. We find a negative impact on the stock prices, and the magnitude of this effect seems comparable to the ones measured respectively in Umlauf (1993), Westerholm (2003), Saporta and Kan (1997),Hawkins </w:t>
      </w:r>
      <w:r>
        <w:rPr>
          <w:rFonts w:ascii="Cambria" w:eastAsia="Cambria" w:hAnsi="Cambria" w:cs="Cambria"/>
        </w:rPr>
        <w:t>and McCrae (2002).</w:t>
      </w:r>
    </w:p>
    <w:p w:rsidR="00EE13F6" w:rsidRDefault="002E5BC4">
      <w:pPr>
        <w:spacing w:after="135" w:line="264" w:lineRule="auto"/>
        <w:ind w:left="-5" w:right="468" w:hanging="10"/>
        <w:jc w:val="both"/>
      </w:pPr>
      <w:r>
        <w:rPr>
          <w:rFonts w:ascii="Cambria" w:eastAsia="Cambria" w:hAnsi="Cambria" w:cs="Cambria"/>
        </w:rPr>
        <w:t>We then consider the possible interaction between the FTT and the new dispositions introduced by the new CRD IV regulation (Basel III) on minimum capital requirements for banks and financial institutions. As a consequence of these requir</w:t>
      </w:r>
      <w:r>
        <w:rPr>
          <w:rFonts w:ascii="Cambria" w:eastAsia="Cambria" w:hAnsi="Cambria" w:cs="Cambria"/>
        </w:rPr>
        <w:t>ements, banks and financial institutions must issue debt convertible into equity or quasi-equity in case their equity falls below a predetermined threshold. Considering this debt is issued either as intermediate fixed-term bond or perpetual debt, we find t</w:t>
      </w:r>
      <w:r>
        <w:rPr>
          <w:rFonts w:ascii="Cambria" w:eastAsia="Cambria" w:hAnsi="Cambria" w:cs="Cambria"/>
        </w:rPr>
        <w:t>hat the introduction of the FTT will conflict, in this particular context, with the enforcement of the CRD IV regulation. In fact, the introduction of the FTT will lead to a decrease in the value of the banks equity at the same time the regulation seeks an</w:t>
      </w:r>
      <w:r>
        <w:rPr>
          <w:rFonts w:ascii="Cambria" w:eastAsia="Cambria" w:hAnsi="Cambria" w:cs="Cambria"/>
        </w:rPr>
        <w:t xml:space="preserve"> increase in this same equity.</w:t>
      </w:r>
    </w:p>
    <w:p w:rsidR="00EE13F6" w:rsidRDefault="002E5BC4">
      <w:pPr>
        <w:spacing w:after="135" w:line="264" w:lineRule="auto"/>
        <w:ind w:left="-5" w:right="468" w:hanging="10"/>
        <w:jc w:val="both"/>
      </w:pPr>
      <w:r>
        <w:rPr>
          <w:rFonts w:ascii="Cambria" w:eastAsia="Cambria" w:hAnsi="Cambria" w:cs="Cambria"/>
        </w:rPr>
        <w:lastRenderedPageBreak/>
        <w:t>Finally, we find that the general decrease in corporate share prices following the introduction of an FTT will lead in the long run to an increase in the volumes of equity shares issued by corporations to raise capital.</w:t>
      </w:r>
    </w:p>
    <w:p w:rsidR="00EE13F6" w:rsidRDefault="002E5BC4">
      <w:pPr>
        <w:pStyle w:val="Heading1"/>
        <w:spacing w:after="146" w:line="261" w:lineRule="auto"/>
        <w:ind w:left="-5" w:right="468" w:hanging="10"/>
        <w:jc w:val="both"/>
      </w:pPr>
      <w:r>
        <w:t>Refer</w:t>
      </w:r>
      <w:r>
        <w:t>ences</w:t>
      </w:r>
    </w:p>
    <w:p w:rsidR="00EE13F6" w:rsidRDefault="002E5BC4">
      <w:pPr>
        <w:spacing w:after="205" w:line="264" w:lineRule="auto"/>
        <w:ind w:left="-5" w:right="468" w:hanging="10"/>
        <w:jc w:val="both"/>
      </w:pPr>
      <w:r>
        <w:rPr>
          <w:rFonts w:ascii="Cambria" w:eastAsia="Cambria" w:hAnsi="Cambria" w:cs="Cambria"/>
        </w:rPr>
        <w:t xml:space="preserve">Allen, P., Einchcomb, S., and Granger, N. (2006). </w:t>
      </w:r>
      <w:r>
        <w:rPr>
          <w:rFonts w:ascii="Cambria" w:eastAsia="Cambria" w:hAnsi="Cambria" w:cs="Cambria"/>
          <w:i/>
        </w:rPr>
        <w:t>JP Morgan–European Equity Derivatives Strategy</w:t>
      </w:r>
      <w:r>
        <w:rPr>
          <w:rFonts w:ascii="Cambria" w:eastAsia="Cambria" w:hAnsi="Cambria" w:cs="Cambria"/>
        </w:rPr>
        <w:t>.</w:t>
      </w:r>
    </w:p>
    <w:p w:rsidR="00EE13F6" w:rsidRDefault="002E5BC4">
      <w:pPr>
        <w:spacing w:after="194" w:line="264" w:lineRule="auto"/>
        <w:ind w:left="203" w:right="468" w:hanging="218"/>
        <w:jc w:val="both"/>
      </w:pPr>
      <w:r>
        <w:rPr>
          <w:rFonts w:ascii="Cambria" w:eastAsia="Cambria" w:hAnsi="Cambria" w:cs="Cambria"/>
        </w:rPr>
        <w:t xml:space="preserve">Almgren, R. and Chriss, N. (2001). Optimal execution of portfolio transactions. </w:t>
      </w:r>
      <w:r>
        <w:rPr>
          <w:rFonts w:ascii="Cambria" w:eastAsia="Cambria" w:hAnsi="Cambria" w:cs="Cambria"/>
          <w:i/>
        </w:rPr>
        <w:t>Journal of Risk</w:t>
      </w:r>
      <w:r>
        <w:rPr>
          <w:rFonts w:ascii="Cambria" w:eastAsia="Cambria" w:hAnsi="Cambria" w:cs="Cambria"/>
        </w:rPr>
        <w:t>, 3:5–40.</w:t>
      </w:r>
    </w:p>
    <w:p w:rsidR="00EE13F6" w:rsidRDefault="002E5BC4">
      <w:pPr>
        <w:spacing w:after="200" w:line="264" w:lineRule="auto"/>
        <w:ind w:left="203" w:right="468" w:hanging="218"/>
        <w:jc w:val="both"/>
      </w:pPr>
      <w:r>
        <w:rPr>
          <w:rFonts w:ascii="Cambria" w:eastAsia="Cambria" w:hAnsi="Cambria" w:cs="Cambria"/>
        </w:rPr>
        <w:t xml:space="preserve">Altman, E. I. (1968). Financial ratios, discriminant analysis and the prediction of corporate bankruptcy. </w:t>
      </w:r>
      <w:r>
        <w:rPr>
          <w:rFonts w:ascii="Cambria" w:eastAsia="Cambria" w:hAnsi="Cambria" w:cs="Cambria"/>
          <w:i/>
        </w:rPr>
        <w:t>The journal of finance</w:t>
      </w:r>
      <w:r>
        <w:rPr>
          <w:rFonts w:ascii="Cambria" w:eastAsia="Cambria" w:hAnsi="Cambria" w:cs="Cambria"/>
        </w:rPr>
        <w:t>, 23(4):589–609.</w:t>
      </w:r>
    </w:p>
    <w:p w:rsidR="00EE13F6" w:rsidRDefault="002E5BC4">
      <w:pPr>
        <w:spacing w:after="194" w:line="264" w:lineRule="auto"/>
        <w:ind w:left="203" w:right="468" w:hanging="218"/>
        <w:jc w:val="both"/>
      </w:pPr>
      <w:r>
        <w:rPr>
          <w:rFonts w:ascii="Cambria" w:eastAsia="Cambria" w:hAnsi="Cambria" w:cs="Cambria"/>
        </w:rPr>
        <w:t xml:space="preserve">Amihud, Y. and Mendelson, H. (1986). Asset pricing and the bid-ask spread. </w:t>
      </w:r>
      <w:r>
        <w:rPr>
          <w:rFonts w:ascii="Cambria" w:eastAsia="Cambria" w:hAnsi="Cambria" w:cs="Cambria"/>
          <w:i/>
        </w:rPr>
        <w:t>Journal of financial Economics</w:t>
      </w:r>
      <w:r>
        <w:rPr>
          <w:rFonts w:ascii="Cambria" w:eastAsia="Cambria" w:hAnsi="Cambria" w:cs="Cambria"/>
        </w:rPr>
        <w:t>, 17(2</w:t>
      </w:r>
      <w:r>
        <w:rPr>
          <w:rFonts w:ascii="Cambria" w:eastAsia="Cambria" w:hAnsi="Cambria" w:cs="Cambria"/>
        </w:rPr>
        <w:t>):223–249.</w:t>
      </w:r>
    </w:p>
    <w:p w:rsidR="00EE13F6" w:rsidRDefault="002E5BC4">
      <w:pPr>
        <w:spacing w:after="167" w:line="264" w:lineRule="auto"/>
        <w:ind w:left="203" w:right="468" w:hanging="218"/>
        <w:jc w:val="both"/>
      </w:pPr>
      <w:r>
        <w:rPr>
          <w:rFonts w:ascii="Cambria" w:eastAsia="Cambria" w:hAnsi="Cambria" w:cs="Cambria"/>
        </w:rPr>
        <w:t xml:space="preserve">Amihud, Y. and Mendelson, H. (1991). Liquidity, asset prices and financial policy. </w:t>
      </w:r>
      <w:r>
        <w:rPr>
          <w:rFonts w:ascii="Cambria" w:eastAsia="Cambria" w:hAnsi="Cambria" w:cs="Cambria"/>
          <w:i/>
        </w:rPr>
        <w:t>Financial Analysts Journal</w:t>
      </w:r>
      <w:r>
        <w:rPr>
          <w:rFonts w:ascii="Cambria" w:eastAsia="Cambria" w:hAnsi="Cambria" w:cs="Cambria"/>
        </w:rPr>
        <w:t>, 47(6):56–66.</w:t>
      </w:r>
    </w:p>
    <w:p w:rsidR="00EE13F6" w:rsidRDefault="002E5BC4">
      <w:pPr>
        <w:spacing w:after="166" w:line="264" w:lineRule="auto"/>
        <w:ind w:left="203" w:right="468" w:hanging="218"/>
        <w:jc w:val="both"/>
      </w:pPr>
      <w:r>
        <w:rPr>
          <w:rFonts w:ascii="Cambria" w:eastAsia="Cambria" w:hAnsi="Cambria" w:cs="Cambria"/>
        </w:rPr>
        <w:t>Anthony, J., Bijlsma, M., Elbourne, A., Lever, M., and Zwart, G. (2012). Financial transaction tax: review and assessment</w:t>
      </w:r>
      <w:r>
        <w:rPr>
          <w:rFonts w:ascii="Cambria" w:eastAsia="Cambria" w:hAnsi="Cambria" w:cs="Cambria"/>
        </w:rPr>
        <w:t xml:space="preserve">. </w:t>
      </w:r>
      <w:r>
        <w:rPr>
          <w:rFonts w:ascii="Cambria" w:eastAsia="Cambria" w:hAnsi="Cambria" w:cs="Cambria"/>
          <w:i/>
        </w:rPr>
        <w:t>CPB Netherlands Bureau For Economic Policy Analysis. CPB Discussion Paper</w:t>
      </w:r>
      <w:r>
        <w:rPr>
          <w:rFonts w:ascii="Cambria" w:eastAsia="Cambria" w:hAnsi="Cambria" w:cs="Cambria"/>
        </w:rPr>
        <w:t>.</w:t>
      </w:r>
    </w:p>
    <w:p w:rsidR="00EE13F6" w:rsidRDefault="002E5BC4">
      <w:pPr>
        <w:spacing w:after="202" w:line="264" w:lineRule="auto"/>
        <w:ind w:left="203" w:right="468" w:hanging="218"/>
        <w:jc w:val="both"/>
      </w:pPr>
      <w:r>
        <w:rPr>
          <w:rFonts w:ascii="Cambria" w:eastAsia="Cambria" w:hAnsi="Cambria" w:cs="Cambria"/>
        </w:rPr>
        <w:t xml:space="preserve">Avellaneda, M., Reed, J., and Stoikov, S. (2011). Forecasting prices from level-i quotes in the presence of hidden liquidity. </w:t>
      </w:r>
      <w:r>
        <w:rPr>
          <w:rFonts w:ascii="Cambria" w:eastAsia="Cambria" w:hAnsi="Cambria" w:cs="Cambria"/>
          <w:i/>
        </w:rPr>
        <w:t>Algorithmic Finance</w:t>
      </w:r>
      <w:r>
        <w:rPr>
          <w:rFonts w:ascii="Cambria" w:eastAsia="Cambria" w:hAnsi="Cambria" w:cs="Cambria"/>
        </w:rPr>
        <w:t>, 1(1):35–43.</w:t>
      </w:r>
    </w:p>
    <w:p w:rsidR="00EE13F6" w:rsidRDefault="002E5BC4">
      <w:pPr>
        <w:spacing w:after="167" w:line="264" w:lineRule="auto"/>
        <w:ind w:left="203" w:right="468" w:hanging="218"/>
        <w:jc w:val="both"/>
      </w:pPr>
      <w:r>
        <w:rPr>
          <w:rFonts w:ascii="Cambria" w:eastAsia="Cambria" w:hAnsi="Cambria" w:cs="Cambria"/>
        </w:rPr>
        <w:t>Avellaneda, M. and S</w:t>
      </w:r>
      <w:r>
        <w:rPr>
          <w:rFonts w:ascii="Cambria" w:eastAsia="Cambria" w:hAnsi="Cambria" w:cs="Cambria"/>
        </w:rPr>
        <w:t xml:space="preserve">toikov, S. (2008). High-frequency trading in a limit order book. </w:t>
      </w:r>
      <w:r>
        <w:rPr>
          <w:rFonts w:ascii="Cambria" w:eastAsia="Cambria" w:hAnsi="Cambria" w:cs="Cambria"/>
          <w:i/>
        </w:rPr>
        <w:t>Quantitative Finance</w:t>
      </w:r>
      <w:r>
        <w:rPr>
          <w:rFonts w:ascii="Cambria" w:eastAsia="Cambria" w:hAnsi="Cambria" w:cs="Cambria"/>
        </w:rPr>
        <w:t>, 8(3):217–224.</w:t>
      </w:r>
    </w:p>
    <w:p w:rsidR="00EE13F6" w:rsidRDefault="002E5BC4">
      <w:pPr>
        <w:spacing w:after="169" w:line="264" w:lineRule="auto"/>
        <w:ind w:left="203" w:right="468" w:hanging="218"/>
        <w:jc w:val="both"/>
      </w:pPr>
      <w:r>
        <w:rPr>
          <w:rFonts w:ascii="Cambria" w:eastAsia="Cambria" w:hAnsi="Cambria" w:cs="Cambria"/>
        </w:rPr>
        <w:t xml:space="preserve">Bessembinder, H. (2002). Trading costs and return volatility: evidence from exchange listings. </w:t>
      </w:r>
      <w:r>
        <w:rPr>
          <w:rFonts w:ascii="Cambria" w:eastAsia="Cambria" w:hAnsi="Cambria" w:cs="Cambria"/>
          <w:i/>
        </w:rPr>
        <w:t>Working paper</w:t>
      </w:r>
      <w:r>
        <w:rPr>
          <w:rFonts w:ascii="Cambria" w:eastAsia="Cambria" w:hAnsi="Cambria" w:cs="Cambria"/>
        </w:rPr>
        <w:t>.</w:t>
      </w:r>
    </w:p>
    <w:p w:rsidR="00EE13F6" w:rsidRDefault="002E5BC4">
      <w:pPr>
        <w:spacing w:after="175" w:line="264" w:lineRule="auto"/>
        <w:ind w:left="203" w:right="468" w:hanging="218"/>
        <w:jc w:val="both"/>
      </w:pPr>
      <w:r>
        <w:rPr>
          <w:rFonts w:ascii="Cambria" w:eastAsia="Cambria" w:hAnsi="Cambria" w:cs="Cambria"/>
        </w:rPr>
        <w:t>Bjursell, C. J., Wang, G. H., and Yau, J. (20</w:t>
      </w:r>
      <w:r>
        <w:rPr>
          <w:rFonts w:ascii="Cambria" w:eastAsia="Cambria" w:hAnsi="Cambria" w:cs="Cambria"/>
        </w:rPr>
        <w:t xml:space="preserve">06). Transaction tax and market quality of us futures markets: An ex-ante analysisi. </w:t>
      </w:r>
      <w:r>
        <w:rPr>
          <w:rFonts w:ascii="Cambria" w:eastAsia="Cambria" w:hAnsi="Cambria" w:cs="Cambria"/>
          <w:i/>
        </w:rPr>
        <w:t>Journal of future markets</w:t>
      </w:r>
      <w:r>
        <w:rPr>
          <w:rFonts w:ascii="Cambria" w:eastAsia="Cambria" w:hAnsi="Cambria" w:cs="Cambria"/>
        </w:rPr>
        <w:t>, 26.</w:t>
      </w:r>
    </w:p>
    <w:p w:rsidR="00EE13F6" w:rsidRDefault="002E5BC4">
      <w:pPr>
        <w:spacing w:after="202" w:line="264" w:lineRule="auto"/>
        <w:ind w:left="203" w:right="468" w:hanging="218"/>
        <w:jc w:val="both"/>
      </w:pPr>
      <w:r>
        <w:rPr>
          <w:rFonts w:ascii="Cambria" w:eastAsia="Cambria" w:hAnsi="Cambria" w:cs="Cambria"/>
        </w:rPr>
        <w:t xml:space="preserve">Black, F. and Cox, J. C. (1976). Valuing corporate securities: Some effects of bond indenture provisions. </w:t>
      </w:r>
      <w:r>
        <w:rPr>
          <w:rFonts w:ascii="Cambria" w:eastAsia="Cambria" w:hAnsi="Cambria" w:cs="Cambria"/>
          <w:i/>
        </w:rPr>
        <w:t>The Journal of Finance</w:t>
      </w:r>
      <w:r>
        <w:rPr>
          <w:rFonts w:ascii="Cambria" w:eastAsia="Cambria" w:hAnsi="Cambria" w:cs="Cambria"/>
        </w:rPr>
        <w:t>, 31(2):351–</w:t>
      </w:r>
      <w:r>
        <w:rPr>
          <w:rFonts w:ascii="Cambria" w:eastAsia="Cambria" w:hAnsi="Cambria" w:cs="Cambria"/>
        </w:rPr>
        <w:t>367.</w:t>
      </w:r>
    </w:p>
    <w:p w:rsidR="00EE13F6" w:rsidRDefault="002E5BC4">
      <w:pPr>
        <w:spacing w:after="194" w:line="264" w:lineRule="auto"/>
        <w:ind w:left="203" w:right="468" w:hanging="218"/>
        <w:jc w:val="both"/>
      </w:pPr>
      <w:r>
        <w:rPr>
          <w:rFonts w:ascii="Cambria" w:eastAsia="Cambria" w:hAnsi="Cambria" w:cs="Cambria"/>
        </w:rPr>
        <w:t xml:space="preserve">Black, F. and Scholes, M. (1973). The pricing of options and corporate liabilities. </w:t>
      </w:r>
      <w:r>
        <w:rPr>
          <w:rFonts w:ascii="Cambria" w:eastAsia="Cambria" w:hAnsi="Cambria" w:cs="Cambria"/>
          <w:i/>
        </w:rPr>
        <w:t>Journal of political economy</w:t>
      </w:r>
      <w:r>
        <w:rPr>
          <w:rFonts w:ascii="Cambria" w:eastAsia="Cambria" w:hAnsi="Cambria" w:cs="Cambria"/>
        </w:rPr>
        <w:t>, 81(3):637–654.</w:t>
      </w:r>
    </w:p>
    <w:p w:rsidR="00EE13F6" w:rsidRDefault="002E5BC4">
      <w:pPr>
        <w:spacing w:after="167" w:line="264" w:lineRule="auto"/>
        <w:ind w:left="203" w:right="468" w:hanging="218"/>
        <w:jc w:val="both"/>
      </w:pPr>
      <w:r>
        <w:rPr>
          <w:rFonts w:ascii="Cambria" w:eastAsia="Cambria" w:hAnsi="Cambria" w:cs="Cambria"/>
        </w:rPr>
        <w:t xml:space="preserve">Boyle, P. P. and Vorst, T. (1992). Option replication in discrete time with transaction costs. </w:t>
      </w:r>
      <w:r>
        <w:rPr>
          <w:rFonts w:ascii="Cambria" w:eastAsia="Cambria" w:hAnsi="Cambria" w:cs="Cambria"/>
          <w:i/>
        </w:rPr>
        <w:t>The Journal of Finance</w:t>
      </w:r>
      <w:r>
        <w:rPr>
          <w:rFonts w:ascii="Cambria" w:eastAsia="Cambria" w:hAnsi="Cambria" w:cs="Cambria"/>
        </w:rPr>
        <w:t>, 47(1):271–293.</w:t>
      </w:r>
    </w:p>
    <w:p w:rsidR="00EE13F6" w:rsidRDefault="002E5BC4">
      <w:pPr>
        <w:spacing w:after="175" w:line="264" w:lineRule="auto"/>
        <w:ind w:left="203" w:right="468" w:hanging="218"/>
        <w:jc w:val="both"/>
      </w:pPr>
      <w:r>
        <w:rPr>
          <w:rFonts w:ascii="Cambria" w:eastAsia="Cambria" w:hAnsi="Cambria" w:cs="Cambria"/>
        </w:rPr>
        <w:t xml:space="preserve">Brennan, M. J. and Subrahmanyam, A. (1996). Market microstructure and asset pricing: On the compensation for illiquidity in stock returns. </w:t>
      </w:r>
      <w:r>
        <w:rPr>
          <w:rFonts w:ascii="Cambria" w:eastAsia="Cambria" w:hAnsi="Cambria" w:cs="Cambria"/>
          <w:i/>
        </w:rPr>
        <w:t>Journal of financial economics</w:t>
      </w:r>
      <w:r>
        <w:rPr>
          <w:rFonts w:ascii="Cambria" w:eastAsia="Cambria" w:hAnsi="Cambria" w:cs="Cambria"/>
        </w:rPr>
        <w:t>, 41(3):441–464.</w:t>
      </w:r>
    </w:p>
    <w:p w:rsidR="00EE13F6" w:rsidRDefault="002E5BC4">
      <w:pPr>
        <w:spacing w:after="175" w:line="264" w:lineRule="auto"/>
        <w:ind w:left="203" w:right="468" w:hanging="218"/>
        <w:jc w:val="both"/>
      </w:pPr>
      <w:r>
        <w:rPr>
          <w:rFonts w:ascii="Cambria" w:eastAsia="Cambria" w:hAnsi="Cambria" w:cs="Cambria"/>
        </w:rPr>
        <w:t>Campbell, J. Y. and Froot, K. A. (1994). Internationa</w:t>
      </w:r>
      <w:r>
        <w:rPr>
          <w:rFonts w:ascii="Cambria" w:eastAsia="Cambria" w:hAnsi="Cambria" w:cs="Cambria"/>
        </w:rPr>
        <w:t xml:space="preserve">l experiences with securities transaction taxes. In </w:t>
      </w:r>
      <w:r>
        <w:rPr>
          <w:rFonts w:ascii="Cambria" w:eastAsia="Cambria" w:hAnsi="Cambria" w:cs="Cambria"/>
          <w:i/>
        </w:rPr>
        <w:t>The internationalization of equity markets</w:t>
      </w:r>
      <w:r>
        <w:rPr>
          <w:rFonts w:ascii="Cambria" w:eastAsia="Cambria" w:hAnsi="Cambria" w:cs="Cambria"/>
        </w:rPr>
        <w:t>, pages 277–308. University of Chicago Press.</w:t>
      </w:r>
    </w:p>
    <w:p w:rsidR="00EE13F6" w:rsidRDefault="002E5BC4">
      <w:pPr>
        <w:spacing w:after="202" w:line="264" w:lineRule="auto"/>
        <w:ind w:left="203" w:right="468" w:hanging="218"/>
        <w:jc w:val="both"/>
      </w:pPr>
      <w:r>
        <w:rPr>
          <w:rFonts w:ascii="Cambria" w:eastAsia="Cambria" w:hAnsi="Cambria" w:cs="Cambria"/>
        </w:rPr>
        <w:t>Capelle-Blancard, G. and Havrylchyk, O. (2016). The impact of the french securities transaction tax on market liquid</w:t>
      </w:r>
      <w:r>
        <w:rPr>
          <w:rFonts w:ascii="Cambria" w:eastAsia="Cambria" w:hAnsi="Cambria" w:cs="Cambria"/>
        </w:rPr>
        <w:t xml:space="preserve">ity and volatility. </w:t>
      </w:r>
      <w:r>
        <w:rPr>
          <w:rFonts w:ascii="Cambria" w:eastAsia="Cambria" w:hAnsi="Cambria" w:cs="Cambria"/>
          <w:i/>
        </w:rPr>
        <w:t>International Review of Financial Analysis</w:t>
      </w:r>
      <w:r>
        <w:rPr>
          <w:rFonts w:ascii="Cambria" w:eastAsia="Cambria" w:hAnsi="Cambria" w:cs="Cambria"/>
        </w:rPr>
        <w:t>, 47:166–178.</w:t>
      </w:r>
    </w:p>
    <w:p w:rsidR="00EE13F6" w:rsidRDefault="002E5BC4">
      <w:pPr>
        <w:spacing w:after="135" w:line="264" w:lineRule="auto"/>
        <w:ind w:left="203" w:right="468" w:hanging="218"/>
        <w:jc w:val="both"/>
      </w:pPr>
      <w:r>
        <w:rPr>
          <w:rFonts w:ascii="Cambria" w:eastAsia="Cambria" w:hAnsi="Cambria" w:cs="Cambria"/>
        </w:rPr>
        <w:lastRenderedPageBreak/>
        <w:t xml:space="preserve">Duffie, D. and Singleton, K. J. (1999). Modeling term structures of defaultable bonds. </w:t>
      </w:r>
      <w:r>
        <w:rPr>
          <w:rFonts w:ascii="Cambria" w:eastAsia="Cambria" w:hAnsi="Cambria" w:cs="Cambria"/>
          <w:i/>
        </w:rPr>
        <w:t>The review of financial studies</w:t>
      </w:r>
      <w:r>
        <w:rPr>
          <w:rFonts w:ascii="Cambria" w:eastAsia="Cambria" w:hAnsi="Cambria" w:cs="Cambria"/>
        </w:rPr>
        <w:t>, 12(4):687–720.</w:t>
      </w:r>
    </w:p>
    <w:p w:rsidR="00EE13F6" w:rsidRDefault="002E5BC4">
      <w:pPr>
        <w:spacing w:after="162" w:line="264" w:lineRule="auto"/>
        <w:ind w:left="203" w:right="468" w:hanging="218"/>
        <w:jc w:val="both"/>
      </w:pPr>
      <w:r>
        <w:rPr>
          <w:rFonts w:ascii="Cambria" w:eastAsia="Cambria" w:hAnsi="Cambria" w:cs="Cambria"/>
        </w:rPr>
        <w:t>Finkelstein, V. and Lardy, J. (2001). Assessi</w:t>
      </w:r>
      <w:r>
        <w:rPr>
          <w:rFonts w:ascii="Cambria" w:eastAsia="Cambria" w:hAnsi="Cambria" w:cs="Cambria"/>
        </w:rPr>
        <w:t xml:space="preserve">ng default probabilities from equity markets. simple closed-form solution. </w:t>
      </w:r>
      <w:r>
        <w:rPr>
          <w:rFonts w:ascii="Cambria" w:eastAsia="Cambria" w:hAnsi="Cambria" w:cs="Cambria"/>
          <w:i/>
        </w:rPr>
        <w:t>Presentation ICBI Global Derivatives and Risk Management, Credit Risk</w:t>
      </w:r>
      <w:r>
        <w:rPr>
          <w:rFonts w:ascii="Cambria" w:eastAsia="Cambria" w:hAnsi="Cambria" w:cs="Cambria"/>
        </w:rPr>
        <w:t>.</w:t>
      </w:r>
    </w:p>
    <w:p w:rsidR="00EE13F6" w:rsidRDefault="002E5BC4">
      <w:pPr>
        <w:spacing w:after="135" w:line="264" w:lineRule="auto"/>
        <w:ind w:left="-5" w:right="468" w:hanging="10"/>
        <w:jc w:val="both"/>
      </w:pPr>
      <w:r>
        <w:rPr>
          <w:rFonts w:ascii="Cambria" w:eastAsia="Cambria" w:hAnsi="Cambria" w:cs="Cambria"/>
        </w:rPr>
        <w:t>Finkelstein, V., Lardy, J., Pan, G., Ta, T., and Tierney, J. (2002). Credit grades technical document.</w:t>
      </w:r>
    </w:p>
    <w:p w:rsidR="00EE13F6" w:rsidRDefault="002E5BC4">
      <w:pPr>
        <w:spacing w:after="182" w:line="264" w:lineRule="auto"/>
        <w:ind w:left="203" w:right="468" w:hanging="218"/>
        <w:jc w:val="both"/>
      </w:pPr>
      <w:r>
        <w:rPr>
          <w:rFonts w:ascii="Cambria" w:eastAsia="Cambria" w:hAnsi="Cambria" w:cs="Cambria"/>
        </w:rPr>
        <w:t>Haberme</w:t>
      </w:r>
      <w:r>
        <w:rPr>
          <w:rFonts w:ascii="Cambria" w:eastAsia="Cambria" w:hAnsi="Cambria" w:cs="Cambria"/>
        </w:rPr>
        <w:t xml:space="preserve">ier, K. and Kirilenko, A. A. (2003). Securities transaction taxes and financial markets. </w:t>
      </w:r>
      <w:r>
        <w:rPr>
          <w:rFonts w:ascii="Cambria" w:eastAsia="Cambria" w:hAnsi="Cambria" w:cs="Cambria"/>
          <w:i/>
        </w:rPr>
        <w:t>IMF Staff Papers, Special Issue International Monetary Fund</w:t>
      </w:r>
      <w:r>
        <w:rPr>
          <w:rFonts w:ascii="Cambria" w:eastAsia="Cambria" w:hAnsi="Cambria" w:cs="Cambria"/>
        </w:rPr>
        <w:t>, 50(1):165–180.</w:t>
      </w:r>
    </w:p>
    <w:p w:rsidR="00EE13F6" w:rsidRDefault="002E5BC4">
      <w:pPr>
        <w:spacing w:after="135" w:line="264" w:lineRule="auto"/>
        <w:ind w:left="203" w:right="468" w:hanging="218"/>
        <w:jc w:val="both"/>
      </w:pPr>
      <w:r>
        <w:rPr>
          <w:rFonts w:ascii="Cambria" w:eastAsia="Cambria" w:hAnsi="Cambria" w:cs="Cambria"/>
        </w:rPr>
        <w:t xml:space="preserve">Hakkio, C. S. et al. (1994). Should we throw sand in the gears of financial markets? </w:t>
      </w:r>
      <w:r>
        <w:rPr>
          <w:rFonts w:ascii="Cambria" w:eastAsia="Cambria" w:hAnsi="Cambria" w:cs="Cambria"/>
          <w:i/>
        </w:rPr>
        <w:t>Econom</w:t>
      </w:r>
      <w:r>
        <w:rPr>
          <w:rFonts w:ascii="Cambria" w:eastAsia="Cambria" w:hAnsi="Cambria" w:cs="Cambria"/>
          <w:i/>
        </w:rPr>
        <w:t>ic Review</w:t>
      </w:r>
      <w:r>
        <w:rPr>
          <w:rFonts w:ascii="Cambria" w:eastAsia="Cambria" w:hAnsi="Cambria" w:cs="Cambria"/>
        </w:rPr>
        <w:t>, 79:17–30.</w:t>
      </w:r>
    </w:p>
    <w:p w:rsidR="00EE13F6" w:rsidRDefault="002E5BC4">
      <w:pPr>
        <w:spacing w:after="188" w:line="264" w:lineRule="auto"/>
        <w:ind w:left="203" w:right="468" w:hanging="218"/>
        <w:jc w:val="both"/>
      </w:pPr>
      <w:r>
        <w:rPr>
          <w:rFonts w:ascii="Cambria" w:eastAsia="Cambria" w:hAnsi="Cambria" w:cs="Cambria"/>
        </w:rPr>
        <w:t xml:space="preserve">Hau, H. (2006). The role of transaction costs for financial volatility: Evidence from the paris bourse. </w:t>
      </w:r>
      <w:r>
        <w:rPr>
          <w:rFonts w:ascii="Cambria" w:eastAsia="Cambria" w:hAnsi="Cambria" w:cs="Cambria"/>
          <w:i/>
        </w:rPr>
        <w:t>Journal of the European Economic Association</w:t>
      </w:r>
      <w:r>
        <w:rPr>
          <w:rFonts w:ascii="Cambria" w:eastAsia="Cambria" w:hAnsi="Cambria" w:cs="Cambria"/>
        </w:rPr>
        <w:t>, 4(4):862–890.</w:t>
      </w:r>
    </w:p>
    <w:p w:rsidR="00EE13F6" w:rsidRDefault="002E5BC4">
      <w:pPr>
        <w:spacing w:after="180" w:line="264" w:lineRule="auto"/>
        <w:ind w:left="203" w:right="468" w:hanging="218"/>
        <w:jc w:val="both"/>
      </w:pPr>
      <w:r>
        <w:rPr>
          <w:rFonts w:ascii="Cambria" w:eastAsia="Cambria" w:hAnsi="Cambria" w:cs="Cambria"/>
        </w:rPr>
        <w:t xml:space="preserve">Hawkins, M. and McCrae, J. (2002). </w:t>
      </w:r>
      <w:r>
        <w:rPr>
          <w:rFonts w:ascii="Cambria" w:eastAsia="Cambria" w:hAnsi="Cambria" w:cs="Cambria"/>
          <w:i/>
        </w:rPr>
        <w:t xml:space="preserve">Stamp duty on share transactions: is there a case for change? </w:t>
      </w:r>
      <w:r>
        <w:rPr>
          <w:rFonts w:ascii="Cambria" w:eastAsia="Cambria" w:hAnsi="Cambria" w:cs="Cambria"/>
        </w:rPr>
        <w:t>Institute For Fiscal Studies.</w:t>
      </w:r>
    </w:p>
    <w:p w:rsidR="00EE13F6" w:rsidRDefault="002E5BC4">
      <w:pPr>
        <w:spacing w:after="135" w:line="264" w:lineRule="auto"/>
        <w:ind w:left="203" w:right="468" w:hanging="218"/>
        <w:jc w:val="both"/>
      </w:pPr>
      <w:r>
        <w:rPr>
          <w:rFonts w:ascii="Cambria" w:eastAsia="Cambria" w:hAnsi="Cambria" w:cs="Cambria"/>
        </w:rPr>
        <w:t xml:space="preserve">Ho, T. and Stoll, H. R. (1980). On dealer markets under competition. </w:t>
      </w:r>
      <w:r>
        <w:rPr>
          <w:rFonts w:ascii="Cambria" w:eastAsia="Cambria" w:hAnsi="Cambria" w:cs="Cambria"/>
          <w:i/>
        </w:rPr>
        <w:t>The Journal of Finance</w:t>
      </w:r>
      <w:r>
        <w:rPr>
          <w:rFonts w:ascii="Cambria" w:eastAsia="Cambria" w:hAnsi="Cambria" w:cs="Cambria"/>
        </w:rPr>
        <w:t>, 35(2):259–267.</w:t>
      </w:r>
    </w:p>
    <w:p w:rsidR="00EE13F6" w:rsidRDefault="002E5BC4">
      <w:pPr>
        <w:spacing w:after="162" w:line="264" w:lineRule="auto"/>
        <w:ind w:left="203" w:right="468" w:hanging="218"/>
        <w:jc w:val="both"/>
      </w:pPr>
      <w:r>
        <w:rPr>
          <w:rFonts w:ascii="Cambria" w:eastAsia="Cambria" w:hAnsi="Cambria" w:cs="Cambria"/>
        </w:rPr>
        <w:t>Ho, T. S. and Macris, R. G. (1984). Dealer bid-ask quote</w:t>
      </w:r>
      <w:r>
        <w:rPr>
          <w:rFonts w:ascii="Cambria" w:eastAsia="Cambria" w:hAnsi="Cambria" w:cs="Cambria"/>
        </w:rPr>
        <w:t xml:space="preserve">s and transaction prices: An empirical study of some amex options. </w:t>
      </w:r>
      <w:r>
        <w:rPr>
          <w:rFonts w:ascii="Cambria" w:eastAsia="Cambria" w:hAnsi="Cambria" w:cs="Cambria"/>
          <w:i/>
        </w:rPr>
        <w:t>The Journal of Finance</w:t>
      </w:r>
      <w:r>
        <w:rPr>
          <w:rFonts w:ascii="Cambria" w:eastAsia="Cambria" w:hAnsi="Cambria" w:cs="Cambria"/>
        </w:rPr>
        <w:t>, 39(1):23–45.</w:t>
      </w:r>
    </w:p>
    <w:p w:rsidR="00EE13F6" w:rsidRDefault="002E5BC4">
      <w:pPr>
        <w:spacing w:after="188" w:line="264" w:lineRule="auto"/>
        <w:ind w:left="203" w:right="468" w:hanging="218"/>
        <w:jc w:val="both"/>
      </w:pPr>
      <w:r>
        <w:rPr>
          <w:rFonts w:ascii="Cambria" w:eastAsia="Cambria" w:hAnsi="Cambria" w:cs="Cambria"/>
        </w:rPr>
        <w:t xml:space="preserve">Jarrow, R. A. and Turnbull, S. M. (1995). Pricing derivatives on financial securities subject to credit risk. </w:t>
      </w:r>
      <w:r>
        <w:rPr>
          <w:rFonts w:ascii="Cambria" w:eastAsia="Cambria" w:hAnsi="Cambria" w:cs="Cambria"/>
          <w:i/>
        </w:rPr>
        <w:t>The journal of finance</w:t>
      </w:r>
      <w:r>
        <w:rPr>
          <w:rFonts w:ascii="Cambria" w:eastAsia="Cambria" w:hAnsi="Cambria" w:cs="Cambria"/>
        </w:rPr>
        <w:t>, 50(1):53–85.</w:t>
      </w:r>
    </w:p>
    <w:p w:rsidR="00EE13F6" w:rsidRDefault="002E5BC4">
      <w:pPr>
        <w:spacing w:after="187" w:line="264" w:lineRule="auto"/>
        <w:ind w:left="203" w:right="468" w:hanging="218"/>
        <w:jc w:val="both"/>
      </w:pPr>
      <w:r>
        <w:rPr>
          <w:rFonts w:ascii="Cambria" w:eastAsia="Cambria" w:hAnsi="Cambria" w:cs="Cambria"/>
        </w:rPr>
        <w:t xml:space="preserve">Jones, C. M. and Seguin, P. J. (1997). Transaction costs and price volatility: evidence from commission deregulation. </w:t>
      </w:r>
      <w:r>
        <w:rPr>
          <w:rFonts w:ascii="Cambria" w:eastAsia="Cambria" w:hAnsi="Cambria" w:cs="Cambria"/>
          <w:i/>
        </w:rPr>
        <w:t>The American Economic Review</w:t>
      </w:r>
      <w:r>
        <w:rPr>
          <w:rFonts w:ascii="Cambria" w:eastAsia="Cambria" w:hAnsi="Cambria" w:cs="Cambria"/>
        </w:rPr>
        <w:t>, 87(4):728–737.</w:t>
      </w:r>
    </w:p>
    <w:p w:rsidR="00EE13F6" w:rsidRDefault="002E5BC4">
      <w:pPr>
        <w:spacing w:after="196" w:line="261" w:lineRule="auto"/>
        <w:ind w:left="-15"/>
      </w:pPr>
      <w:r>
        <w:rPr>
          <w:rFonts w:ascii="Cambria" w:eastAsia="Cambria" w:hAnsi="Cambria" w:cs="Cambria"/>
        </w:rPr>
        <w:t xml:space="preserve">Keynes, J. (1936). </w:t>
      </w:r>
      <w:r>
        <w:rPr>
          <w:rFonts w:ascii="Cambria" w:eastAsia="Cambria" w:hAnsi="Cambria" w:cs="Cambria"/>
          <w:i/>
        </w:rPr>
        <w:t>The General Theory of Employment, Interest and Money</w:t>
      </w:r>
      <w:r>
        <w:rPr>
          <w:rFonts w:ascii="Cambria" w:eastAsia="Cambria" w:hAnsi="Cambria" w:cs="Cambria"/>
        </w:rPr>
        <w:t>. Harcourt Brace.</w:t>
      </w:r>
    </w:p>
    <w:p w:rsidR="00EE13F6" w:rsidRDefault="002E5BC4">
      <w:pPr>
        <w:spacing w:after="135" w:line="264" w:lineRule="auto"/>
        <w:ind w:left="203" w:right="468" w:hanging="218"/>
        <w:jc w:val="both"/>
      </w:pPr>
      <w:r>
        <w:rPr>
          <w:rFonts w:ascii="Cambria" w:eastAsia="Cambria" w:hAnsi="Cambria" w:cs="Cambria"/>
        </w:rPr>
        <w:t>Kupi</w:t>
      </w:r>
      <w:r>
        <w:rPr>
          <w:rFonts w:ascii="Cambria" w:eastAsia="Cambria" w:hAnsi="Cambria" w:cs="Cambria"/>
        </w:rPr>
        <w:t xml:space="preserve">ec, P. (June 1996). Noise traders, excess volatility, and a securities transaction tax. </w:t>
      </w:r>
      <w:r>
        <w:rPr>
          <w:rFonts w:ascii="Cambria" w:eastAsia="Cambria" w:hAnsi="Cambria" w:cs="Cambria"/>
          <w:i/>
        </w:rPr>
        <w:t>Journal of Financial Services Reseach</w:t>
      </w:r>
      <w:r>
        <w:rPr>
          <w:rFonts w:ascii="Cambria" w:eastAsia="Cambria" w:hAnsi="Cambria" w:cs="Cambria"/>
        </w:rPr>
        <w:t>, 10(2):115–129.</w:t>
      </w:r>
    </w:p>
    <w:p w:rsidR="00EE13F6" w:rsidRDefault="002E5BC4">
      <w:pPr>
        <w:spacing w:after="181" w:line="264" w:lineRule="auto"/>
        <w:ind w:left="-5" w:right="468" w:hanging="10"/>
        <w:jc w:val="both"/>
      </w:pPr>
      <w:r>
        <w:rPr>
          <w:rFonts w:ascii="Cambria" w:eastAsia="Cambria" w:hAnsi="Cambria" w:cs="Cambria"/>
        </w:rPr>
        <w:t>Lardy, J.-P. (2001). A simple closed-form formula to price credit. Presentation, Risk, Paris.</w:t>
      </w:r>
    </w:p>
    <w:p w:rsidR="00EE13F6" w:rsidRDefault="002E5BC4">
      <w:pPr>
        <w:spacing w:after="180" w:line="264" w:lineRule="auto"/>
        <w:ind w:left="203" w:right="468" w:hanging="218"/>
        <w:jc w:val="both"/>
      </w:pPr>
      <w:r>
        <w:rPr>
          <w:rFonts w:ascii="Cambria" w:eastAsia="Cambria" w:hAnsi="Cambria" w:cs="Cambria"/>
        </w:rPr>
        <w:t>Leland, H. (1985). O</w:t>
      </w:r>
      <w:r>
        <w:rPr>
          <w:rFonts w:ascii="Cambria" w:eastAsia="Cambria" w:hAnsi="Cambria" w:cs="Cambria"/>
        </w:rPr>
        <w:t xml:space="preserve">ption pricing and replication with transaction costs. </w:t>
      </w:r>
      <w:r>
        <w:rPr>
          <w:rFonts w:ascii="Cambria" w:eastAsia="Cambria" w:hAnsi="Cambria" w:cs="Cambria"/>
          <w:i/>
        </w:rPr>
        <w:t>The Journal of Finance</w:t>
      </w:r>
      <w:r>
        <w:rPr>
          <w:rFonts w:ascii="Cambria" w:eastAsia="Cambria" w:hAnsi="Cambria" w:cs="Cambria"/>
        </w:rPr>
        <w:t>, 40:1283–1301.</w:t>
      </w:r>
    </w:p>
    <w:p w:rsidR="00EE13F6" w:rsidRDefault="002E5BC4">
      <w:pPr>
        <w:spacing w:after="135" w:line="264" w:lineRule="auto"/>
        <w:ind w:left="203" w:right="468" w:hanging="218"/>
        <w:jc w:val="both"/>
      </w:pPr>
      <w:r>
        <w:rPr>
          <w:rFonts w:ascii="Cambria" w:eastAsia="Cambria" w:hAnsi="Cambria" w:cs="Cambria"/>
        </w:rPr>
        <w:t xml:space="preserve">Leland, H. (1994a). Corporate debt value, bond covenants, and optimal capital structure. </w:t>
      </w:r>
      <w:r>
        <w:rPr>
          <w:rFonts w:ascii="Cambria" w:eastAsia="Cambria" w:hAnsi="Cambria" w:cs="Cambria"/>
          <w:i/>
        </w:rPr>
        <w:t>The Journal of Finance</w:t>
      </w:r>
      <w:r>
        <w:rPr>
          <w:rFonts w:ascii="Cambria" w:eastAsia="Cambria" w:hAnsi="Cambria" w:cs="Cambria"/>
        </w:rPr>
        <w:t>, 49:1213–1252.</w:t>
      </w:r>
    </w:p>
    <w:p w:rsidR="00EE13F6" w:rsidRDefault="002E5BC4">
      <w:pPr>
        <w:spacing w:after="174" w:line="270" w:lineRule="auto"/>
        <w:ind w:left="203" w:right="307" w:hanging="218"/>
      </w:pPr>
      <w:r>
        <w:rPr>
          <w:rFonts w:ascii="Cambria" w:eastAsia="Cambria" w:hAnsi="Cambria" w:cs="Cambria"/>
        </w:rPr>
        <w:t xml:space="preserve">Leland, H. (1994b). Optimal capital structure, endogenous bankruptcy, and the term structure of credit spreads. </w:t>
      </w:r>
      <w:r>
        <w:rPr>
          <w:rFonts w:ascii="Cambria" w:eastAsia="Cambria" w:hAnsi="Cambria" w:cs="Cambria"/>
          <w:i/>
        </w:rPr>
        <w:t>Finance working paper</w:t>
      </w:r>
      <w:r>
        <w:rPr>
          <w:rFonts w:ascii="Cambria" w:eastAsia="Cambria" w:hAnsi="Cambria" w:cs="Cambria"/>
        </w:rPr>
        <w:t>, (240). Haas School of Business, University of California, Berkeley, USA.</w:t>
      </w:r>
    </w:p>
    <w:p w:rsidR="00EE13F6" w:rsidRDefault="002E5BC4">
      <w:pPr>
        <w:spacing w:after="135" w:line="264" w:lineRule="auto"/>
        <w:ind w:left="203" w:right="468" w:hanging="218"/>
        <w:jc w:val="both"/>
      </w:pPr>
      <w:r>
        <w:rPr>
          <w:rFonts w:ascii="Cambria" w:eastAsia="Cambria" w:hAnsi="Cambria" w:cs="Cambria"/>
        </w:rPr>
        <w:t>Leland, H. E. et al. (2007). Comments on ”hedgin</w:t>
      </w:r>
      <w:r>
        <w:rPr>
          <w:rFonts w:ascii="Cambria" w:eastAsia="Cambria" w:hAnsi="Cambria" w:cs="Cambria"/>
        </w:rPr>
        <w:t xml:space="preserve">g errors with leland’s option model in the presence of transactions costs”. </w:t>
      </w:r>
      <w:r>
        <w:rPr>
          <w:rFonts w:ascii="Cambria" w:eastAsia="Cambria" w:hAnsi="Cambria" w:cs="Cambria"/>
          <w:i/>
        </w:rPr>
        <w:t>Finance Research Letters</w:t>
      </w:r>
      <w:r>
        <w:rPr>
          <w:rFonts w:ascii="Cambria" w:eastAsia="Cambria" w:hAnsi="Cambria" w:cs="Cambria"/>
        </w:rPr>
        <w:t>, 4(3):200–202. Haas School of Business, University of California, Berkeley, USA.</w:t>
      </w:r>
    </w:p>
    <w:p w:rsidR="00EE13F6" w:rsidRDefault="002E5BC4">
      <w:pPr>
        <w:spacing w:after="162" w:line="264" w:lineRule="auto"/>
        <w:ind w:left="203" w:right="468" w:hanging="218"/>
        <w:jc w:val="both"/>
      </w:pPr>
      <w:r>
        <w:rPr>
          <w:rFonts w:ascii="Cambria" w:eastAsia="Cambria" w:hAnsi="Cambria" w:cs="Cambria"/>
        </w:rPr>
        <w:lastRenderedPageBreak/>
        <w:t>Leland, H. E. and Toft, K. B. (1996). Optimal capital structure, endogenou</w:t>
      </w:r>
      <w:r>
        <w:rPr>
          <w:rFonts w:ascii="Cambria" w:eastAsia="Cambria" w:hAnsi="Cambria" w:cs="Cambria"/>
        </w:rPr>
        <w:t xml:space="preserve">s bankruptcy, and the term structure of credit spreads. </w:t>
      </w:r>
      <w:r>
        <w:rPr>
          <w:rFonts w:ascii="Cambria" w:eastAsia="Cambria" w:hAnsi="Cambria" w:cs="Cambria"/>
          <w:i/>
        </w:rPr>
        <w:t>The Journal of Finance</w:t>
      </w:r>
      <w:r>
        <w:rPr>
          <w:rFonts w:ascii="Cambria" w:eastAsia="Cambria" w:hAnsi="Cambria" w:cs="Cambria"/>
        </w:rPr>
        <w:t>, 51(3):987–1019.</w:t>
      </w:r>
    </w:p>
    <w:p w:rsidR="00EE13F6" w:rsidRDefault="002E5BC4">
      <w:pPr>
        <w:spacing w:after="135" w:line="264" w:lineRule="auto"/>
        <w:ind w:left="203" w:right="468" w:hanging="218"/>
        <w:jc w:val="both"/>
      </w:pPr>
      <w:r>
        <w:rPr>
          <w:rFonts w:ascii="Cambria" w:eastAsia="Cambria" w:hAnsi="Cambria" w:cs="Cambria"/>
        </w:rPr>
        <w:t xml:space="preserve">Lendvai J., Raciborski R., V. L. (March 2012). Securities transaction taxes: Macroeconomic implications in a general equilibrium model. </w:t>
      </w:r>
      <w:r>
        <w:rPr>
          <w:rFonts w:ascii="Cambria" w:eastAsia="Cambria" w:hAnsi="Cambria" w:cs="Cambria"/>
          <w:i/>
        </w:rPr>
        <w:t>European Economy: Econom</w:t>
      </w:r>
      <w:r>
        <w:rPr>
          <w:rFonts w:ascii="Cambria" w:eastAsia="Cambria" w:hAnsi="Cambria" w:cs="Cambria"/>
          <w:i/>
        </w:rPr>
        <w:t>ic Papers</w:t>
      </w:r>
      <w:r>
        <w:rPr>
          <w:rFonts w:ascii="Cambria" w:eastAsia="Cambria" w:hAnsi="Cambria" w:cs="Cambria"/>
        </w:rPr>
        <w:t>, (450).</w:t>
      </w:r>
    </w:p>
    <w:p w:rsidR="00EE13F6" w:rsidRDefault="002E5BC4">
      <w:pPr>
        <w:spacing w:after="202" w:line="264" w:lineRule="auto"/>
        <w:ind w:left="203" w:right="468" w:hanging="218"/>
        <w:jc w:val="both"/>
      </w:pPr>
      <w:r>
        <w:rPr>
          <w:rFonts w:ascii="Cambria" w:eastAsia="Cambria" w:hAnsi="Cambria" w:cs="Cambria"/>
        </w:rPr>
        <w:t xml:space="preserve">Lo, A. W., Mamaysky, H., and Wang, J. (2004). Asset prices and trading volume under fixed transactions costs. </w:t>
      </w:r>
      <w:r>
        <w:rPr>
          <w:rFonts w:ascii="Cambria" w:eastAsia="Cambria" w:hAnsi="Cambria" w:cs="Cambria"/>
          <w:i/>
        </w:rPr>
        <w:t>Journal of Political Economy</w:t>
      </w:r>
      <w:r>
        <w:rPr>
          <w:rFonts w:ascii="Cambria" w:eastAsia="Cambria" w:hAnsi="Cambria" w:cs="Cambria"/>
        </w:rPr>
        <w:t>, 112(5):1054–1090.</w:t>
      </w:r>
    </w:p>
    <w:p w:rsidR="00EE13F6" w:rsidRDefault="002E5BC4">
      <w:pPr>
        <w:spacing w:after="167" w:line="264" w:lineRule="auto"/>
        <w:ind w:left="203" w:right="468" w:hanging="218"/>
        <w:jc w:val="both"/>
      </w:pPr>
      <w:r>
        <w:rPr>
          <w:rFonts w:ascii="Cambria" w:eastAsia="Cambria" w:hAnsi="Cambria" w:cs="Cambria"/>
        </w:rPr>
        <w:t xml:space="preserve">Matheson, M. T. (2011). </w:t>
      </w:r>
      <w:r>
        <w:rPr>
          <w:rFonts w:ascii="Cambria" w:eastAsia="Cambria" w:hAnsi="Cambria" w:cs="Cambria"/>
          <w:i/>
        </w:rPr>
        <w:t>Taxing financial transactions: Issues and evidence</w:t>
      </w:r>
      <w:r>
        <w:rPr>
          <w:rFonts w:ascii="Cambria" w:eastAsia="Cambria" w:hAnsi="Cambria" w:cs="Cambria"/>
        </w:rPr>
        <w:t>. Numb</w:t>
      </w:r>
      <w:r>
        <w:rPr>
          <w:rFonts w:ascii="Cambria" w:eastAsia="Cambria" w:hAnsi="Cambria" w:cs="Cambria"/>
        </w:rPr>
        <w:t>er 11-54. IMF Staff Papers, International Monetary Fund.</w:t>
      </w:r>
    </w:p>
    <w:p w:rsidR="00EE13F6" w:rsidRDefault="002E5BC4">
      <w:pPr>
        <w:spacing w:after="202" w:line="264" w:lineRule="auto"/>
        <w:ind w:left="203" w:right="468" w:hanging="218"/>
        <w:jc w:val="both"/>
      </w:pPr>
      <w:r>
        <w:rPr>
          <w:rFonts w:ascii="Cambria" w:eastAsia="Cambria" w:hAnsi="Cambria" w:cs="Cambria"/>
        </w:rPr>
        <w:t xml:space="preserve">Modigliani, F. and Miller, M. H. (1958). The cost of capital, corporation finance and the theory of investment. </w:t>
      </w:r>
      <w:r>
        <w:rPr>
          <w:rFonts w:ascii="Cambria" w:eastAsia="Cambria" w:hAnsi="Cambria" w:cs="Cambria"/>
          <w:i/>
        </w:rPr>
        <w:t>The American economic review</w:t>
      </w:r>
      <w:r>
        <w:rPr>
          <w:rFonts w:ascii="Cambria" w:eastAsia="Cambria" w:hAnsi="Cambria" w:cs="Cambria"/>
        </w:rPr>
        <w:t>, 48(3):261–297.</w:t>
      </w:r>
    </w:p>
    <w:p w:rsidR="00EE13F6" w:rsidRDefault="002E5BC4">
      <w:pPr>
        <w:spacing w:after="167" w:line="264" w:lineRule="auto"/>
        <w:ind w:left="203" w:right="468" w:hanging="218"/>
        <w:jc w:val="both"/>
      </w:pPr>
      <w:r>
        <w:rPr>
          <w:rFonts w:ascii="Cambria" w:eastAsia="Cambria" w:hAnsi="Cambria" w:cs="Cambria"/>
        </w:rPr>
        <w:t>Mulherin, J. H. (1990). Regulation, tradin</w:t>
      </w:r>
      <w:r>
        <w:rPr>
          <w:rFonts w:ascii="Cambria" w:eastAsia="Cambria" w:hAnsi="Cambria" w:cs="Cambria"/>
        </w:rPr>
        <w:t xml:space="preserve">g volume and stock market volatility. </w:t>
      </w:r>
      <w:r>
        <w:rPr>
          <w:rFonts w:ascii="Cambria" w:eastAsia="Cambria" w:hAnsi="Cambria" w:cs="Cambria"/>
          <w:i/>
        </w:rPr>
        <w:t>Revue ´economique</w:t>
      </w:r>
      <w:r>
        <w:rPr>
          <w:rFonts w:ascii="Cambria" w:eastAsia="Cambria" w:hAnsi="Cambria" w:cs="Cambria"/>
        </w:rPr>
        <w:t>, pages 923–937.</w:t>
      </w:r>
    </w:p>
    <w:p w:rsidR="00EE13F6" w:rsidRDefault="002E5BC4">
      <w:pPr>
        <w:spacing w:after="169" w:line="264" w:lineRule="auto"/>
        <w:ind w:left="203" w:right="468" w:hanging="218"/>
        <w:jc w:val="both"/>
      </w:pPr>
      <w:r>
        <w:rPr>
          <w:rFonts w:ascii="Cambria" w:eastAsia="Cambria" w:hAnsi="Cambria" w:cs="Cambria"/>
        </w:rPr>
        <w:t xml:space="preserve">Musiela, M. and Rutkowski, M. (1998). Martingale methods in financial modeling, 2nd edition. </w:t>
      </w:r>
      <w:r>
        <w:rPr>
          <w:rFonts w:ascii="Cambria" w:eastAsia="Cambria" w:hAnsi="Cambria" w:cs="Cambria"/>
          <w:i/>
        </w:rPr>
        <w:t>Stochastic Modelling and Applied Probability</w:t>
      </w:r>
      <w:r>
        <w:rPr>
          <w:rFonts w:ascii="Cambria" w:eastAsia="Cambria" w:hAnsi="Cambria" w:cs="Cambria"/>
        </w:rPr>
        <w:t>, 36.</w:t>
      </w:r>
    </w:p>
    <w:p w:rsidR="00EE13F6" w:rsidRDefault="002E5BC4">
      <w:pPr>
        <w:spacing w:after="167" w:line="264" w:lineRule="auto"/>
        <w:ind w:left="-5" w:right="468" w:hanging="10"/>
        <w:jc w:val="both"/>
      </w:pPr>
      <w:r>
        <w:rPr>
          <w:rFonts w:ascii="Cambria" w:eastAsia="Cambria" w:hAnsi="Cambria" w:cs="Cambria"/>
        </w:rPr>
        <w:t xml:space="preserve">Oxera (2007). Stamp duty: Its impact and </w:t>
      </w:r>
      <w:r>
        <w:rPr>
          <w:rFonts w:ascii="Cambria" w:eastAsia="Cambria" w:hAnsi="Cambria" w:cs="Cambria"/>
        </w:rPr>
        <w:t>the benefits of its abolition. Technical report, Oxera.</w:t>
      </w:r>
    </w:p>
    <w:p w:rsidR="00EE13F6" w:rsidRDefault="002E5BC4">
      <w:pPr>
        <w:spacing w:after="169" w:line="264" w:lineRule="auto"/>
        <w:ind w:left="203" w:right="468" w:hanging="218"/>
        <w:jc w:val="both"/>
      </w:pPr>
      <w:r>
        <w:rPr>
          <w:rFonts w:ascii="Cambria" w:eastAsia="Cambria" w:hAnsi="Cambria" w:cs="Cambria"/>
        </w:rPr>
        <w:t>Oxera (2014). What could be the economic impact of the proposed financial transaction tax? a comprehensive assessment of the potential macroeconomic impact. Technical report, Oxera.</w:t>
      </w:r>
    </w:p>
    <w:p w:rsidR="00EE13F6" w:rsidRDefault="002E5BC4">
      <w:pPr>
        <w:spacing w:after="202" w:line="264" w:lineRule="auto"/>
        <w:ind w:left="203" w:right="468" w:hanging="218"/>
        <w:jc w:val="both"/>
      </w:pPr>
      <w:r>
        <w:rPr>
          <w:rFonts w:ascii="Cambria" w:eastAsia="Cambria" w:hAnsi="Cambria" w:cs="Cambria"/>
        </w:rPr>
        <w:t>Roll, R. (1989). P</w:t>
      </w:r>
      <w:r>
        <w:rPr>
          <w:rFonts w:ascii="Cambria" w:eastAsia="Cambria" w:hAnsi="Cambria" w:cs="Cambria"/>
        </w:rPr>
        <w:t xml:space="preserve">rice volatility, international market links, and their implications for regulatory policies. In </w:t>
      </w:r>
      <w:r>
        <w:rPr>
          <w:rFonts w:ascii="Cambria" w:eastAsia="Cambria" w:hAnsi="Cambria" w:cs="Cambria"/>
          <w:i/>
        </w:rPr>
        <w:t>Regulatory Reform of Stock and Futures Markets</w:t>
      </w:r>
      <w:r>
        <w:rPr>
          <w:rFonts w:ascii="Cambria" w:eastAsia="Cambria" w:hAnsi="Cambria" w:cs="Cambria"/>
        </w:rPr>
        <w:t>, pages 113–148. Springer.</w:t>
      </w:r>
    </w:p>
    <w:p w:rsidR="00EE13F6" w:rsidRDefault="002E5BC4">
      <w:pPr>
        <w:spacing w:after="178" w:line="264" w:lineRule="auto"/>
        <w:ind w:left="-5" w:right="468" w:hanging="10"/>
        <w:jc w:val="both"/>
      </w:pPr>
      <w:r>
        <w:rPr>
          <w:rFonts w:ascii="Cambria" w:eastAsia="Cambria" w:hAnsi="Cambria" w:cs="Cambria"/>
        </w:rPr>
        <w:t xml:space="preserve">Rubinstein, M. and Reiner, C. (1991). Breaking down the barriers. </w:t>
      </w:r>
      <w:r>
        <w:rPr>
          <w:rFonts w:ascii="Cambria" w:eastAsia="Cambria" w:hAnsi="Cambria" w:cs="Cambria"/>
          <w:i/>
        </w:rPr>
        <w:t>Risk</w:t>
      </w:r>
      <w:r>
        <w:rPr>
          <w:rFonts w:ascii="Cambria" w:eastAsia="Cambria" w:hAnsi="Cambria" w:cs="Cambria"/>
        </w:rPr>
        <w:t>, 4:28–35.</w:t>
      </w:r>
    </w:p>
    <w:p w:rsidR="00EE13F6" w:rsidRDefault="002E5BC4">
      <w:pPr>
        <w:spacing w:after="169" w:line="264" w:lineRule="auto"/>
        <w:ind w:left="203" w:right="468" w:hanging="218"/>
        <w:jc w:val="both"/>
      </w:pPr>
      <w:r>
        <w:rPr>
          <w:rFonts w:ascii="Cambria" w:eastAsia="Cambria" w:hAnsi="Cambria" w:cs="Cambria"/>
        </w:rPr>
        <w:t>Saporta, V. and Kan, K. (1997). The effects of stamp duty on the level and volatility of equity prices.</w:t>
      </w:r>
    </w:p>
    <w:p w:rsidR="00EE13F6" w:rsidRDefault="002E5BC4">
      <w:pPr>
        <w:spacing w:after="202" w:line="264" w:lineRule="auto"/>
        <w:ind w:left="203" w:right="468" w:hanging="218"/>
        <w:jc w:val="both"/>
      </w:pPr>
      <w:r>
        <w:rPr>
          <w:rFonts w:ascii="Cambria" w:eastAsia="Cambria" w:hAnsi="Cambria" w:cs="Cambria"/>
        </w:rPr>
        <w:t xml:space="preserve">Schwert, G. W. and Seguin, P. J. (1993). Securities transaction taxes: an overview of costs, benefits and unresolved questions. </w:t>
      </w:r>
      <w:r>
        <w:rPr>
          <w:rFonts w:ascii="Cambria" w:eastAsia="Cambria" w:hAnsi="Cambria" w:cs="Cambria"/>
          <w:i/>
        </w:rPr>
        <w:t>Financial Analysts Journ</w:t>
      </w:r>
      <w:r>
        <w:rPr>
          <w:rFonts w:ascii="Cambria" w:eastAsia="Cambria" w:hAnsi="Cambria" w:cs="Cambria"/>
          <w:i/>
        </w:rPr>
        <w:t>al</w:t>
      </w:r>
      <w:r>
        <w:rPr>
          <w:rFonts w:ascii="Cambria" w:eastAsia="Cambria" w:hAnsi="Cambria" w:cs="Cambria"/>
        </w:rPr>
        <w:t>, 49(5):27–35.</w:t>
      </w:r>
    </w:p>
    <w:p w:rsidR="00EE13F6" w:rsidRDefault="002E5BC4">
      <w:pPr>
        <w:spacing w:after="194" w:line="264" w:lineRule="auto"/>
        <w:ind w:left="203" w:right="468" w:hanging="218"/>
        <w:jc w:val="both"/>
      </w:pPr>
      <w:r>
        <w:rPr>
          <w:rFonts w:ascii="Cambria" w:eastAsia="Cambria" w:hAnsi="Cambria" w:cs="Cambria"/>
        </w:rPr>
        <w:t xml:space="preserve">Song, F. M. and Zhang, J. (2005). Securities transaction tax and market volatility. </w:t>
      </w:r>
      <w:r>
        <w:rPr>
          <w:rFonts w:ascii="Cambria" w:eastAsia="Cambria" w:hAnsi="Cambria" w:cs="Cambria"/>
          <w:i/>
        </w:rPr>
        <w:t>The Economic Journal</w:t>
      </w:r>
      <w:r>
        <w:rPr>
          <w:rFonts w:ascii="Cambria" w:eastAsia="Cambria" w:hAnsi="Cambria" w:cs="Cambria"/>
        </w:rPr>
        <w:t>, 115(506):1103–1120.</w:t>
      </w:r>
    </w:p>
    <w:p w:rsidR="00EE13F6" w:rsidRDefault="002E5BC4">
      <w:pPr>
        <w:spacing w:after="167" w:line="264" w:lineRule="auto"/>
        <w:ind w:left="203" w:right="468" w:hanging="218"/>
        <w:jc w:val="both"/>
      </w:pPr>
      <w:r>
        <w:rPr>
          <w:rFonts w:ascii="Cambria" w:eastAsia="Cambria" w:hAnsi="Cambria" w:cs="Cambria"/>
        </w:rPr>
        <w:t xml:space="preserve">Stiglitz, J. E. (1989). Using tax policy to curb speculative short-term trading. </w:t>
      </w:r>
      <w:r>
        <w:rPr>
          <w:rFonts w:ascii="Cambria" w:eastAsia="Cambria" w:hAnsi="Cambria" w:cs="Cambria"/>
          <w:i/>
        </w:rPr>
        <w:t>Journal of financial services re</w:t>
      </w:r>
      <w:r>
        <w:rPr>
          <w:rFonts w:ascii="Cambria" w:eastAsia="Cambria" w:hAnsi="Cambria" w:cs="Cambria"/>
          <w:i/>
        </w:rPr>
        <w:t>search</w:t>
      </w:r>
      <w:r>
        <w:rPr>
          <w:rFonts w:ascii="Cambria" w:eastAsia="Cambria" w:hAnsi="Cambria" w:cs="Cambria"/>
        </w:rPr>
        <w:t>, 3(2-3):101–115.</w:t>
      </w:r>
    </w:p>
    <w:p w:rsidR="00EE13F6" w:rsidRDefault="002E5BC4">
      <w:pPr>
        <w:spacing w:after="202" w:line="264" w:lineRule="auto"/>
        <w:ind w:left="203" w:right="468" w:hanging="218"/>
        <w:jc w:val="both"/>
      </w:pPr>
      <w:r>
        <w:rPr>
          <w:rFonts w:ascii="Cambria" w:eastAsia="Cambria" w:hAnsi="Cambria" w:cs="Cambria"/>
        </w:rPr>
        <w:t xml:space="preserve">Summers, L. H. and Summers, V. P. (1989). When financial markets work too well: a cautious case for a securities transactions tax. </w:t>
      </w:r>
      <w:r>
        <w:rPr>
          <w:rFonts w:ascii="Cambria" w:eastAsia="Cambria" w:hAnsi="Cambria" w:cs="Cambria"/>
          <w:i/>
        </w:rPr>
        <w:t>Journal of financial services research</w:t>
      </w:r>
      <w:r>
        <w:rPr>
          <w:rFonts w:ascii="Cambria" w:eastAsia="Cambria" w:hAnsi="Cambria" w:cs="Cambria"/>
        </w:rPr>
        <w:t>, 3(2-3):261–286.</w:t>
      </w:r>
    </w:p>
    <w:p w:rsidR="00EE13F6" w:rsidRDefault="002E5BC4">
      <w:pPr>
        <w:spacing w:after="196" w:line="261" w:lineRule="auto"/>
        <w:ind w:left="213" w:hanging="228"/>
      </w:pPr>
      <w:r>
        <w:rPr>
          <w:rFonts w:ascii="Cambria" w:eastAsia="Cambria" w:hAnsi="Cambria" w:cs="Cambria"/>
        </w:rPr>
        <w:t xml:space="preserve">Taleb, N. (2005). </w:t>
      </w:r>
      <w:r>
        <w:rPr>
          <w:rFonts w:ascii="Cambria" w:eastAsia="Cambria" w:hAnsi="Cambria" w:cs="Cambria"/>
          <w:i/>
        </w:rPr>
        <w:t>Fooled by randomness: The hidden role of chance in life and in the markets</w:t>
      </w:r>
      <w:r>
        <w:rPr>
          <w:rFonts w:ascii="Cambria" w:eastAsia="Cambria" w:hAnsi="Cambria" w:cs="Cambria"/>
        </w:rPr>
        <w:t>, volume 1. Random House Incorporated.</w:t>
      </w:r>
    </w:p>
    <w:p w:rsidR="00EE13F6" w:rsidRDefault="002E5BC4">
      <w:pPr>
        <w:spacing w:after="194" w:line="264" w:lineRule="auto"/>
        <w:ind w:left="203" w:right="468" w:hanging="218"/>
        <w:jc w:val="both"/>
      </w:pPr>
      <w:r>
        <w:rPr>
          <w:rFonts w:ascii="Cambria" w:eastAsia="Cambria" w:hAnsi="Cambria" w:cs="Cambria"/>
        </w:rPr>
        <w:t>Tobin, J. (1978).</w:t>
      </w:r>
      <w:r>
        <w:rPr>
          <w:rFonts w:ascii="Cambria" w:eastAsia="Cambria" w:hAnsi="Cambria" w:cs="Cambria"/>
        </w:rPr>
        <w:tab/>
        <w:t>A proposal for international monetary reform.</w:t>
      </w:r>
      <w:r>
        <w:rPr>
          <w:rFonts w:ascii="Cambria" w:eastAsia="Cambria" w:hAnsi="Cambria" w:cs="Cambria"/>
        </w:rPr>
        <w:tab/>
      </w:r>
      <w:r>
        <w:rPr>
          <w:rFonts w:ascii="Cambria" w:eastAsia="Cambria" w:hAnsi="Cambria" w:cs="Cambria"/>
          <w:i/>
        </w:rPr>
        <w:t>Eastern economic journal</w:t>
      </w:r>
      <w:r>
        <w:rPr>
          <w:rFonts w:ascii="Cambria" w:eastAsia="Cambria" w:hAnsi="Cambria" w:cs="Cambria"/>
        </w:rPr>
        <w:t>, 4(3/4):153–159.</w:t>
      </w:r>
    </w:p>
    <w:p w:rsidR="00EE13F6" w:rsidRDefault="002E5BC4">
      <w:pPr>
        <w:spacing w:after="194" w:line="264" w:lineRule="auto"/>
        <w:ind w:left="203" w:right="468" w:hanging="218"/>
        <w:jc w:val="both"/>
      </w:pPr>
      <w:r>
        <w:rPr>
          <w:rFonts w:ascii="Cambria" w:eastAsia="Cambria" w:hAnsi="Cambria" w:cs="Cambria"/>
        </w:rPr>
        <w:lastRenderedPageBreak/>
        <w:t>Umlauf, S. R. (1993). Transaction tax</w:t>
      </w:r>
      <w:r>
        <w:rPr>
          <w:rFonts w:ascii="Cambria" w:eastAsia="Cambria" w:hAnsi="Cambria" w:cs="Cambria"/>
        </w:rPr>
        <w:t xml:space="preserve">es and the behavior of the swedish stock market. </w:t>
      </w:r>
      <w:r>
        <w:rPr>
          <w:rFonts w:ascii="Cambria" w:eastAsia="Cambria" w:hAnsi="Cambria" w:cs="Cambria"/>
          <w:i/>
        </w:rPr>
        <w:t>Journal of Financial Economics</w:t>
      </w:r>
      <w:r>
        <w:rPr>
          <w:rFonts w:ascii="Cambria" w:eastAsia="Cambria" w:hAnsi="Cambria" w:cs="Cambria"/>
        </w:rPr>
        <w:t>, 33(2):227–240.</w:t>
      </w:r>
    </w:p>
    <w:p w:rsidR="00EE13F6" w:rsidRDefault="002E5BC4">
      <w:pPr>
        <w:spacing w:after="167" w:line="264" w:lineRule="auto"/>
        <w:ind w:left="203" w:right="468" w:hanging="218"/>
        <w:jc w:val="both"/>
      </w:pPr>
      <w:r>
        <w:rPr>
          <w:rFonts w:ascii="Cambria" w:eastAsia="Cambria" w:hAnsi="Cambria" w:cs="Cambria"/>
        </w:rPr>
        <w:t xml:space="preserve">Vasicek, O. KMV (Kealhofer, M. and Vasicek) (2012). Structural models in credit valuation. </w:t>
      </w:r>
      <w:r>
        <w:rPr>
          <w:rFonts w:ascii="Cambria" w:eastAsia="Cambria" w:hAnsi="Cambria" w:cs="Cambria"/>
          <w:i/>
        </w:rPr>
        <w:t>NYU Stern</w:t>
      </w:r>
      <w:r>
        <w:rPr>
          <w:rFonts w:ascii="Cambria" w:eastAsia="Cambria" w:hAnsi="Cambria" w:cs="Cambria"/>
        </w:rPr>
        <w:t>.</w:t>
      </w:r>
    </w:p>
    <w:p w:rsidR="00EE13F6" w:rsidRDefault="002E5BC4">
      <w:pPr>
        <w:spacing w:after="135" w:line="264" w:lineRule="auto"/>
        <w:ind w:left="203" w:right="468" w:hanging="218"/>
        <w:jc w:val="both"/>
      </w:pPr>
      <w:r>
        <w:rPr>
          <w:rFonts w:ascii="Cambria" w:eastAsia="Cambria" w:hAnsi="Cambria" w:cs="Cambria"/>
        </w:rPr>
        <w:t>Wang, G. and Yau, J. (2012). Would a financial transaction</w:t>
      </w:r>
      <w:r>
        <w:rPr>
          <w:rFonts w:ascii="Cambria" w:eastAsia="Cambria" w:hAnsi="Cambria" w:cs="Cambria"/>
        </w:rPr>
        <w:t xml:space="preserve"> tax affect financial market activity? insights from future markets. </w:t>
      </w:r>
      <w:r>
        <w:rPr>
          <w:rFonts w:ascii="Cambria" w:eastAsia="Cambria" w:hAnsi="Cambria" w:cs="Cambria"/>
          <w:i/>
        </w:rPr>
        <w:t>Policy Analysis</w:t>
      </w:r>
      <w:r>
        <w:rPr>
          <w:rFonts w:ascii="Cambria" w:eastAsia="Cambria" w:hAnsi="Cambria" w:cs="Cambria"/>
        </w:rPr>
        <w:t>, (702).</w:t>
      </w:r>
    </w:p>
    <w:p w:rsidR="00EE13F6" w:rsidRDefault="002E5BC4">
      <w:pPr>
        <w:spacing w:after="135" w:line="264" w:lineRule="auto"/>
        <w:ind w:left="203" w:right="468" w:hanging="218"/>
        <w:jc w:val="both"/>
      </w:pPr>
      <w:r>
        <w:rPr>
          <w:rFonts w:ascii="Cambria" w:eastAsia="Cambria" w:hAnsi="Cambria" w:cs="Cambria"/>
        </w:rPr>
        <w:t>Westerholm, P. (2003). The impact of transaction costs on turnover, asset prices and volatility: the cases of sweden’s and finland’s security transaction tax reduc</w:t>
      </w:r>
      <w:r>
        <w:rPr>
          <w:rFonts w:ascii="Cambria" w:eastAsia="Cambria" w:hAnsi="Cambria" w:cs="Cambria"/>
        </w:rPr>
        <w:t xml:space="preserve">tions. </w:t>
      </w:r>
      <w:r>
        <w:rPr>
          <w:rFonts w:ascii="Cambria" w:eastAsia="Cambria" w:hAnsi="Cambria" w:cs="Cambria"/>
          <w:i/>
        </w:rPr>
        <w:t>Liiketaloudellinen Aikakauskirja</w:t>
      </w:r>
      <w:r>
        <w:rPr>
          <w:rFonts w:ascii="Cambria" w:eastAsia="Cambria" w:hAnsi="Cambria" w:cs="Cambria"/>
        </w:rPr>
        <w:t>, pages 213–241.</w:t>
      </w:r>
    </w:p>
    <w:p w:rsidR="00EE13F6" w:rsidRDefault="00EE13F6">
      <w:pPr>
        <w:sectPr w:rsidR="00EE13F6">
          <w:headerReference w:type="even" r:id="rId256"/>
          <w:headerReference w:type="default" r:id="rId257"/>
          <w:footerReference w:type="even" r:id="rId258"/>
          <w:footerReference w:type="default" r:id="rId259"/>
          <w:headerReference w:type="first" r:id="rId260"/>
          <w:footerReference w:type="first" r:id="rId261"/>
          <w:footnotePr>
            <w:numRestart w:val="eachPage"/>
          </w:footnotePr>
          <w:pgSz w:w="12240" w:h="15840"/>
          <w:pgMar w:top="1120" w:right="957" w:bottom="1559" w:left="1440" w:header="720" w:footer="1071" w:gutter="0"/>
          <w:pgNumType w:start="25"/>
          <w:cols w:space="720"/>
        </w:sectPr>
      </w:pPr>
    </w:p>
    <w:p w:rsidR="00EE13F6" w:rsidRDefault="002E5BC4">
      <w:pPr>
        <w:spacing w:after="369"/>
        <w:ind w:left="-1510" w:right="-1626"/>
      </w:pPr>
      <w:r>
        <w:rPr>
          <w:noProof/>
        </w:rPr>
        <w:lastRenderedPageBreak/>
        <mc:AlternateContent>
          <mc:Choice Requires="wpg">
            <w:drawing>
              <wp:inline distT="0" distB="0" distL="0" distR="0">
                <wp:extent cx="7507224" cy="1645514"/>
                <wp:effectExtent l="0" t="0" r="0" b="0"/>
                <wp:docPr id="213500" name="Group 213500"/>
                <wp:cNvGraphicFramePr/>
                <a:graphic xmlns:a="http://schemas.openxmlformats.org/drawingml/2006/main">
                  <a:graphicData uri="http://schemas.microsoft.com/office/word/2010/wordprocessingGroup">
                    <wpg:wgp>
                      <wpg:cNvGrpSpPr/>
                      <wpg:grpSpPr>
                        <a:xfrm>
                          <a:off x="0" y="0"/>
                          <a:ext cx="7507224" cy="1645514"/>
                          <a:chOff x="0" y="0"/>
                          <a:chExt cx="7507224" cy="1645514"/>
                        </a:xfrm>
                      </wpg:grpSpPr>
                      <wps:wsp>
                        <wps:cNvPr id="23655" name="Shape 23655"/>
                        <wps:cNvSpPr/>
                        <wps:spPr>
                          <a:xfrm>
                            <a:off x="0" y="1645514"/>
                            <a:ext cx="1197864" cy="0"/>
                          </a:xfrm>
                          <a:custGeom>
                            <a:avLst/>
                            <a:gdLst/>
                            <a:ahLst/>
                            <a:cxnLst/>
                            <a:rect l="0" t="0" r="0" b="0"/>
                            <a:pathLst>
                              <a:path w="1197864">
                                <a:moveTo>
                                  <a:pt x="0" y="0"/>
                                </a:moveTo>
                                <a:lnTo>
                                  <a:pt x="1197864" y="0"/>
                                </a:lnTo>
                              </a:path>
                            </a:pathLst>
                          </a:custGeom>
                          <a:ln w="25400" cap="flat">
                            <a:miter lim="127000"/>
                          </a:ln>
                        </wps:spPr>
                        <wps:style>
                          <a:lnRef idx="1">
                            <a:srgbClr val="132475"/>
                          </a:lnRef>
                          <a:fillRef idx="0">
                            <a:srgbClr val="000000">
                              <a:alpha val="0"/>
                            </a:srgbClr>
                          </a:fillRef>
                          <a:effectRef idx="0">
                            <a:scrgbClr r="0" g="0" b="0"/>
                          </a:effectRef>
                          <a:fontRef idx="none"/>
                        </wps:style>
                        <wps:bodyPr/>
                      </wps:wsp>
                      <pic:pic xmlns:pic="http://schemas.openxmlformats.org/drawingml/2006/picture">
                        <pic:nvPicPr>
                          <pic:cNvPr id="23656" name="Picture 23656"/>
                          <pic:cNvPicPr/>
                        </pic:nvPicPr>
                        <pic:blipFill>
                          <a:blip r:embed="rId262"/>
                          <a:stretch>
                            <a:fillRect/>
                          </a:stretch>
                        </pic:blipFill>
                        <pic:spPr>
                          <a:xfrm>
                            <a:off x="0" y="1"/>
                            <a:ext cx="1179576" cy="1581912"/>
                          </a:xfrm>
                          <a:prstGeom prst="rect">
                            <a:avLst/>
                          </a:prstGeom>
                        </pic:spPr>
                      </pic:pic>
                      <wps:wsp>
                        <wps:cNvPr id="23658" name="Shape 23658"/>
                        <wps:cNvSpPr/>
                        <wps:spPr>
                          <a:xfrm>
                            <a:off x="1197864" y="1645514"/>
                            <a:ext cx="5394960" cy="0"/>
                          </a:xfrm>
                          <a:custGeom>
                            <a:avLst/>
                            <a:gdLst/>
                            <a:ahLst/>
                            <a:cxnLst/>
                            <a:rect l="0" t="0" r="0" b="0"/>
                            <a:pathLst>
                              <a:path w="5394960">
                                <a:moveTo>
                                  <a:pt x="0" y="0"/>
                                </a:moveTo>
                                <a:lnTo>
                                  <a:pt x="5394960" y="0"/>
                                </a:lnTo>
                              </a:path>
                            </a:pathLst>
                          </a:custGeom>
                          <a:ln w="25400" cap="flat">
                            <a:miter lim="127000"/>
                          </a:ln>
                        </wps:spPr>
                        <wps:style>
                          <a:lnRef idx="1">
                            <a:srgbClr val="132475"/>
                          </a:lnRef>
                          <a:fillRef idx="0">
                            <a:srgbClr val="000000">
                              <a:alpha val="0"/>
                            </a:srgbClr>
                          </a:fillRef>
                          <a:effectRef idx="0">
                            <a:scrgbClr r="0" g="0" b="0"/>
                          </a:effectRef>
                          <a:fontRef idx="none"/>
                        </wps:style>
                        <wps:bodyPr/>
                      </wps:wsp>
                      <wps:wsp>
                        <wps:cNvPr id="23659" name="Rectangle 23659"/>
                        <wps:cNvSpPr/>
                        <wps:spPr>
                          <a:xfrm>
                            <a:off x="1350264" y="270654"/>
                            <a:ext cx="2291180" cy="345037"/>
                          </a:xfrm>
                          <a:prstGeom prst="rect">
                            <a:avLst/>
                          </a:prstGeom>
                          <a:ln>
                            <a:noFill/>
                          </a:ln>
                        </wps:spPr>
                        <wps:txbx>
                          <w:txbxContent>
                            <w:p w:rsidR="00EE13F6" w:rsidRDefault="002E5BC4">
                              <w:r>
                                <w:rPr>
                                  <w:rFonts w:ascii="Courier New" w:eastAsia="Courier New" w:hAnsi="Courier New" w:cs="Courier New"/>
                                  <w:b/>
                                  <w:w w:val="91"/>
                                  <w:sz w:val="30"/>
                                </w:rPr>
                                <w:t>Applied</w:t>
                              </w:r>
                              <w:r>
                                <w:rPr>
                                  <w:rFonts w:ascii="Courier New" w:eastAsia="Courier New" w:hAnsi="Courier New" w:cs="Courier New"/>
                                  <w:b/>
                                  <w:spacing w:val="-102"/>
                                  <w:w w:val="91"/>
                                  <w:sz w:val="30"/>
                                </w:rPr>
                                <w:t xml:space="preserve"> </w:t>
                              </w:r>
                              <w:r>
                                <w:rPr>
                                  <w:rFonts w:ascii="Courier New" w:eastAsia="Courier New" w:hAnsi="Courier New" w:cs="Courier New"/>
                                  <w:b/>
                                  <w:w w:val="91"/>
                                  <w:sz w:val="30"/>
                                </w:rPr>
                                <w:t>Economics</w:t>
                              </w:r>
                            </w:p>
                          </w:txbxContent>
                        </wps:txbx>
                        <wps:bodyPr horzOverflow="overflow" vert="horz" lIns="0" tIns="0" rIns="0" bIns="0" rtlCol="0">
                          <a:noAutofit/>
                        </wps:bodyPr>
                      </wps:wsp>
                      <wps:wsp>
                        <wps:cNvPr id="23712" name="Rectangle 23712"/>
                        <wps:cNvSpPr/>
                        <wps:spPr>
                          <a:xfrm>
                            <a:off x="1350264" y="1462751"/>
                            <a:ext cx="3976547" cy="184020"/>
                          </a:xfrm>
                          <a:prstGeom prst="rect">
                            <a:avLst/>
                          </a:prstGeom>
                          <a:ln>
                            <a:noFill/>
                          </a:ln>
                        </wps:spPr>
                        <wps:txbx>
                          <w:txbxContent>
                            <w:p w:rsidR="00EE13F6" w:rsidRDefault="002E5BC4">
                              <w:r>
                                <w:rPr>
                                  <w:rFonts w:ascii="Courier New" w:eastAsia="Courier New" w:hAnsi="Courier New" w:cs="Courier New"/>
                                  <w:b/>
                                  <w:w w:val="86"/>
                                  <w:sz w:val="16"/>
                                </w:rPr>
                                <w:t>ISSN:</w:t>
                              </w:r>
                              <w:r>
                                <w:rPr>
                                  <w:rFonts w:ascii="Courier New" w:eastAsia="Courier New" w:hAnsi="Courier New" w:cs="Courier New"/>
                                  <w:b/>
                                  <w:spacing w:val="-55"/>
                                  <w:w w:val="86"/>
                                  <w:sz w:val="16"/>
                                </w:rPr>
                                <w:t xml:space="preserve"> </w:t>
                              </w:r>
                              <w:r>
                                <w:rPr>
                                  <w:rFonts w:ascii="Courier New" w:eastAsia="Courier New" w:hAnsi="Courier New" w:cs="Courier New"/>
                                  <w:b/>
                                  <w:w w:val="86"/>
                                  <w:sz w:val="16"/>
                                </w:rPr>
                                <w:t>0003-6846</w:t>
                              </w:r>
                              <w:r>
                                <w:rPr>
                                  <w:rFonts w:ascii="Courier New" w:eastAsia="Courier New" w:hAnsi="Courier New" w:cs="Courier New"/>
                                  <w:b/>
                                  <w:spacing w:val="-55"/>
                                  <w:w w:val="86"/>
                                  <w:sz w:val="16"/>
                                </w:rPr>
                                <w:t xml:space="preserve"> </w:t>
                              </w:r>
                              <w:r>
                                <w:rPr>
                                  <w:rFonts w:ascii="Courier New" w:eastAsia="Courier New" w:hAnsi="Courier New" w:cs="Courier New"/>
                                  <w:b/>
                                  <w:w w:val="86"/>
                                  <w:sz w:val="16"/>
                                </w:rPr>
                                <w:t>(Print)</w:t>
                              </w:r>
                              <w:r>
                                <w:rPr>
                                  <w:rFonts w:ascii="Courier New" w:eastAsia="Courier New" w:hAnsi="Courier New" w:cs="Courier New"/>
                                  <w:b/>
                                  <w:spacing w:val="-55"/>
                                  <w:w w:val="86"/>
                                  <w:sz w:val="16"/>
                                </w:rPr>
                                <w:t xml:space="preserve"> </w:t>
                              </w:r>
                              <w:r>
                                <w:rPr>
                                  <w:rFonts w:ascii="Courier New" w:eastAsia="Courier New" w:hAnsi="Courier New" w:cs="Courier New"/>
                                  <w:b/>
                                  <w:w w:val="86"/>
                                  <w:sz w:val="16"/>
                                </w:rPr>
                                <w:t>1466-4283</w:t>
                              </w:r>
                              <w:r>
                                <w:rPr>
                                  <w:rFonts w:ascii="Courier New" w:eastAsia="Courier New" w:hAnsi="Courier New" w:cs="Courier New"/>
                                  <w:b/>
                                  <w:spacing w:val="-55"/>
                                  <w:w w:val="86"/>
                                  <w:sz w:val="16"/>
                                </w:rPr>
                                <w:t xml:space="preserve"> </w:t>
                              </w:r>
                              <w:r>
                                <w:rPr>
                                  <w:rFonts w:ascii="Courier New" w:eastAsia="Courier New" w:hAnsi="Courier New" w:cs="Courier New"/>
                                  <w:b/>
                                  <w:w w:val="86"/>
                                  <w:sz w:val="16"/>
                                </w:rPr>
                                <w:t>(Online)</w:t>
                              </w:r>
                              <w:r>
                                <w:rPr>
                                  <w:rFonts w:ascii="Courier New" w:eastAsia="Courier New" w:hAnsi="Courier New" w:cs="Courier New"/>
                                  <w:b/>
                                  <w:spacing w:val="-55"/>
                                  <w:w w:val="86"/>
                                  <w:sz w:val="16"/>
                                </w:rPr>
                                <w:t xml:space="preserve"> </w:t>
                              </w:r>
                              <w:r>
                                <w:rPr>
                                  <w:rFonts w:ascii="Courier New" w:eastAsia="Courier New" w:hAnsi="Courier New" w:cs="Courier New"/>
                                  <w:b/>
                                  <w:w w:val="86"/>
                                  <w:sz w:val="16"/>
                                </w:rPr>
                                <w:t>Journal</w:t>
                              </w:r>
                              <w:r>
                                <w:rPr>
                                  <w:rFonts w:ascii="Courier New" w:eastAsia="Courier New" w:hAnsi="Courier New" w:cs="Courier New"/>
                                  <w:b/>
                                  <w:spacing w:val="-55"/>
                                  <w:w w:val="86"/>
                                  <w:sz w:val="16"/>
                                </w:rPr>
                                <w:t xml:space="preserve"> </w:t>
                              </w:r>
                              <w:r>
                                <w:rPr>
                                  <w:rFonts w:ascii="Courier New" w:eastAsia="Courier New" w:hAnsi="Courier New" w:cs="Courier New"/>
                                  <w:b/>
                                  <w:w w:val="86"/>
                                  <w:sz w:val="16"/>
                                </w:rPr>
                                <w:t>homepage:</w:t>
                              </w:r>
                            </w:p>
                          </w:txbxContent>
                        </wps:txbx>
                        <wps:bodyPr horzOverflow="overflow" vert="horz" lIns="0" tIns="0" rIns="0" bIns="0" rtlCol="0">
                          <a:noAutofit/>
                        </wps:bodyPr>
                      </wps:wsp>
                      <wps:wsp>
                        <wps:cNvPr id="213447" name="Rectangle 213447"/>
                        <wps:cNvSpPr/>
                        <wps:spPr>
                          <a:xfrm>
                            <a:off x="4340149" y="1462751"/>
                            <a:ext cx="34999" cy="184020"/>
                          </a:xfrm>
                          <a:prstGeom prst="rect">
                            <a:avLst/>
                          </a:prstGeom>
                          <a:ln>
                            <a:noFill/>
                          </a:ln>
                        </wps:spPr>
                        <wps:txbx>
                          <w:txbxContent>
                            <w:p w:rsidR="00EE13F6" w:rsidRDefault="002E5BC4">
                              <w:hyperlink r:id="rId263">
                                <w:r>
                                  <w:rPr>
                                    <w:rFonts w:ascii="Courier New" w:eastAsia="Courier New" w:hAnsi="Courier New" w:cs="Courier New"/>
                                    <w:b/>
                                    <w:sz w:val="16"/>
                                  </w:rPr>
                                  <w:t xml:space="preserve"> </w:t>
                                </w:r>
                              </w:hyperlink>
                            </w:p>
                          </w:txbxContent>
                        </wps:txbx>
                        <wps:bodyPr horzOverflow="overflow" vert="horz" lIns="0" tIns="0" rIns="0" bIns="0" rtlCol="0">
                          <a:noAutofit/>
                        </wps:bodyPr>
                      </wps:wsp>
                      <wps:wsp>
                        <wps:cNvPr id="213448" name="Rectangle 213448"/>
                        <wps:cNvSpPr/>
                        <wps:spPr>
                          <a:xfrm>
                            <a:off x="4366463" y="1462751"/>
                            <a:ext cx="2472032" cy="184020"/>
                          </a:xfrm>
                          <a:prstGeom prst="rect">
                            <a:avLst/>
                          </a:prstGeom>
                          <a:ln>
                            <a:noFill/>
                          </a:ln>
                        </wps:spPr>
                        <wps:txbx>
                          <w:txbxContent>
                            <w:p w:rsidR="00EE13F6" w:rsidRDefault="002E5BC4">
                              <w:r>
                                <w:rPr>
                                  <w:rFonts w:ascii="Courier New" w:eastAsia="Courier New" w:hAnsi="Courier New" w:cs="Courier New"/>
                                  <w:b/>
                                  <w:w w:val="84"/>
                                  <w:sz w:val="16"/>
                                  <w:u w:val="single" w:color="000000"/>
                                </w:rPr>
                                <w:t>http://www.tandfonline.com/loi/raec2</w:t>
                              </w:r>
                            </w:p>
                          </w:txbxContent>
                        </wps:txbx>
                        <wps:bodyPr horzOverflow="overflow" vert="horz" lIns="0" tIns="0" rIns="0" bIns="0" rtlCol="0">
                          <a:noAutofit/>
                        </wps:bodyPr>
                      </wps:wsp>
                      <wps:wsp>
                        <wps:cNvPr id="213446" name="Rectangle 213446"/>
                        <wps:cNvSpPr/>
                        <wps:spPr>
                          <a:xfrm>
                            <a:off x="6225134" y="1462751"/>
                            <a:ext cx="77023" cy="184020"/>
                          </a:xfrm>
                          <a:prstGeom prst="rect">
                            <a:avLst/>
                          </a:prstGeom>
                          <a:ln>
                            <a:noFill/>
                          </a:ln>
                        </wps:spPr>
                        <wps:txbx>
                          <w:txbxContent>
                            <w:p w:rsidR="00EE13F6" w:rsidRDefault="002E5BC4">
                              <w:hyperlink r:id="rId264">
                                <w:r>
                                  <w:rPr>
                                    <w:rFonts w:ascii="Courier New" w:eastAsia="Courier New" w:hAnsi="Courier New" w:cs="Courier New"/>
                                    <w:b/>
                                    <w:w w:val="94"/>
                                    <w:sz w:val="16"/>
                                    <w:u w:val="single" w:color="000000"/>
                                  </w:rPr>
                                  <w:t>0</w:t>
                                </w:r>
                              </w:hyperlink>
                            </w:p>
                          </w:txbxContent>
                        </wps:txbx>
                        <wps:bodyPr horzOverflow="overflow" vert="horz" lIns="0" tIns="0" rIns="0" bIns="0" rtlCol="0">
                          <a:noAutofit/>
                        </wps:bodyPr>
                      </wps:wsp>
                      <wps:wsp>
                        <wps:cNvPr id="23663" name="Shape 23663"/>
                        <wps:cNvSpPr/>
                        <wps:spPr>
                          <a:xfrm>
                            <a:off x="6592824" y="1645514"/>
                            <a:ext cx="914400" cy="0"/>
                          </a:xfrm>
                          <a:custGeom>
                            <a:avLst/>
                            <a:gdLst/>
                            <a:ahLst/>
                            <a:cxnLst/>
                            <a:rect l="0" t="0" r="0" b="0"/>
                            <a:pathLst>
                              <a:path w="914400">
                                <a:moveTo>
                                  <a:pt x="0" y="0"/>
                                </a:moveTo>
                                <a:lnTo>
                                  <a:pt x="914400" y="0"/>
                                </a:lnTo>
                              </a:path>
                            </a:pathLst>
                          </a:custGeom>
                          <a:ln w="25400" cap="flat">
                            <a:miter lim="127000"/>
                          </a:ln>
                        </wps:spPr>
                        <wps:style>
                          <a:lnRef idx="1">
                            <a:srgbClr val="132475"/>
                          </a:lnRef>
                          <a:fillRef idx="0">
                            <a:srgbClr val="000000">
                              <a:alpha val="0"/>
                            </a:srgbClr>
                          </a:fillRef>
                          <a:effectRef idx="0">
                            <a:scrgbClr r="0" g="0" b="0"/>
                          </a:effectRef>
                          <a:fontRef idx="none"/>
                        </wps:style>
                        <wps:bodyPr/>
                      </wps:wsp>
                      <pic:pic xmlns:pic="http://schemas.openxmlformats.org/drawingml/2006/picture">
                        <pic:nvPicPr>
                          <pic:cNvPr id="23664" name="Picture 23664"/>
                          <pic:cNvPicPr/>
                        </pic:nvPicPr>
                        <pic:blipFill>
                          <a:blip r:embed="rId265"/>
                          <a:stretch>
                            <a:fillRect/>
                          </a:stretch>
                        </pic:blipFill>
                        <pic:spPr>
                          <a:xfrm>
                            <a:off x="6592824" y="0"/>
                            <a:ext cx="914400" cy="255613"/>
                          </a:xfrm>
                          <a:prstGeom prst="rect">
                            <a:avLst/>
                          </a:prstGeom>
                        </pic:spPr>
                      </pic:pic>
                    </wpg:wgp>
                  </a:graphicData>
                </a:graphic>
              </wp:inline>
            </w:drawing>
          </mc:Choice>
          <mc:Fallback>
            <w:pict>
              <v:group id="Group 213500" o:spid="_x0000_s1887" style="width:591.1pt;height:129.55pt;mso-position-horizontal-relative:char;mso-position-vertical-relative:line" coordsize="75072,164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">
                <v:shape id="Shape 23655" o:spid="_x0000_s1888" style="position:absolute;top:16455;width:11978;height:0;visibility:visible;mso-wrap-style:square;v-text-anchor:top" coordsize="1197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0osUA&#10;AADeAAAADwAAAGRycy9kb3ducmV2LnhtbESPT2vCQBTE7wW/w/KE3uomSoJEVzGipSeL/+6P7DMJ&#10;Zt+G7KppP31XKHgcZuY3zHzZm0bcqXO1ZQXxKAJBXFhdc6ngdNx+TEE4j6yxsUwKfsjBcjF4m2Om&#10;7YP3dD/4UgQIuwwVVN63mZSuqMigG9mWOHgX2xn0QXal1B0+Atw0chxFqTRYc1iosKV1RcX1cDMK&#10;jK53v+253OTTz20eOR/j5fus1PuwX81AeOr9K/zf/tIKxpM0SeB5J1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zSixQAAAN4AAAAPAAAAAAAAAAAAAAAAAJgCAABkcnMv&#10;ZG93bnJldi54bWxQSwUGAAAAAAQABAD1AAAAigMAAAAA&#10;" path="m,l1197864,e" filled="f" strokecolor="#132475" strokeweight="2pt">
                  <v:stroke miterlimit="83231f" joinstyle="miter"/>
                  <v:path arrowok="t" textboxrect="0,0,119786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56" o:spid="_x0000_s1889" type="#_x0000_t75" style="position:absolute;width:11795;height:15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q3nHAAAA3gAAAA8AAABkcnMvZG93bnJldi54bWxEj0FLAzEUhO+C/yG8Qm822xYXWZsWW7S2&#10;3qxK8fbYPDeLm5clybbx35uC4HGYmW+YxSrZTpzIh9axgumkAEFcO91yo+D97enmDkSIyBo7x6Tg&#10;hwKsltdXC6y0O/MrnQ6xERnCoUIFJsa+kjLUhiyGieuJs/flvMWYpW+k9njOcNvJWVGU0mLLecFg&#10;TxtD9fdhsAo+085v8dgN/cvHsJ6nx6OR+2elxqP0cA8iUor/4b/2TiuYzcvbEi538hW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uHq3nHAAAA3gAAAA8AAAAAAAAAAAAA&#10;AAAAnwIAAGRycy9kb3ducmV2LnhtbFBLBQYAAAAABAAEAPcAAACTAwAAAAA=&#10;">
                  <v:imagedata r:id="rId266" o:title=""/>
                </v:shape>
                <v:shape id="Shape 23658" o:spid="_x0000_s1890" style="position:absolute;left:11978;top:16455;width:53950;height:0;visibility:visible;mso-wrap-style:square;v-text-anchor:top" coordsize="5394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I48UA&#10;AADeAAAADwAAAGRycy9kb3ducmV2LnhtbERPz2vCMBS+D/Y/hCfsIpquc8V1RtHBwJssKnh8NG9t&#10;Z/PSNVnb/ffLQdjx4/u92oy2ET11vnas4HGegCAunKm5VHA6vs+WIHxANtg4JgW/5GGzvr9bYW7c&#10;wB/U61CKGMI+RwVVCG0upS8qsujnriWO3KfrLIYIu1KaDocYbhuZJkkmLdYcGyps6a2i4qp/rIJt&#10;Y1603w3p5bvXejf9Whyy816ph8m4fQURaAz/4pt7bxSkT9lz3Bv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EjjxQAAAN4AAAAPAAAAAAAAAAAAAAAAAJgCAABkcnMv&#10;ZG93bnJldi54bWxQSwUGAAAAAAQABAD1AAAAigMAAAAA&#10;" path="m,l5394960,e" filled="f" strokecolor="#132475" strokeweight="2pt">
                  <v:stroke miterlimit="83231f" joinstyle="miter"/>
                  <v:path arrowok="t" textboxrect="0,0,5394960,0"/>
                </v:shape>
                <v:rect id="Rectangle 23659" o:spid="_x0000_s1891" style="position:absolute;left:13502;top:2706;width:22912;height:3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JbccA&#10;AADeAAAADwAAAGRycy9kb3ducmV2LnhtbESPT2vCQBTE70K/w/IK3nRTRUlSV5FW0aP/wPb2yL4m&#10;odm3Ibua6KfvFgSPw8z8hpktOlOJKzWutKzgbRiBIM6sLjlXcDquBzEI55E1VpZJwY0cLOYvvRmm&#10;2ra8p+vB5yJA2KWooPC+TqV0WUEG3dDWxMH7sY1BH2STS91gG+CmkqMomkqDJYeFAmv6KCj7PVyM&#10;gk1cL7+29t7m1ep7c96dk89j4pXqv3bLdxCeOv8MP9pbrWA0nk4S+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1SW3HAAAA3gAAAA8AAAAAAAAAAAAAAAAAmAIAAGRy&#10;cy9kb3ducmV2LnhtbFBLBQYAAAAABAAEAPUAAACMAwAAAAA=&#10;" filled="f" stroked="f">
                  <v:textbox inset="0,0,0,0">
                    <w:txbxContent>
                      <w:p w:rsidR="00EE13F6" w:rsidRDefault="002E5BC4">
                        <w:r>
                          <w:rPr>
                            <w:rFonts w:ascii="Courier New" w:eastAsia="Courier New" w:hAnsi="Courier New" w:cs="Courier New"/>
                            <w:b/>
                            <w:w w:val="91"/>
                            <w:sz w:val="30"/>
                          </w:rPr>
                          <w:t>Applied</w:t>
                        </w:r>
                        <w:r>
                          <w:rPr>
                            <w:rFonts w:ascii="Courier New" w:eastAsia="Courier New" w:hAnsi="Courier New" w:cs="Courier New"/>
                            <w:b/>
                            <w:spacing w:val="-102"/>
                            <w:w w:val="91"/>
                            <w:sz w:val="30"/>
                          </w:rPr>
                          <w:t xml:space="preserve"> </w:t>
                        </w:r>
                        <w:r>
                          <w:rPr>
                            <w:rFonts w:ascii="Courier New" w:eastAsia="Courier New" w:hAnsi="Courier New" w:cs="Courier New"/>
                            <w:b/>
                            <w:w w:val="91"/>
                            <w:sz w:val="30"/>
                          </w:rPr>
                          <w:t>Economics</w:t>
                        </w:r>
                      </w:p>
                    </w:txbxContent>
                  </v:textbox>
                </v:rect>
                <v:rect id="Rectangle 23712" o:spid="_x0000_s1892" style="position:absolute;left:13502;top:14627;width:39766;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tQccA&#10;AADeAAAADwAAAGRycy9kb3ducmV2LnhtbESPW2vCQBSE34X+h+UUfNONEbxEV5G2oo9eCurbIXtM&#10;QrNnQ3Y1sb++Kwh9HGbmG2a+bE0p7lS7wrKCQT8CQZxaXXCm4Pu47k1AOI+ssbRMCh7kYLl468wx&#10;0bbhPd0PPhMBwi5BBbn3VSKlS3My6Pq2Ig7e1dYGfZB1JnWNTYCbUsZRNJIGCw4LOVb0kVP6c7gZ&#10;BZtJtTpv7W+TlV+XzWl3mn4ep16p7nu7moHw1Pr/8Ku91Qri4XgQ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abUHHAAAA3gAAAA8AAAAAAAAAAAAAAAAAmAIAAGRy&#10;cy9kb3ducmV2LnhtbFBLBQYAAAAABAAEAPUAAACMAwAAAAA=&#10;" filled="f" stroked="f">
                  <v:textbox inset="0,0,0,0">
                    <w:txbxContent>
                      <w:p w:rsidR="00EE13F6" w:rsidRDefault="002E5BC4">
                        <w:r>
                          <w:rPr>
                            <w:rFonts w:ascii="Courier New" w:eastAsia="Courier New" w:hAnsi="Courier New" w:cs="Courier New"/>
                            <w:b/>
                            <w:w w:val="86"/>
                            <w:sz w:val="16"/>
                          </w:rPr>
                          <w:t>ISSN:</w:t>
                        </w:r>
                        <w:r>
                          <w:rPr>
                            <w:rFonts w:ascii="Courier New" w:eastAsia="Courier New" w:hAnsi="Courier New" w:cs="Courier New"/>
                            <w:b/>
                            <w:spacing w:val="-55"/>
                            <w:w w:val="86"/>
                            <w:sz w:val="16"/>
                          </w:rPr>
                          <w:t xml:space="preserve"> </w:t>
                        </w:r>
                        <w:r>
                          <w:rPr>
                            <w:rFonts w:ascii="Courier New" w:eastAsia="Courier New" w:hAnsi="Courier New" w:cs="Courier New"/>
                            <w:b/>
                            <w:w w:val="86"/>
                            <w:sz w:val="16"/>
                          </w:rPr>
                          <w:t>0003-6846</w:t>
                        </w:r>
                        <w:r>
                          <w:rPr>
                            <w:rFonts w:ascii="Courier New" w:eastAsia="Courier New" w:hAnsi="Courier New" w:cs="Courier New"/>
                            <w:b/>
                            <w:spacing w:val="-55"/>
                            <w:w w:val="86"/>
                            <w:sz w:val="16"/>
                          </w:rPr>
                          <w:t xml:space="preserve"> </w:t>
                        </w:r>
                        <w:r>
                          <w:rPr>
                            <w:rFonts w:ascii="Courier New" w:eastAsia="Courier New" w:hAnsi="Courier New" w:cs="Courier New"/>
                            <w:b/>
                            <w:w w:val="86"/>
                            <w:sz w:val="16"/>
                          </w:rPr>
                          <w:t>(Print)</w:t>
                        </w:r>
                        <w:r>
                          <w:rPr>
                            <w:rFonts w:ascii="Courier New" w:eastAsia="Courier New" w:hAnsi="Courier New" w:cs="Courier New"/>
                            <w:b/>
                            <w:spacing w:val="-55"/>
                            <w:w w:val="86"/>
                            <w:sz w:val="16"/>
                          </w:rPr>
                          <w:t xml:space="preserve"> </w:t>
                        </w:r>
                        <w:r>
                          <w:rPr>
                            <w:rFonts w:ascii="Courier New" w:eastAsia="Courier New" w:hAnsi="Courier New" w:cs="Courier New"/>
                            <w:b/>
                            <w:w w:val="86"/>
                            <w:sz w:val="16"/>
                          </w:rPr>
                          <w:t>1466-4283</w:t>
                        </w:r>
                        <w:r>
                          <w:rPr>
                            <w:rFonts w:ascii="Courier New" w:eastAsia="Courier New" w:hAnsi="Courier New" w:cs="Courier New"/>
                            <w:b/>
                            <w:spacing w:val="-55"/>
                            <w:w w:val="86"/>
                            <w:sz w:val="16"/>
                          </w:rPr>
                          <w:t xml:space="preserve"> </w:t>
                        </w:r>
                        <w:r>
                          <w:rPr>
                            <w:rFonts w:ascii="Courier New" w:eastAsia="Courier New" w:hAnsi="Courier New" w:cs="Courier New"/>
                            <w:b/>
                            <w:w w:val="86"/>
                            <w:sz w:val="16"/>
                          </w:rPr>
                          <w:t>(Online)</w:t>
                        </w:r>
                        <w:r>
                          <w:rPr>
                            <w:rFonts w:ascii="Courier New" w:eastAsia="Courier New" w:hAnsi="Courier New" w:cs="Courier New"/>
                            <w:b/>
                            <w:spacing w:val="-55"/>
                            <w:w w:val="86"/>
                            <w:sz w:val="16"/>
                          </w:rPr>
                          <w:t xml:space="preserve"> </w:t>
                        </w:r>
                        <w:r>
                          <w:rPr>
                            <w:rFonts w:ascii="Courier New" w:eastAsia="Courier New" w:hAnsi="Courier New" w:cs="Courier New"/>
                            <w:b/>
                            <w:w w:val="86"/>
                            <w:sz w:val="16"/>
                          </w:rPr>
                          <w:t>Journal</w:t>
                        </w:r>
                        <w:r>
                          <w:rPr>
                            <w:rFonts w:ascii="Courier New" w:eastAsia="Courier New" w:hAnsi="Courier New" w:cs="Courier New"/>
                            <w:b/>
                            <w:spacing w:val="-55"/>
                            <w:w w:val="86"/>
                            <w:sz w:val="16"/>
                          </w:rPr>
                          <w:t xml:space="preserve"> </w:t>
                        </w:r>
                        <w:r>
                          <w:rPr>
                            <w:rFonts w:ascii="Courier New" w:eastAsia="Courier New" w:hAnsi="Courier New" w:cs="Courier New"/>
                            <w:b/>
                            <w:w w:val="86"/>
                            <w:sz w:val="16"/>
                          </w:rPr>
                          <w:t>homepage:</w:t>
                        </w:r>
                      </w:p>
                    </w:txbxContent>
                  </v:textbox>
                </v:rect>
                <v:rect id="Rectangle 213447" o:spid="_x0000_s1893" style="position:absolute;left:43401;top:14627;width:35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Sr8gA&#10;AADfAAAADwAAAGRycy9kb3ducmV2LnhtbESPQWvCQBSE74L/YXlCb7rRitXoKmIVPdpYsL09ss8k&#10;mH0bslsT/fXdgtDjMDPfMItVa0pxo9oVlhUMBxEI4tTqgjMFn6ddfwrCeWSNpWVScCcHq2W3s8BY&#10;24Y/6Jb4TAQIuxgV5N5XsZQuzcmgG9iKOHgXWxv0QdaZ1DU2AW5KOYqiiTRYcFjIsaJNTuk1+TEK&#10;9tNq/XWwjyYrt9/78/E8ez/NvFIvvXY9B+Gp9f/hZ/ugFYyGr+PxG/z9C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RKvyAAAAN8AAAAPAAAAAAAAAAAAAAAAAJgCAABk&#10;cnMvZG93bnJldi54bWxQSwUGAAAAAAQABAD1AAAAjQMAAAAA&#10;" filled="f" stroked="f">
                  <v:textbox inset="0,0,0,0">
                    <w:txbxContent>
                      <w:p w:rsidR="00EE13F6" w:rsidRDefault="002E5BC4">
                        <w:hyperlink r:id="rId267">
                          <w:r>
                            <w:rPr>
                              <w:rFonts w:ascii="Courier New" w:eastAsia="Courier New" w:hAnsi="Courier New" w:cs="Courier New"/>
                              <w:b/>
                              <w:sz w:val="16"/>
                            </w:rPr>
                            <w:t xml:space="preserve"> </w:t>
                          </w:r>
                        </w:hyperlink>
                      </w:p>
                    </w:txbxContent>
                  </v:textbox>
                </v:rect>
                <v:rect id="Rectangle 213448" o:spid="_x0000_s1894" style="position:absolute;left:43664;top:14627;width:2472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G3cUA&#10;AADfAAAADwAAAGRycy9kb3ducmV2LnhtbERPy4rCMBTdC/5DuAOz01RHRKtRxAe6HKvgzO7SXNsy&#10;zU1poq1+/WQhuDyc93zZmlLcqXaFZQWDfgSCOLW64EzB+bTrTUA4j6yxtEwKHuRgueh25hhr2/CR&#10;7onPRAhhF6OC3PsqltKlORl0fVsRB+5qa4M+wDqTusYmhJtSDqNoLA0WHBpyrGidU/qX3IyC/aRa&#10;/Rzss8nK7e/+8n2Zbk5Tr9TnR7uagfDU+rf45T5oBcPB12gUBoc/4Q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obdxQAAAN8AAAAPAAAAAAAAAAAAAAAAAJgCAABkcnMv&#10;ZG93bnJldi54bWxQSwUGAAAAAAQABAD1AAAAigMAAAAA&#10;" filled="f" stroked="f">
                  <v:textbox inset="0,0,0,0">
                    <w:txbxContent>
                      <w:p w:rsidR="00EE13F6" w:rsidRDefault="002E5BC4">
                        <w:r>
                          <w:rPr>
                            <w:rFonts w:ascii="Courier New" w:eastAsia="Courier New" w:hAnsi="Courier New" w:cs="Courier New"/>
                            <w:b/>
                            <w:w w:val="84"/>
                            <w:sz w:val="16"/>
                            <w:u w:val="single" w:color="000000"/>
                          </w:rPr>
                          <w:t>http://www.tandfonline.com/loi/raec2</w:t>
                        </w:r>
                      </w:p>
                    </w:txbxContent>
                  </v:textbox>
                </v:rect>
                <v:rect id="Rectangle 213446" o:spid="_x0000_s1895" style="position:absolute;left:62251;top:14627;width:77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3NMgA&#10;AADfAAAADwAAAGRycy9kb3ducmV2LnhtbESPS4vCQBCE78L+h6EFbzrxgWjWUWRV9Ohjwd1bk+lN&#10;gpmekBlN9Nc7grDHoqq+omaLxhTiRpXLLSvo9yIQxInVOacKvk+b7gSE88gaC8uk4E4OFvOP1gxj&#10;bWs+0O3oUxEg7GJUkHlfxlK6JCODrmdL4uD92cqgD7JKpa6wDnBTyEEUjaXBnMNChiV9ZZRcjlej&#10;YDsplz87+6jTYv27Pe/P09Vp6pXqtJvlJwhPjf8Pv9s7rWDQH45GY3j9CV9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Vbc0yAAAAN8AAAAPAAAAAAAAAAAAAAAAAJgCAABk&#10;cnMvZG93bnJldi54bWxQSwUGAAAAAAQABAD1AAAAjQMAAAAA&#10;" filled="f" stroked="f">
                  <v:textbox inset="0,0,0,0">
                    <w:txbxContent>
                      <w:p w:rsidR="00EE13F6" w:rsidRDefault="002E5BC4">
                        <w:hyperlink r:id="rId268">
                          <w:r>
                            <w:rPr>
                              <w:rFonts w:ascii="Courier New" w:eastAsia="Courier New" w:hAnsi="Courier New" w:cs="Courier New"/>
                              <w:b/>
                              <w:w w:val="94"/>
                              <w:sz w:val="16"/>
                              <w:u w:val="single" w:color="000000"/>
                            </w:rPr>
                            <w:t>0</w:t>
                          </w:r>
                        </w:hyperlink>
                      </w:p>
                    </w:txbxContent>
                  </v:textbox>
                </v:rect>
                <v:shape id="Shape 23663" o:spid="_x0000_s1896" style="position:absolute;left:65928;top:16455;width:9144;height:0;visibility:visible;mso-wrap-style:square;v-text-anchor:top" coordsize="9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GYMgA&#10;AADeAAAADwAAAGRycy9kb3ducmV2LnhtbESP3WrCQBSE7wXfYTlCb0Q3/jRKdJVSWiiKF0Yf4JA9&#10;JtHs2ZDdaNqn7xaEXg4z3wyz3namEndqXGlZwWQcgSDOrC45V3A+fY6WIJxH1lhZJgXf5GC76ffW&#10;mGj74CPdU5+LUMIuQQWF93UipcsKMujGtiYO3sU2Bn2QTS51g49Qbio5jaJYGiw5LBRY03tB2S1t&#10;jYLpx+Gn2g3bdHjI8uvrbbmYt9e9Ui+D7m0FwlPn/8NP+ksHbhbHM/i7E6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WkZgyAAAAN4AAAAPAAAAAAAAAAAAAAAAAJgCAABk&#10;cnMvZG93bnJldi54bWxQSwUGAAAAAAQABAD1AAAAjQMAAAAA&#10;" path="m,l914400,e" filled="f" strokecolor="#132475" strokeweight="2pt">
                  <v:stroke miterlimit="83231f" joinstyle="miter"/>
                  <v:path arrowok="t" textboxrect="0,0,914400,0"/>
                </v:shape>
                <v:shape id="Picture 23664" o:spid="_x0000_s1897" type="#_x0000_t75" style="position:absolute;left:65928;width:9144;height:2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20aPIAAAA3gAAAA8AAABkcnMvZG93bnJldi54bWxEj9FKAzEURN8F/yHcgi9is9a62G3TIoVK&#10;X4ra9gMum9vN0s1NTOJ2+/dGEHwcZuYMs1gNthM9hdg6VvA4LkAQ10633Cg4HjYPLyBiQtbYOSYF&#10;V4qwWt7eLLDS7sKf1O9TIzKEY4UKTEq+kjLWhizGsfPE2Tu5YDFlGRqpA14y3HZyUhSltNhyXjDo&#10;aW2oPu+/rYLzzAT/UR/X9wf/9bzbvPXv22uv1N1oeJ2DSDSk//Bfe6sVTJ7Kcgq/d/IVkM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NtGjyAAAAN4AAAAPAAAAAAAAAAAA&#10;AAAAAJ8CAABkcnMvZG93bnJldi54bWxQSwUGAAAAAAQABAD3AAAAlAMAAAAA&#10;">
                  <v:imagedata r:id="rId269" o:title=""/>
                </v:shape>
                <w10:anchorlock/>
              </v:group>
            </w:pict>
          </mc:Fallback>
        </mc:AlternateContent>
      </w:r>
    </w:p>
    <w:p w:rsidR="00EE13F6" w:rsidRDefault="002E5BC4">
      <w:pPr>
        <w:spacing w:after="349" w:line="247" w:lineRule="auto"/>
      </w:pPr>
      <w:r>
        <w:rPr>
          <w:rFonts w:ascii="Courier New" w:eastAsia="Courier New" w:hAnsi="Courier New" w:cs="Courier New"/>
          <w:b/>
          <w:sz w:val="36"/>
        </w:rPr>
        <w:t>Study of the effect of a Financial Transaction Tax on the corporate cost of capital</w:t>
      </w:r>
    </w:p>
    <w:p w:rsidR="00EE13F6" w:rsidRDefault="002E5BC4">
      <w:pPr>
        <w:pStyle w:val="Heading2"/>
        <w:spacing w:after="411" w:line="259" w:lineRule="auto"/>
        <w:ind w:left="0" w:firstLine="0"/>
      </w:pPr>
      <w:r>
        <w:rPr>
          <w:rFonts w:ascii="Courier New" w:eastAsia="Courier New" w:hAnsi="Courier New" w:cs="Courier New"/>
        </w:rPr>
        <w:t>Jean Pierre Fraichot</w:t>
      </w:r>
    </w:p>
    <w:p w:rsidR="00EE13F6" w:rsidRDefault="002E5BC4">
      <w:pPr>
        <w:spacing w:after="501" w:line="300" w:lineRule="auto"/>
        <w:jc w:val="both"/>
      </w:pPr>
      <w:r>
        <w:rPr>
          <w:noProof/>
        </w:rPr>
        <mc:AlternateContent>
          <mc:Choice Requires="wpg">
            <w:drawing>
              <wp:anchor distT="0" distB="0" distL="114300" distR="114300" simplePos="0" relativeHeight="251669504" behindDoc="0" locked="0" layoutInCell="1" allowOverlap="1">
                <wp:simplePos x="0" y="0"/>
                <wp:positionH relativeFrom="page">
                  <wp:posOffset>176530</wp:posOffset>
                </wp:positionH>
                <wp:positionV relativeFrom="page">
                  <wp:posOffset>10174477</wp:posOffset>
                </wp:positionV>
                <wp:extent cx="7697851" cy="279401"/>
                <wp:effectExtent l="0" t="0" r="0" b="0"/>
                <wp:wrapTopAndBottom/>
                <wp:docPr id="213499" name="Group 213499"/>
                <wp:cNvGraphicFramePr/>
                <a:graphic xmlns:a="http://schemas.openxmlformats.org/drawingml/2006/main">
                  <a:graphicData uri="http://schemas.microsoft.com/office/word/2010/wordprocessingGroup">
                    <wpg:wgp>
                      <wpg:cNvGrpSpPr/>
                      <wpg:grpSpPr>
                        <a:xfrm>
                          <a:off x="0" y="0"/>
                          <a:ext cx="7697851" cy="279401"/>
                          <a:chOff x="0" y="0"/>
                          <a:chExt cx="7697851" cy="279401"/>
                        </a:xfrm>
                      </wpg:grpSpPr>
                      <wps:wsp>
                        <wps:cNvPr id="23645" name="Shape 23645"/>
                        <wps:cNvSpPr/>
                        <wps:spPr>
                          <a:xfrm>
                            <a:off x="6350" y="0"/>
                            <a:ext cx="7683499" cy="279400"/>
                          </a:xfrm>
                          <a:custGeom>
                            <a:avLst/>
                            <a:gdLst/>
                            <a:ahLst/>
                            <a:cxnLst/>
                            <a:rect l="0" t="0" r="0" b="0"/>
                            <a:pathLst>
                              <a:path w="7683499" h="279400">
                                <a:moveTo>
                                  <a:pt x="121539" y="0"/>
                                </a:moveTo>
                                <a:lnTo>
                                  <a:pt x="7592948" y="0"/>
                                </a:lnTo>
                                <a:lnTo>
                                  <a:pt x="7566786" y="127"/>
                                </a:lnTo>
                                <a:cubicBezTo>
                                  <a:pt x="7626477" y="12954"/>
                                  <a:pt x="7674229" y="59944"/>
                                  <a:pt x="7683499" y="121158"/>
                                </a:cubicBezTo>
                                <a:lnTo>
                                  <a:pt x="7683499" y="189611"/>
                                </a:lnTo>
                                <a:lnTo>
                                  <a:pt x="7683372" y="163068"/>
                                </a:lnTo>
                                <a:cubicBezTo>
                                  <a:pt x="7670292" y="222758"/>
                                  <a:pt x="7623174" y="270510"/>
                                  <a:pt x="7561833" y="279400"/>
                                </a:cubicBezTo>
                                <a:lnTo>
                                  <a:pt x="89281" y="279400"/>
                                </a:lnTo>
                                <a:lnTo>
                                  <a:pt x="116459" y="279273"/>
                                </a:lnTo>
                                <a:cubicBezTo>
                                  <a:pt x="56769" y="266319"/>
                                  <a:pt x="9271" y="219329"/>
                                  <a:pt x="0" y="158369"/>
                                </a:cubicBezTo>
                                <a:lnTo>
                                  <a:pt x="0" y="90424"/>
                                </a:lnTo>
                                <a:lnTo>
                                  <a:pt x="127" y="116332"/>
                                </a:lnTo>
                                <a:cubicBezTo>
                                  <a:pt x="13208" y="56642"/>
                                  <a:pt x="60325" y="8890"/>
                                  <a:pt x="121539" y="0"/>
                                </a:cubicBezTo>
                                <a:close/>
                              </a:path>
                            </a:pathLst>
                          </a:custGeom>
                          <a:ln w="0" cap="flat">
                            <a:miter lim="127000"/>
                          </a:ln>
                        </wps:spPr>
                        <wps:style>
                          <a:lnRef idx="0">
                            <a:srgbClr val="000000">
                              <a:alpha val="0"/>
                            </a:srgbClr>
                          </a:lnRef>
                          <a:fillRef idx="1">
                            <a:srgbClr val="030303"/>
                          </a:fillRef>
                          <a:effectRef idx="0">
                            <a:scrgbClr r="0" g="0" b="0"/>
                          </a:effectRef>
                          <a:fontRef idx="none"/>
                        </wps:style>
                        <wps:bodyPr/>
                      </wps:wsp>
                      <wps:wsp>
                        <wps:cNvPr id="23646" name="Shape 23646"/>
                        <wps:cNvSpPr/>
                        <wps:spPr>
                          <a:xfrm>
                            <a:off x="7573137" y="0"/>
                            <a:ext cx="116713" cy="121158"/>
                          </a:xfrm>
                          <a:custGeom>
                            <a:avLst/>
                            <a:gdLst/>
                            <a:ahLst/>
                            <a:cxnLst/>
                            <a:rect l="0" t="0" r="0" b="0"/>
                            <a:pathLst>
                              <a:path w="116713" h="121158">
                                <a:moveTo>
                                  <a:pt x="26162" y="0"/>
                                </a:moveTo>
                                <a:lnTo>
                                  <a:pt x="116713" y="0"/>
                                </a:lnTo>
                                <a:lnTo>
                                  <a:pt x="116713" y="121158"/>
                                </a:lnTo>
                                <a:cubicBezTo>
                                  <a:pt x="107442" y="59944"/>
                                  <a:pt x="59690" y="12954"/>
                                  <a:pt x="0" y="127"/>
                                </a:cubicBezTo>
                                <a:lnTo>
                                  <a:pt x="261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47" name="Shape 23647"/>
                        <wps:cNvSpPr/>
                        <wps:spPr>
                          <a:xfrm>
                            <a:off x="0" y="7493"/>
                            <a:ext cx="7697851" cy="269113"/>
                          </a:xfrm>
                          <a:custGeom>
                            <a:avLst/>
                            <a:gdLst/>
                            <a:ahLst/>
                            <a:cxnLst/>
                            <a:rect l="0" t="0" r="0" b="0"/>
                            <a:pathLst>
                              <a:path w="7697851" h="269113">
                                <a:moveTo>
                                  <a:pt x="171783" y="4952"/>
                                </a:moveTo>
                                <a:cubicBezTo>
                                  <a:pt x="188531" y="4890"/>
                                  <a:pt x="205295" y="5334"/>
                                  <a:pt x="221996" y="5207"/>
                                </a:cubicBezTo>
                                <a:cubicBezTo>
                                  <a:pt x="2660523" y="5207"/>
                                  <a:pt x="5099177" y="5207"/>
                                  <a:pt x="7537704" y="5207"/>
                                </a:cubicBezTo>
                                <a:cubicBezTo>
                                  <a:pt x="7598029" y="0"/>
                                  <a:pt x="7658481" y="40513"/>
                                  <a:pt x="7673085" y="99949"/>
                                </a:cubicBezTo>
                                <a:cubicBezTo>
                                  <a:pt x="7697851" y="181864"/>
                                  <a:pt x="7622285" y="269113"/>
                                  <a:pt x="7537831" y="259207"/>
                                </a:cubicBezTo>
                                <a:cubicBezTo>
                                  <a:pt x="5078350" y="259207"/>
                                  <a:pt x="2618740" y="259207"/>
                                  <a:pt x="159258" y="259207"/>
                                </a:cubicBezTo>
                                <a:cubicBezTo>
                                  <a:pt x="101473" y="264160"/>
                                  <a:pt x="42672" y="228092"/>
                                  <a:pt x="25400" y="171958"/>
                                </a:cubicBezTo>
                                <a:cubicBezTo>
                                  <a:pt x="0" y="102743"/>
                                  <a:pt x="48895" y="19431"/>
                                  <a:pt x="121666" y="7747"/>
                                </a:cubicBezTo>
                                <a:cubicBezTo>
                                  <a:pt x="138303" y="5587"/>
                                  <a:pt x="155035" y="5016"/>
                                  <a:pt x="171783" y="495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48" name="Shape 23648"/>
                        <wps:cNvSpPr/>
                        <wps:spPr>
                          <a:xfrm>
                            <a:off x="6350" y="158369"/>
                            <a:ext cx="116459" cy="121031"/>
                          </a:xfrm>
                          <a:custGeom>
                            <a:avLst/>
                            <a:gdLst/>
                            <a:ahLst/>
                            <a:cxnLst/>
                            <a:rect l="0" t="0" r="0" b="0"/>
                            <a:pathLst>
                              <a:path w="116459" h="121031">
                                <a:moveTo>
                                  <a:pt x="0" y="0"/>
                                </a:moveTo>
                                <a:cubicBezTo>
                                  <a:pt x="9271" y="60960"/>
                                  <a:pt x="56769" y="107950"/>
                                  <a:pt x="116459" y="120904"/>
                                </a:cubicBezTo>
                                <a:lnTo>
                                  <a:pt x="89284" y="121031"/>
                                </a:lnTo>
                                <a:lnTo>
                                  <a:pt x="0" y="12103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49" name="Shape 23649"/>
                        <wps:cNvSpPr/>
                        <wps:spPr>
                          <a:xfrm>
                            <a:off x="7568184" y="163068"/>
                            <a:ext cx="121666" cy="116332"/>
                          </a:xfrm>
                          <a:custGeom>
                            <a:avLst/>
                            <a:gdLst/>
                            <a:ahLst/>
                            <a:cxnLst/>
                            <a:rect l="0" t="0" r="0" b="0"/>
                            <a:pathLst>
                              <a:path w="121666" h="116332">
                                <a:moveTo>
                                  <a:pt x="121539" y="0"/>
                                </a:moveTo>
                                <a:lnTo>
                                  <a:pt x="121666" y="26543"/>
                                </a:lnTo>
                                <a:lnTo>
                                  <a:pt x="121666" y="116332"/>
                                </a:lnTo>
                                <a:lnTo>
                                  <a:pt x="0" y="116332"/>
                                </a:lnTo>
                                <a:cubicBezTo>
                                  <a:pt x="61341" y="107442"/>
                                  <a:pt x="108458" y="59690"/>
                                  <a:pt x="1215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50" name="Rectangle 23650"/>
                        <wps:cNvSpPr/>
                        <wps:spPr>
                          <a:xfrm>
                            <a:off x="133350" y="46499"/>
                            <a:ext cx="993596" cy="207022"/>
                          </a:xfrm>
                          <a:prstGeom prst="rect">
                            <a:avLst/>
                          </a:prstGeom>
                          <a:ln>
                            <a:noFill/>
                          </a:ln>
                        </wps:spPr>
                        <wps:txbx>
                          <w:txbxContent>
                            <w:p w:rsidR="00EE13F6" w:rsidRDefault="002E5BC4">
                              <w:r>
                                <w:rPr>
                                  <w:rFonts w:ascii="Courier New" w:eastAsia="Courier New" w:hAnsi="Courier New" w:cs="Courier New"/>
                                  <w:b/>
                                  <w:w w:val="95"/>
                                  <w:sz w:val="18"/>
                                </w:rPr>
                                <w:t>Download</w:t>
                              </w:r>
                              <w:r>
                                <w:rPr>
                                  <w:rFonts w:ascii="Courier New" w:eastAsia="Courier New" w:hAnsi="Courier New" w:cs="Courier New"/>
                                  <w:b/>
                                  <w:spacing w:val="-61"/>
                                  <w:w w:val="95"/>
                                  <w:sz w:val="18"/>
                                </w:rPr>
                                <w:t xml:space="preserve"> </w:t>
                              </w:r>
                              <w:r>
                                <w:rPr>
                                  <w:rFonts w:ascii="Courier New" w:eastAsia="Courier New" w:hAnsi="Courier New" w:cs="Courier New"/>
                                  <w:b/>
                                  <w:w w:val="95"/>
                                  <w:sz w:val="18"/>
                                </w:rPr>
                                <w:t>by:</w:t>
                              </w:r>
                            </w:p>
                          </w:txbxContent>
                        </wps:txbx>
                        <wps:bodyPr horzOverflow="overflow" vert="horz" lIns="0" tIns="0" rIns="0" bIns="0" rtlCol="0">
                          <a:noAutofit/>
                        </wps:bodyPr>
                      </wps:wsp>
                      <wps:wsp>
                        <wps:cNvPr id="23651" name="Rectangle 23651"/>
                        <wps:cNvSpPr/>
                        <wps:spPr>
                          <a:xfrm>
                            <a:off x="880415" y="46499"/>
                            <a:ext cx="1040114" cy="207022"/>
                          </a:xfrm>
                          <a:prstGeom prst="rect">
                            <a:avLst/>
                          </a:prstGeom>
                          <a:ln>
                            <a:noFill/>
                          </a:ln>
                        </wps:spPr>
                        <wps:txbx>
                          <w:txbxContent>
                            <w:p w:rsidR="00EE13F6" w:rsidRDefault="002E5BC4">
                              <w:r>
                                <w:rPr>
                                  <w:rFonts w:ascii="Courier New" w:eastAsia="Courier New" w:hAnsi="Courier New" w:cs="Courier New"/>
                                  <w:spacing w:val="-61"/>
                                  <w:w w:val="74"/>
                                  <w:sz w:val="18"/>
                                </w:rPr>
                                <w:t xml:space="preserve"> </w:t>
                              </w:r>
                              <w:r>
                                <w:rPr>
                                  <w:rFonts w:ascii="Courier New" w:eastAsia="Courier New" w:hAnsi="Courier New" w:cs="Courier New"/>
                                  <w:w w:val="74"/>
                                  <w:sz w:val="18"/>
                                </w:rPr>
                                <w:t>[Jean</w:t>
                              </w:r>
                              <w:r>
                                <w:rPr>
                                  <w:rFonts w:ascii="Courier New" w:eastAsia="Courier New" w:hAnsi="Courier New" w:cs="Courier New"/>
                                  <w:spacing w:val="-61"/>
                                  <w:w w:val="74"/>
                                  <w:sz w:val="18"/>
                                </w:rPr>
                                <w:t xml:space="preserve"> </w:t>
                              </w:r>
                              <w:r>
                                <w:rPr>
                                  <w:rFonts w:ascii="Courier New" w:eastAsia="Courier New" w:hAnsi="Courier New" w:cs="Courier New"/>
                                  <w:w w:val="74"/>
                                  <w:sz w:val="18"/>
                                </w:rPr>
                                <w:t>fraichot]</w:t>
                              </w:r>
                            </w:p>
                          </w:txbxContent>
                        </wps:txbx>
                        <wps:bodyPr horzOverflow="overflow" vert="horz" lIns="0" tIns="0" rIns="0" bIns="0" rtlCol="0">
                          <a:noAutofit/>
                        </wps:bodyPr>
                      </wps:wsp>
                      <wps:wsp>
                        <wps:cNvPr id="23652" name="Rectangle 23652"/>
                        <wps:cNvSpPr/>
                        <wps:spPr>
                          <a:xfrm>
                            <a:off x="5739130" y="46499"/>
                            <a:ext cx="388561" cy="207022"/>
                          </a:xfrm>
                          <a:prstGeom prst="rect">
                            <a:avLst/>
                          </a:prstGeom>
                          <a:ln>
                            <a:noFill/>
                          </a:ln>
                        </wps:spPr>
                        <wps:txbx>
                          <w:txbxContent>
                            <w:p w:rsidR="00EE13F6" w:rsidRDefault="002E5BC4">
                              <w:r>
                                <w:rPr>
                                  <w:rFonts w:ascii="Courier New" w:eastAsia="Courier New" w:hAnsi="Courier New" w:cs="Courier New"/>
                                  <w:b/>
                                  <w:w w:val="85"/>
                                  <w:sz w:val="18"/>
                                </w:rPr>
                                <w:t>Date:</w:t>
                              </w:r>
                            </w:p>
                          </w:txbxContent>
                        </wps:txbx>
                        <wps:bodyPr horzOverflow="overflow" vert="horz" lIns="0" tIns="0" rIns="0" bIns="0" rtlCol="0">
                          <a:noAutofit/>
                        </wps:bodyPr>
                      </wps:wsp>
                      <wps:wsp>
                        <wps:cNvPr id="23653" name="Rectangle 23653"/>
                        <wps:cNvSpPr/>
                        <wps:spPr>
                          <a:xfrm>
                            <a:off x="6031281" y="46499"/>
                            <a:ext cx="2115041" cy="207022"/>
                          </a:xfrm>
                          <a:prstGeom prst="rect">
                            <a:avLst/>
                          </a:prstGeom>
                          <a:ln>
                            <a:noFill/>
                          </a:ln>
                        </wps:spPr>
                        <wps:txbx>
                          <w:txbxContent>
                            <w:p w:rsidR="00EE13F6" w:rsidRDefault="002E5BC4">
                              <w:r>
                                <w:rPr>
                                  <w:rFonts w:ascii="Courier New" w:eastAsia="Courier New" w:hAnsi="Courier New" w:cs="Courier New"/>
                                  <w:spacing w:val="-61"/>
                                  <w:w w:val="87"/>
                                  <w:sz w:val="18"/>
                                </w:rPr>
                                <w:t xml:space="preserve"> </w:t>
                              </w:r>
                              <w:r>
                                <w:rPr>
                                  <w:rFonts w:ascii="Courier New" w:eastAsia="Courier New" w:hAnsi="Courier New" w:cs="Courier New"/>
                                  <w:w w:val="87"/>
                                  <w:sz w:val="18"/>
                                </w:rPr>
                                <w:t>19</w:t>
                              </w:r>
                              <w:r>
                                <w:rPr>
                                  <w:rFonts w:ascii="Courier New" w:eastAsia="Courier New" w:hAnsi="Courier New" w:cs="Courier New"/>
                                  <w:spacing w:val="-61"/>
                                  <w:w w:val="87"/>
                                  <w:sz w:val="18"/>
                                </w:rPr>
                                <w:t xml:space="preserve"> </w:t>
                              </w:r>
                              <w:r>
                                <w:rPr>
                                  <w:rFonts w:ascii="Courier New" w:eastAsia="Courier New" w:hAnsi="Courier New" w:cs="Courier New"/>
                                  <w:w w:val="87"/>
                                  <w:sz w:val="18"/>
                                </w:rPr>
                                <w:t>September</w:t>
                              </w:r>
                              <w:r>
                                <w:rPr>
                                  <w:rFonts w:ascii="Courier New" w:eastAsia="Courier New" w:hAnsi="Courier New" w:cs="Courier New"/>
                                  <w:spacing w:val="-61"/>
                                  <w:w w:val="87"/>
                                  <w:sz w:val="18"/>
                                </w:rPr>
                                <w:t xml:space="preserve"> </w:t>
                              </w:r>
                              <w:r>
                                <w:rPr>
                                  <w:rFonts w:ascii="Courier New" w:eastAsia="Courier New" w:hAnsi="Courier New" w:cs="Courier New"/>
                                  <w:w w:val="87"/>
                                  <w:sz w:val="18"/>
                                </w:rPr>
                                <w:t>2017,</w:t>
                              </w:r>
                              <w:r>
                                <w:rPr>
                                  <w:rFonts w:ascii="Courier New" w:eastAsia="Courier New" w:hAnsi="Courier New" w:cs="Courier New"/>
                                  <w:spacing w:val="-61"/>
                                  <w:w w:val="87"/>
                                  <w:sz w:val="18"/>
                                </w:rPr>
                                <w:t xml:space="preserve"> </w:t>
                              </w:r>
                              <w:r>
                                <w:rPr>
                                  <w:rFonts w:ascii="Courier New" w:eastAsia="Courier New" w:hAnsi="Courier New" w:cs="Courier New"/>
                                  <w:w w:val="87"/>
                                  <w:sz w:val="18"/>
                                </w:rPr>
                                <w:t>At:</w:t>
                              </w:r>
                              <w:r>
                                <w:rPr>
                                  <w:rFonts w:ascii="Courier New" w:eastAsia="Courier New" w:hAnsi="Courier New" w:cs="Courier New"/>
                                  <w:spacing w:val="-61"/>
                                  <w:w w:val="87"/>
                                  <w:sz w:val="18"/>
                                </w:rPr>
                                <w:t xml:space="preserve"> </w:t>
                              </w:r>
                              <w:r>
                                <w:rPr>
                                  <w:rFonts w:ascii="Courier New" w:eastAsia="Courier New" w:hAnsi="Courier New" w:cs="Courier New"/>
                                  <w:w w:val="87"/>
                                  <w:sz w:val="18"/>
                                </w:rPr>
                                <w:t>02:17</w:t>
                              </w:r>
                            </w:p>
                          </w:txbxContent>
                        </wps:txbx>
                        <wps:bodyPr horzOverflow="overflow" vert="horz" lIns="0" tIns="0" rIns="0" bIns="0" rtlCol="0">
                          <a:noAutofit/>
                        </wps:bodyPr>
                      </wps:wsp>
                    </wpg:wgp>
                  </a:graphicData>
                </a:graphic>
              </wp:anchor>
            </w:drawing>
          </mc:Choice>
          <mc:Fallback>
            <w:pict>
              <v:group id="Group 213499" o:spid="_x0000_s1898" style="position:absolute;left:0;text-align:left;margin-left:13.9pt;margin-top:801.15pt;width:606.15pt;height:22pt;z-index:251669504;mso-position-horizontal-relative:page;mso-position-vertical-relative:page" coordsize="7697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">
                <v:shape id="Shape 23645" o:spid="_x0000_s1899" style="position:absolute;left:63;width:76835;height:2794;visibility:visible;mso-wrap-style:square;v-text-anchor:top" coordsize="7683499,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KE8YA&#10;AADeAAAADwAAAGRycy9kb3ducmV2LnhtbESPS2vDMBCE74X8B7GB3ho5afNyLIdSKPRUyOPg42Jt&#10;bCfWyrFUP/59VSjkOMzMN0yyH0wtOmpdZVnBfBaBIM6trrhQcD59vmxAOI+ssbZMCkZysE8nTwnG&#10;2vZ8oO7oCxEg7GJUUHrfxFK6vCSDbmYb4uBdbGvQB9kWUrfYB7ip5SKKVtJgxWGhxIY+Sspvxx+j&#10;wOozf2fXYsy6Nbr+sK2y+3JU6nk6vO9AeBr8I/zf/tIKFq+rtyX83QlX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KE8YAAADeAAAADwAAAAAAAAAAAAAAAACYAgAAZHJz&#10;L2Rvd25yZXYueG1sUEsFBgAAAAAEAAQA9QAAAIsDAAAAAA==&#10;" path="m121539,l7592948,r-26162,127c7626477,12954,7674229,59944,7683499,121158r,68453l7683372,163068v-13080,59690,-60198,107442,-121539,116332l89281,279400r27178,-127c56769,266319,9271,219329,,158369l,90424r127,25908c13208,56642,60325,8890,121539,xe" fillcolor="#030303" stroked="f" strokeweight="0">
                  <v:stroke miterlimit="83231f" joinstyle="miter"/>
                  <v:path arrowok="t" textboxrect="0,0,7683499,279400"/>
                </v:shape>
                <v:shape id="Shape 23646" o:spid="_x0000_s1900" style="position:absolute;left:75731;width:1167;height:1211;visibility:visible;mso-wrap-style:square;v-text-anchor:top" coordsize="116713,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7lX8UA&#10;AADeAAAADwAAAGRycy9kb3ducmV2LnhtbESPQWsCMRSE7wX/Q3gFbzWrlkW3RpGC4qE9uPoDHpvX&#10;3aWbl5ik7vrvjSD0OMzMN8xqM5hOXMmH1rKC6SQDQVxZ3XKt4HzavS1AhIissbNMCm4UYLMevayw&#10;0LbnI13LWIsE4VCggiZGV0gZqoYMhol1xMn7sd5gTNLXUnvsE9x0cpZluTTYclpo0NFnQ9Vv+WcU&#10;uPxQ9Yul/uq/90dXXtBv5dQrNX4dth8gIg3xP/xsH7SC2Tx/z+FxJ1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uVfxQAAAN4AAAAPAAAAAAAAAAAAAAAAAJgCAABkcnMv&#10;ZG93bnJldi54bWxQSwUGAAAAAAQABAD1AAAAigMAAAAA&#10;" path="m26162,r90551,l116713,121158c107442,59944,59690,12954,,127l26162,xe" stroked="f" strokeweight="0">
                  <v:stroke miterlimit="83231f" joinstyle="miter"/>
                  <v:path arrowok="t" textboxrect="0,0,116713,121158"/>
                </v:shape>
                <v:shape id="Shape 23647" o:spid="_x0000_s1901" style="position:absolute;top:74;width:76978;height:2692;visibility:visible;mso-wrap-style:square;v-text-anchor:top" coordsize="7697851,26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Z1sIA&#10;AADeAAAADwAAAGRycy9kb3ducmV2LnhtbESPS4vCMBSF9wP+h3AFd2OqM/ioRhFhZMCVVVxfmmsb&#10;bG5Kk9b6783AgMvDeXyc9ba3leio8caxgsk4AUGcO224UHA5/3wuQPiArLFyTAqe5GG7GXysMdXu&#10;wSfqslCIOMI+RQVlCHUqpc9LsujHriaO3s01FkOUTSF1g484bis5TZKZtGg4EkqsaV9Sfs9aGyGX&#10;40F3hq51e1qipyWZvG+VGg373QpEoD68w//tX61g+jX7nsPfnXgF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FnWwgAAAN4AAAAPAAAAAAAAAAAAAAAAAJgCAABkcnMvZG93&#10;bnJldi54bWxQSwUGAAAAAAQABAD1AAAAhwMAAAAA&#10;" path="m171783,4952v16748,-62,33512,382,50213,255c2660523,5207,5099177,5207,7537704,5207,7598029,,7658481,40513,7673085,99949v24766,81915,-50800,169164,-135254,159258c5078350,259207,2618740,259207,159258,259207,101473,264160,42672,228092,25400,171958,,102743,48895,19431,121666,7747,138303,5587,155035,5016,171783,4952xe" stroked="f" strokeweight="0">
                  <v:stroke miterlimit="83231f" joinstyle="miter"/>
                  <v:path arrowok="t" textboxrect="0,0,7697851,269113"/>
                </v:shape>
                <v:shape id="Shape 23648" o:spid="_x0000_s1902" style="position:absolute;left:63;top:1583;width:1165;height:1211;visibility:visible;mso-wrap-style:square;v-text-anchor:top" coordsize="116459,12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mRMUA&#10;AADeAAAADwAAAGRycy9kb3ducmV2LnhtbESPTUsDMRCG7wX/Q5iCtzbbD4qsTUsVRHtsFfQ4bKab&#10;pZtJSOJ2/ffOQfA4vPM+M892P/peDZRyF9jAYl6BIm6C7bg18PH+MnsAlQuyxT4wGfihDPvd3WSL&#10;tQ03PtFwLq0SCOcaDbhSYq11bhx5zPMQiSW7hOSxyJhabRPeBO57vayqjfbYsVxwGOnZUXM9f3uh&#10;rD7zKR2/3Fg1w/rVXY9PHKMx99Px8Aiq0Fj+l//ab9bAcrVZy7+iIyq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yZExQAAAN4AAAAPAAAAAAAAAAAAAAAAAJgCAABkcnMv&#10;ZG93bnJldi54bWxQSwUGAAAAAAQABAD1AAAAigMAAAAA&#10;" path="m,c9271,60960,56769,107950,116459,120904r-27175,127l,121031,,xe" stroked="f" strokeweight="0">
                  <v:stroke miterlimit="83231f" joinstyle="miter"/>
                  <v:path arrowok="t" textboxrect="0,0,116459,121031"/>
                </v:shape>
                <v:shape id="Shape 23649" o:spid="_x0000_s1903" style="position:absolute;left:75681;top:1630;width:1217;height:1164;visibility:visible;mso-wrap-style:square;v-text-anchor:top" coordsize="121666,11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Jw8cA&#10;AADeAAAADwAAAGRycy9kb3ducmV2LnhtbESP3WrCQBSE74W+w3IK3kjd+IO0qasUQQjohaY+wCF7&#10;mqTNnk13Nxrf3hUEL4eZ+YZZrnvTiDM5X1tWMBknIIgLq2suFZy+t2/vIHxA1thYJgVX8rBevQyW&#10;mGp74SOd81CKCGGfooIqhDaV0hcVGfRj2xJH78c6gyFKV0rt8BLhppHTJFlIgzXHhQpb2lRU/OWd&#10;UXA8/WZulGc8+d8n+WE375p+0yk1fO2/PkEE6sMz/GhnWsF0tph/wP1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ricPHAAAA3gAAAA8AAAAAAAAAAAAAAAAAmAIAAGRy&#10;cy9kb3ducmV2LnhtbFBLBQYAAAAABAAEAPUAAACMAwAAAAA=&#10;" path="m121539,r127,26543l121666,116332,,116332c61341,107442,108458,59690,121539,xe" stroked="f" strokeweight="0">
                  <v:stroke miterlimit="83231f" joinstyle="miter"/>
                  <v:path arrowok="t" textboxrect="0,0,121666,116332"/>
                </v:shape>
                <v:rect id="Rectangle 23650" o:spid="_x0000_s1904" style="position:absolute;left:1333;top:464;width:993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8MUA&#10;AADeAAAADwAAAGRycy9kb3ducmV2LnhtbESPy4rCMBSG94LvEI7gTlMVRTtGES/o0lFBZ3dozrRl&#10;mpPSRFt9erMQZvnz3/jmy8YU4kGVyy0rGPQjEMSJ1TmnCi7nXW8KwnlkjYVlUvAkB8tFuzXHWNua&#10;v+lx8qkII+xiVJB5X8ZSuiQjg65vS+Lg/drKoA+ySqWusA7jppDDKJpIgzmHhwxLWmeU/J3uRsF+&#10;Wq5uB/uq02L7s78er7PNeeaV6naa1RcIT43/D3/aB61gOJqMA0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DwxQAAAN4AAAAPAAAAAAAAAAAAAAAAAJgCAABkcnMv&#10;ZG93bnJldi54bWxQSwUGAAAAAAQABAD1AAAAigMAAAAA&#10;" filled="f" stroked="f">
                  <v:textbox inset="0,0,0,0">
                    <w:txbxContent>
                      <w:p w:rsidR="00EE13F6" w:rsidRDefault="002E5BC4">
                        <w:r>
                          <w:rPr>
                            <w:rFonts w:ascii="Courier New" w:eastAsia="Courier New" w:hAnsi="Courier New" w:cs="Courier New"/>
                            <w:b/>
                            <w:w w:val="95"/>
                            <w:sz w:val="18"/>
                          </w:rPr>
                          <w:t>Download</w:t>
                        </w:r>
                        <w:r>
                          <w:rPr>
                            <w:rFonts w:ascii="Courier New" w:eastAsia="Courier New" w:hAnsi="Courier New" w:cs="Courier New"/>
                            <w:b/>
                            <w:spacing w:val="-61"/>
                            <w:w w:val="95"/>
                            <w:sz w:val="18"/>
                          </w:rPr>
                          <w:t xml:space="preserve"> </w:t>
                        </w:r>
                        <w:r>
                          <w:rPr>
                            <w:rFonts w:ascii="Courier New" w:eastAsia="Courier New" w:hAnsi="Courier New" w:cs="Courier New"/>
                            <w:b/>
                            <w:w w:val="95"/>
                            <w:sz w:val="18"/>
                          </w:rPr>
                          <w:t>by:</w:t>
                        </w:r>
                      </w:p>
                    </w:txbxContent>
                  </v:textbox>
                </v:rect>
                <v:rect id="Rectangle 23651" o:spid="_x0000_s1905" style="position:absolute;left:8804;top:464;width:1040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Fa8YA&#10;AADeAAAADwAAAGRycy9kb3ducmV2LnhtbESPQYvCMBSE7wv+h/AEb2uqsqLVKKIuetxVQb09mmdb&#10;bF5KE2311xthYY/DzHzDTOeNKcSdKpdbVtDrRiCIE6tzThUc9t+fIxDOI2ssLJOCBzmYz1ofU4y1&#10;rfmX7jufigBhF6OCzPsyltIlGRl0XVsSB+9iK4M+yCqVusI6wE0h+1E0lAZzDgsZlrTMKLnubkbB&#10;ZlQuTlv7rNNifd4cf47j1X7sleq0m8UEhKfG/4f/2lutoD8YfvX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NFa8YAAADeAAAADwAAAAAAAAAAAAAAAACYAgAAZHJz&#10;L2Rvd25yZXYueG1sUEsFBgAAAAAEAAQA9QAAAIsDAAAAAA==&#10;" filled="f" stroked="f">
                  <v:textbox inset="0,0,0,0">
                    <w:txbxContent>
                      <w:p w:rsidR="00EE13F6" w:rsidRDefault="002E5BC4">
                        <w:r>
                          <w:rPr>
                            <w:rFonts w:ascii="Courier New" w:eastAsia="Courier New" w:hAnsi="Courier New" w:cs="Courier New"/>
                            <w:spacing w:val="-61"/>
                            <w:w w:val="74"/>
                            <w:sz w:val="18"/>
                          </w:rPr>
                          <w:t xml:space="preserve"> </w:t>
                        </w:r>
                        <w:r>
                          <w:rPr>
                            <w:rFonts w:ascii="Courier New" w:eastAsia="Courier New" w:hAnsi="Courier New" w:cs="Courier New"/>
                            <w:w w:val="74"/>
                            <w:sz w:val="18"/>
                          </w:rPr>
                          <w:t>[Jean</w:t>
                        </w:r>
                        <w:r>
                          <w:rPr>
                            <w:rFonts w:ascii="Courier New" w:eastAsia="Courier New" w:hAnsi="Courier New" w:cs="Courier New"/>
                            <w:spacing w:val="-61"/>
                            <w:w w:val="74"/>
                            <w:sz w:val="18"/>
                          </w:rPr>
                          <w:t xml:space="preserve"> </w:t>
                        </w:r>
                        <w:r>
                          <w:rPr>
                            <w:rFonts w:ascii="Courier New" w:eastAsia="Courier New" w:hAnsi="Courier New" w:cs="Courier New"/>
                            <w:w w:val="74"/>
                            <w:sz w:val="18"/>
                          </w:rPr>
                          <w:t>fraichot]</w:t>
                        </w:r>
                      </w:p>
                    </w:txbxContent>
                  </v:textbox>
                </v:rect>
                <v:rect id="Rectangle 23652" o:spid="_x0000_s1906" style="position:absolute;left:57391;top:464;width:3885;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bHMcA&#10;AADeAAAADwAAAGRycy9kb3ducmV2LnhtbESPT2vCQBTE7wW/w/IEb3VjSiWmriLaokf/FGxvj+xr&#10;Esy+DdnVRD+9Kwg9DjPzG2Y670wlLtS40rKC0TACQZxZXXKu4Pvw9ZqAcB5ZY2WZFFzJwXzWe5li&#10;qm3LO7rsfS4ChF2KCgrv61RKlxVk0A1tTRy8P9sY9EE2udQNtgFuKhlH0VgaLDksFFjTsqDstD8b&#10;BeukXvxs7K3Nq8/f9XF7nKwOE6/UoN8tPkB46vx/+NneaAXx2/g9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R2xzHAAAA3gAAAA8AAAAAAAAAAAAAAAAAmAIAAGRy&#10;cy9kb3ducmV2LnhtbFBLBQYAAAAABAAEAPUAAACMAwAAAAA=&#10;" filled="f" stroked="f">
                  <v:textbox inset="0,0,0,0">
                    <w:txbxContent>
                      <w:p w:rsidR="00EE13F6" w:rsidRDefault="002E5BC4">
                        <w:r>
                          <w:rPr>
                            <w:rFonts w:ascii="Courier New" w:eastAsia="Courier New" w:hAnsi="Courier New" w:cs="Courier New"/>
                            <w:b/>
                            <w:w w:val="85"/>
                            <w:sz w:val="18"/>
                          </w:rPr>
                          <w:t>Date:</w:t>
                        </w:r>
                      </w:p>
                    </w:txbxContent>
                  </v:textbox>
                </v:rect>
                <v:rect id="Rectangle 23653" o:spid="_x0000_s1907" style="position:absolute;left:60312;top:464;width:2115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h8gA&#10;AADeAAAADwAAAGRycy9kb3ducmV2LnhtbESPT2vCQBTE70K/w/IKvemmCYqmrhLaih79U7C9PbKv&#10;SWj2bchuk7Sf3hUEj8PM/IZZrgdTi45aV1lW8DyJQBDnVldcKPg4bcZzEM4ja6wtk4I/crBePYyW&#10;mGrb84G6oy9EgLBLUUHpfZNK6fKSDLqJbYiD921bgz7ItpC6xT7ATS3jKJpJgxWHhRIbei0p/zn+&#10;GgXbeZN97ux/X9TvX9vz/rx4Oy28Uk+PQ/YCwtPg7+Fbe6cVxMlsm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3X6HyAAAAN4AAAAPAAAAAAAAAAAAAAAAAJgCAABk&#10;cnMvZG93bnJldi54bWxQSwUGAAAAAAQABAD1AAAAjQMAAAAA&#10;" filled="f" stroked="f">
                  <v:textbox inset="0,0,0,0">
                    <w:txbxContent>
                      <w:p w:rsidR="00EE13F6" w:rsidRDefault="002E5BC4">
                        <w:r>
                          <w:rPr>
                            <w:rFonts w:ascii="Courier New" w:eastAsia="Courier New" w:hAnsi="Courier New" w:cs="Courier New"/>
                            <w:spacing w:val="-61"/>
                            <w:w w:val="87"/>
                            <w:sz w:val="18"/>
                          </w:rPr>
                          <w:t xml:space="preserve"> </w:t>
                        </w:r>
                        <w:r>
                          <w:rPr>
                            <w:rFonts w:ascii="Courier New" w:eastAsia="Courier New" w:hAnsi="Courier New" w:cs="Courier New"/>
                            <w:w w:val="87"/>
                            <w:sz w:val="18"/>
                          </w:rPr>
                          <w:t>19</w:t>
                        </w:r>
                        <w:r>
                          <w:rPr>
                            <w:rFonts w:ascii="Courier New" w:eastAsia="Courier New" w:hAnsi="Courier New" w:cs="Courier New"/>
                            <w:spacing w:val="-61"/>
                            <w:w w:val="87"/>
                            <w:sz w:val="18"/>
                          </w:rPr>
                          <w:t xml:space="preserve"> </w:t>
                        </w:r>
                        <w:r>
                          <w:rPr>
                            <w:rFonts w:ascii="Courier New" w:eastAsia="Courier New" w:hAnsi="Courier New" w:cs="Courier New"/>
                            <w:w w:val="87"/>
                            <w:sz w:val="18"/>
                          </w:rPr>
                          <w:t>September</w:t>
                        </w:r>
                        <w:r>
                          <w:rPr>
                            <w:rFonts w:ascii="Courier New" w:eastAsia="Courier New" w:hAnsi="Courier New" w:cs="Courier New"/>
                            <w:spacing w:val="-61"/>
                            <w:w w:val="87"/>
                            <w:sz w:val="18"/>
                          </w:rPr>
                          <w:t xml:space="preserve"> </w:t>
                        </w:r>
                        <w:r>
                          <w:rPr>
                            <w:rFonts w:ascii="Courier New" w:eastAsia="Courier New" w:hAnsi="Courier New" w:cs="Courier New"/>
                            <w:w w:val="87"/>
                            <w:sz w:val="18"/>
                          </w:rPr>
                          <w:t>2017,</w:t>
                        </w:r>
                        <w:r>
                          <w:rPr>
                            <w:rFonts w:ascii="Courier New" w:eastAsia="Courier New" w:hAnsi="Courier New" w:cs="Courier New"/>
                            <w:spacing w:val="-61"/>
                            <w:w w:val="87"/>
                            <w:sz w:val="18"/>
                          </w:rPr>
                          <w:t xml:space="preserve"> </w:t>
                        </w:r>
                        <w:r>
                          <w:rPr>
                            <w:rFonts w:ascii="Courier New" w:eastAsia="Courier New" w:hAnsi="Courier New" w:cs="Courier New"/>
                            <w:w w:val="87"/>
                            <w:sz w:val="18"/>
                          </w:rPr>
                          <w:t>At:</w:t>
                        </w:r>
                        <w:r>
                          <w:rPr>
                            <w:rFonts w:ascii="Courier New" w:eastAsia="Courier New" w:hAnsi="Courier New" w:cs="Courier New"/>
                            <w:spacing w:val="-61"/>
                            <w:w w:val="87"/>
                            <w:sz w:val="18"/>
                          </w:rPr>
                          <w:t xml:space="preserve"> </w:t>
                        </w:r>
                        <w:r>
                          <w:rPr>
                            <w:rFonts w:ascii="Courier New" w:eastAsia="Courier New" w:hAnsi="Courier New" w:cs="Courier New"/>
                            <w:w w:val="87"/>
                            <w:sz w:val="18"/>
                          </w:rPr>
                          <w:t>02:17</w:t>
                        </w:r>
                      </w:p>
                    </w:txbxContent>
                  </v:textbox>
                </v:rect>
                <w10:wrap type="topAndBottom" anchorx="page" anchory="page"/>
              </v:group>
            </w:pict>
          </mc:Fallback>
        </mc:AlternateContent>
      </w:r>
      <w:r>
        <w:rPr>
          <w:rFonts w:ascii="Courier New" w:eastAsia="Courier New" w:hAnsi="Courier New" w:cs="Courier New"/>
          <w:b/>
          <w:sz w:val="20"/>
        </w:rPr>
        <w:t>To cite this article:</w:t>
      </w:r>
      <w:r>
        <w:rPr>
          <w:rFonts w:ascii="Arial Unicode MS" w:eastAsia="Arial Unicode MS" w:hAnsi="Arial Unicode MS" w:cs="Arial Unicode MS"/>
          <w:sz w:val="20"/>
        </w:rPr>
        <w:t xml:space="preserve"> Jean Pierre Fraichot (2017): Study of the effect of a Financial Transaction Tax on the corporate cost of capital, Applied Economics, DOI: </w:t>
      </w:r>
      <w:r>
        <w:rPr>
          <w:rFonts w:ascii="Arial Unicode MS" w:eastAsia="Arial Unicode MS" w:hAnsi="Arial Unicode MS" w:cs="Arial Unicode MS"/>
          <w:sz w:val="20"/>
          <w:u w:val="single" w:color="000000"/>
        </w:rPr>
        <w:t xml:space="preserve">10.1080/00036846.2017.1363864 </w:t>
      </w:r>
      <w:r>
        <w:rPr>
          <w:rFonts w:ascii="Courier New" w:eastAsia="Courier New" w:hAnsi="Courier New" w:cs="Courier New"/>
          <w:b/>
          <w:sz w:val="20"/>
        </w:rPr>
        <w:t xml:space="preserve">To link to this article: </w:t>
      </w:r>
      <w:r>
        <w:rPr>
          <w:rFonts w:ascii="Courier New" w:eastAsia="Courier New" w:hAnsi="Courier New" w:cs="Courier New"/>
          <w:sz w:val="20"/>
        </w:rPr>
        <w:t xml:space="preserve"> </w:t>
      </w:r>
      <w:r>
        <w:rPr>
          <w:rFonts w:ascii="Courier New" w:eastAsia="Courier New" w:hAnsi="Courier New" w:cs="Courier New"/>
          <w:sz w:val="20"/>
          <w:u w:val="single" w:color="000000"/>
        </w:rPr>
        <w:t>http://dx.doi.org/10.1080/00036</w:t>
      </w:r>
      <w:r>
        <w:rPr>
          <w:rFonts w:ascii="Courier New" w:eastAsia="Courier New" w:hAnsi="Courier New" w:cs="Courier New"/>
          <w:sz w:val="20"/>
          <w:u w:val="single" w:color="000000"/>
        </w:rPr>
        <w:t>846.2017.1363864</w:t>
      </w:r>
    </w:p>
    <w:p w:rsidR="00EE13F6" w:rsidRDefault="002E5BC4">
      <w:pPr>
        <w:spacing w:after="4399"/>
        <w:ind w:left="70"/>
      </w:pPr>
      <w:r>
        <w:rPr>
          <w:noProof/>
        </w:rPr>
        <mc:AlternateContent>
          <mc:Choice Requires="wpg">
            <w:drawing>
              <wp:inline distT="0" distB="0" distL="0" distR="0">
                <wp:extent cx="2712720" cy="2629485"/>
                <wp:effectExtent l="0" t="0" r="0" b="0"/>
                <wp:docPr id="213502" name="Group 213502"/>
                <wp:cNvGraphicFramePr/>
                <a:graphic xmlns:a="http://schemas.openxmlformats.org/drawingml/2006/main">
                  <a:graphicData uri="http://schemas.microsoft.com/office/word/2010/wordprocessingGroup">
                    <wpg:wgp>
                      <wpg:cNvGrpSpPr/>
                      <wpg:grpSpPr>
                        <a:xfrm>
                          <a:off x="0" y="0"/>
                          <a:ext cx="2712720" cy="2629485"/>
                          <a:chOff x="0" y="0"/>
                          <a:chExt cx="2712720" cy="2629485"/>
                        </a:xfrm>
                      </wpg:grpSpPr>
                      <wps:wsp>
                        <wps:cNvPr id="23676" name="Shape 23676"/>
                        <wps:cNvSpPr/>
                        <wps:spPr>
                          <a:xfrm>
                            <a:off x="0" y="450164"/>
                            <a:ext cx="2712720" cy="0"/>
                          </a:xfrm>
                          <a:custGeom>
                            <a:avLst/>
                            <a:gdLst/>
                            <a:ahLst/>
                            <a:cxnLst/>
                            <a:rect l="0" t="0" r="0" b="0"/>
                            <a:pathLst>
                              <a:path w="2712720">
                                <a:moveTo>
                                  <a:pt x="0" y="0"/>
                                </a:moveTo>
                                <a:lnTo>
                                  <a:pt x="2712720" y="0"/>
                                </a:lnTo>
                              </a:path>
                            </a:pathLst>
                          </a:custGeom>
                          <a:ln w="1143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677" name="Picture 23677"/>
                          <pic:cNvPicPr/>
                        </pic:nvPicPr>
                        <pic:blipFill>
                          <a:blip r:embed="rId270"/>
                          <a:stretch>
                            <a:fillRect/>
                          </a:stretch>
                        </pic:blipFill>
                        <pic:spPr>
                          <a:xfrm>
                            <a:off x="76200" y="0"/>
                            <a:ext cx="210312" cy="224688"/>
                          </a:xfrm>
                          <a:prstGeom prst="rect">
                            <a:avLst/>
                          </a:prstGeom>
                        </pic:spPr>
                      </pic:pic>
                      <wps:wsp>
                        <wps:cNvPr id="23678" name="Rectangle 23678"/>
                        <wps:cNvSpPr/>
                        <wps:spPr>
                          <a:xfrm>
                            <a:off x="396240" y="34434"/>
                            <a:ext cx="2170071" cy="207022"/>
                          </a:xfrm>
                          <a:prstGeom prst="rect">
                            <a:avLst/>
                          </a:prstGeom>
                          <a:ln>
                            <a:noFill/>
                          </a:ln>
                        </wps:spPr>
                        <wps:txbx>
                          <w:txbxContent>
                            <w:p w:rsidR="00EE13F6" w:rsidRDefault="002E5BC4">
                              <w:r>
                                <w:rPr>
                                  <w:rFonts w:ascii="Courier New" w:eastAsia="Courier New" w:hAnsi="Courier New" w:cs="Courier New"/>
                                  <w:w w:val="84"/>
                                  <w:sz w:val="18"/>
                                </w:rPr>
                                <w:t>Published</w:t>
                              </w:r>
                              <w:r>
                                <w:rPr>
                                  <w:rFonts w:ascii="Courier New" w:eastAsia="Courier New" w:hAnsi="Courier New" w:cs="Courier New"/>
                                  <w:spacing w:val="-61"/>
                                  <w:w w:val="84"/>
                                  <w:sz w:val="18"/>
                                </w:rPr>
                                <w:t xml:space="preserve"> </w:t>
                              </w:r>
                              <w:r>
                                <w:rPr>
                                  <w:rFonts w:ascii="Courier New" w:eastAsia="Courier New" w:hAnsi="Courier New" w:cs="Courier New"/>
                                  <w:w w:val="84"/>
                                  <w:sz w:val="18"/>
                                </w:rPr>
                                <w:t>online:</w:t>
                              </w:r>
                              <w:r>
                                <w:rPr>
                                  <w:rFonts w:ascii="Courier New" w:eastAsia="Courier New" w:hAnsi="Courier New" w:cs="Courier New"/>
                                  <w:spacing w:val="-61"/>
                                  <w:w w:val="84"/>
                                  <w:sz w:val="18"/>
                                </w:rPr>
                                <w:t xml:space="preserve"> </w:t>
                              </w:r>
                              <w:r>
                                <w:rPr>
                                  <w:rFonts w:ascii="Courier New" w:eastAsia="Courier New" w:hAnsi="Courier New" w:cs="Courier New"/>
                                  <w:w w:val="84"/>
                                  <w:sz w:val="18"/>
                                </w:rPr>
                                <w:t>21</w:t>
                              </w:r>
                              <w:r>
                                <w:rPr>
                                  <w:rFonts w:ascii="Courier New" w:eastAsia="Courier New" w:hAnsi="Courier New" w:cs="Courier New"/>
                                  <w:spacing w:val="-61"/>
                                  <w:w w:val="84"/>
                                  <w:sz w:val="18"/>
                                </w:rPr>
                                <w:t xml:space="preserve"> </w:t>
                              </w:r>
                              <w:r>
                                <w:rPr>
                                  <w:rFonts w:ascii="Courier New" w:eastAsia="Courier New" w:hAnsi="Courier New" w:cs="Courier New"/>
                                  <w:w w:val="84"/>
                                  <w:sz w:val="18"/>
                                </w:rPr>
                                <w:t>Aug</w:t>
                              </w:r>
                              <w:r>
                                <w:rPr>
                                  <w:rFonts w:ascii="Courier New" w:eastAsia="Courier New" w:hAnsi="Courier New" w:cs="Courier New"/>
                                  <w:spacing w:val="-61"/>
                                  <w:w w:val="84"/>
                                  <w:sz w:val="18"/>
                                </w:rPr>
                                <w:t xml:space="preserve"> </w:t>
                              </w:r>
                              <w:r>
                                <w:rPr>
                                  <w:rFonts w:ascii="Courier New" w:eastAsia="Courier New" w:hAnsi="Courier New" w:cs="Courier New"/>
                                  <w:w w:val="84"/>
                                  <w:sz w:val="18"/>
                                </w:rPr>
                                <w:t>2017.</w:t>
                              </w:r>
                            </w:p>
                          </w:txbxContent>
                        </wps:txbx>
                        <wps:bodyPr horzOverflow="overflow" vert="horz" lIns="0" tIns="0" rIns="0" bIns="0" rtlCol="0">
                          <a:noAutofit/>
                        </wps:bodyPr>
                      </wps:wsp>
                      <wps:wsp>
                        <wps:cNvPr id="23680" name="Shape 23680"/>
                        <wps:cNvSpPr/>
                        <wps:spPr>
                          <a:xfrm>
                            <a:off x="0" y="994994"/>
                            <a:ext cx="2712720" cy="0"/>
                          </a:xfrm>
                          <a:custGeom>
                            <a:avLst/>
                            <a:gdLst/>
                            <a:ahLst/>
                            <a:cxnLst/>
                            <a:rect l="0" t="0" r="0" b="0"/>
                            <a:pathLst>
                              <a:path w="2712720">
                                <a:moveTo>
                                  <a:pt x="0" y="0"/>
                                </a:moveTo>
                                <a:lnTo>
                                  <a:pt x="2712720" y="0"/>
                                </a:lnTo>
                              </a:path>
                            </a:pathLst>
                          </a:custGeom>
                          <a:ln w="1143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681" name="Picture 23681"/>
                          <pic:cNvPicPr/>
                        </pic:nvPicPr>
                        <pic:blipFill>
                          <a:blip r:embed="rId271"/>
                          <a:stretch>
                            <a:fillRect/>
                          </a:stretch>
                        </pic:blipFill>
                        <pic:spPr>
                          <a:xfrm>
                            <a:off x="76200" y="544830"/>
                            <a:ext cx="223266" cy="174892"/>
                          </a:xfrm>
                          <a:prstGeom prst="rect">
                            <a:avLst/>
                          </a:prstGeom>
                        </pic:spPr>
                      </pic:pic>
                      <wps:wsp>
                        <wps:cNvPr id="23721" name="Rectangle 23721"/>
                        <wps:cNvSpPr/>
                        <wps:spPr>
                          <a:xfrm>
                            <a:off x="396240" y="604080"/>
                            <a:ext cx="2362223" cy="207022"/>
                          </a:xfrm>
                          <a:prstGeom prst="rect">
                            <a:avLst/>
                          </a:prstGeom>
                          <a:ln>
                            <a:noFill/>
                          </a:ln>
                        </wps:spPr>
                        <wps:txbx>
                          <w:txbxContent>
                            <w:p w:rsidR="00EE13F6" w:rsidRDefault="002E5BC4">
                              <w:r>
                                <w:rPr>
                                  <w:rFonts w:ascii="Courier New" w:eastAsia="Courier New" w:hAnsi="Courier New" w:cs="Courier New"/>
                                  <w:w w:val="79"/>
                                  <w:sz w:val="18"/>
                                </w:rPr>
                                <w:t>Submit</w:t>
                              </w:r>
                              <w:r>
                                <w:rPr>
                                  <w:rFonts w:ascii="Courier New" w:eastAsia="Courier New" w:hAnsi="Courier New" w:cs="Courier New"/>
                                  <w:spacing w:val="-61"/>
                                  <w:w w:val="79"/>
                                  <w:sz w:val="18"/>
                                </w:rPr>
                                <w:t xml:space="preserve"> </w:t>
                              </w:r>
                              <w:r>
                                <w:rPr>
                                  <w:rFonts w:ascii="Courier New" w:eastAsia="Courier New" w:hAnsi="Courier New" w:cs="Courier New"/>
                                  <w:w w:val="79"/>
                                  <w:sz w:val="18"/>
                                </w:rPr>
                                <w:t>your</w:t>
                              </w:r>
                              <w:r>
                                <w:rPr>
                                  <w:rFonts w:ascii="Courier New" w:eastAsia="Courier New" w:hAnsi="Courier New" w:cs="Courier New"/>
                                  <w:spacing w:val="-61"/>
                                  <w:w w:val="79"/>
                                  <w:sz w:val="18"/>
                                </w:rPr>
                                <w:t xml:space="preserve"> </w:t>
                              </w:r>
                              <w:r>
                                <w:rPr>
                                  <w:rFonts w:ascii="Courier New" w:eastAsia="Courier New" w:hAnsi="Courier New" w:cs="Courier New"/>
                                  <w:w w:val="79"/>
                                  <w:sz w:val="18"/>
                                </w:rPr>
                                <w:t>article</w:t>
                              </w:r>
                              <w:r>
                                <w:rPr>
                                  <w:rFonts w:ascii="Courier New" w:eastAsia="Courier New" w:hAnsi="Courier New" w:cs="Courier New"/>
                                  <w:spacing w:val="-61"/>
                                  <w:w w:val="79"/>
                                  <w:sz w:val="18"/>
                                </w:rPr>
                                <w:t xml:space="preserve"> </w:t>
                              </w:r>
                              <w:r>
                                <w:rPr>
                                  <w:rFonts w:ascii="Courier New" w:eastAsia="Courier New" w:hAnsi="Courier New" w:cs="Courier New"/>
                                  <w:w w:val="79"/>
                                  <w:sz w:val="18"/>
                                </w:rPr>
                                <w:t>to</w:t>
                              </w:r>
                              <w:r>
                                <w:rPr>
                                  <w:rFonts w:ascii="Courier New" w:eastAsia="Courier New" w:hAnsi="Courier New" w:cs="Courier New"/>
                                  <w:spacing w:val="-61"/>
                                  <w:w w:val="79"/>
                                  <w:sz w:val="18"/>
                                </w:rPr>
                                <w:t xml:space="preserve"> </w:t>
                              </w:r>
                              <w:r>
                                <w:rPr>
                                  <w:rFonts w:ascii="Courier New" w:eastAsia="Courier New" w:hAnsi="Courier New" w:cs="Courier New"/>
                                  <w:w w:val="79"/>
                                  <w:sz w:val="18"/>
                                </w:rPr>
                                <w:t>this</w:t>
                              </w:r>
                              <w:r>
                                <w:rPr>
                                  <w:rFonts w:ascii="Courier New" w:eastAsia="Courier New" w:hAnsi="Courier New" w:cs="Courier New"/>
                                  <w:spacing w:val="-61"/>
                                  <w:w w:val="79"/>
                                  <w:sz w:val="18"/>
                                </w:rPr>
                                <w:t xml:space="preserve"> </w:t>
                              </w:r>
                              <w:r>
                                <w:rPr>
                                  <w:rFonts w:ascii="Courier New" w:eastAsia="Courier New" w:hAnsi="Courier New" w:cs="Courier New"/>
                                  <w:w w:val="79"/>
                                  <w:sz w:val="18"/>
                                </w:rPr>
                                <w:t>journal</w:t>
                              </w:r>
                            </w:p>
                          </w:txbxContent>
                        </wps:txbx>
                        <wps:bodyPr horzOverflow="overflow" vert="horz" lIns="0" tIns="0" rIns="0" bIns="0" rtlCol="0">
                          <a:noAutofit/>
                        </wps:bodyPr>
                      </wps:wsp>
                      <wps:wsp>
                        <wps:cNvPr id="23722" name="Rectangle 23722"/>
                        <wps:cNvSpPr/>
                        <wps:spPr>
                          <a:xfrm>
                            <a:off x="2172348" y="604080"/>
                            <a:ext cx="39373" cy="207022"/>
                          </a:xfrm>
                          <a:prstGeom prst="rect">
                            <a:avLst/>
                          </a:prstGeom>
                          <a:ln>
                            <a:noFill/>
                          </a:ln>
                        </wps:spPr>
                        <wps:txbx>
                          <w:txbxContent>
                            <w:p w:rsidR="00EE13F6" w:rsidRDefault="002E5BC4">
                              <w:hyperlink r:id="rId272">
                                <w:r>
                                  <w:rPr>
                                    <w:rFonts w:ascii="Courier New" w:eastAsia="Courier New" w:hAnsi="Courier New" w:cs="Courier New"/>
                                    <w:sz w:val="18"/>
                                  </w:rPr>
                                  <w:t xml:space="preserve"> </w:t>
                                </w:r>
                              </w:hyperlink>
                            </w:p>
                          </w:txbxContent>
                        </wps:txbx>
                        <wps:bodyPr horzOverflow="overflow" vert="horz" lIns="0" tIns="0" rIns="0" bIns="0" rtlCol="0">
                          <a:noAutofit/>
                        </wps:bodyPr>
                      </wps:wsp>
                      <pic:pic xmlns:pic="http://schemas.openxmlformats.org/drawingml/2006/picture">
                        <pic:nvPicPr>
                          <pic:cNvPr id="23683" name="Picture 23683"/>
                          <pic:cNvPicPr/>
                        </pic:nvPicPr>
                        <pic:blipFill>
                          <a:blip r:embed="rId273"/>
                          <a:stretch>
                            <a:fillRect/>
                          </a:stretch>
                        </pic:blipFill>
                        <pic:spPr>
                          <a:xfrm>
                            <a:off x="2201951" y="614680"/>
                            <a:ext cx="165100" cy="111570"/>
                          </a:xfrm>
                          <a:prstGeom prst="rect">
                            <a:avLst/>
                          </a:prstGeom>
                        </pic:spPr>
                      </pic:pic>
                      <wps:wsp>
                        <wps:cNvPr id="23685" name="Shape 23685"/>
                        <wps:cNvSpPr/>
                        <wps:spPr>
                          <a:xfrm>
                            <a:off x="0" y="1539824"/>
                            <a:ext cx="2712720" cy="0"/>
                          </a:xfrm>
                          <a:custGeom>
                            <a:avLst/>
                            <a:gdLst/>
                            <a:ahLst/>
                            <a:cxnLst/>
                            <a:rect l="0" t="0" r="0" b="0"/>
                            <a:pathLst>
                              <a:path w="2712720">
                                <a:moveTo>
                                  <a:pt x="0" y="0"/>
                                </a:moveTo>
                                <a:lnTo>
                                  <a:pt x="2712720" y="0"/>
                                </a:lnTo>
                              </a:path>
                            </a:pathLst>
                          </a:custGeom>
                          <a:ln w="1143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686" name="Picture 23686"/>
                          <pic:cNvPicPr/>
                        </pic:nvPicPr>
                        <pic:blipFill>
                          <a:blip r:embed="rId274"/>
                          <a:stretch>
                            <a:fillRect/>
                          </a:stretch>
                        </pic:blipFill>
                        <pic:spPr>
                          <a:xfrm>
                            <a:off x="76200" y="1089660"/>
                            <a:ext cx="256032" cy="191173"/>
                          </a:xfrm>
                          <a:prstGeom prst="rect">
                            <a:avLst/>
                          </a:prstGeom>
                        </pic:spPr>
                      </pic:pic>
                      <wps:wsp>
                        <wps:cNvPr id="23687" name="Rectangle 23687"/>
                        <wps:cNvSpPr/>
                        <wps:spPr>
                          <a:xfrm>
                            <a:off x="396240" y="1124094"/>
                            <a:ext cx="1126005" cy="207022"/>
                          </a:xfrm>
                          <a:prstGeom prst="rect">
                            <a:avLst/>
                          </a:prstGeom>
                          <a:ln>
                            <a:noFill/>
                          </a:ln>
                        </wps:spPr>
                        <wps:txbx>
                          <w:txbxContent>
                            <w:p w:rsidR="00EE13F6" w:rsidRDefault="002E5BC4">
                              <w:r>
                                <w:rPr>
                                  <w:rFonts w:ascii="Courier New" w:eastAsia="Courier New" w:hAnsi="Courier New" w:cs="Courier New"/>
                                  <w:w w:val="76"/>
                                  <w:sz w:val="18"/>
                                </w:rPr>
                                <w:t>Article</w:t>
                              </w:r>
                              <w:r>
                                <w:rPr>
                                  <w:rFonts w:ascii="Courier New" w:eastAsia="Courier New" w:hAnsi="Courier New" w:cs="Courier New"/>
                                  <w:spacing w:val="-61"/>
                                  <w:w w:val="76"/>
                                  <w:sz w:val="18"/>
                                </w:rPr>
                                <w:t xml:space="preserve"> </w:t>
                              </w:r>
                              <w:r>
                                <w:rPr>
                                  <w:rFonts w:ascii="Courier New" w:eastAsia="Courier New" w:hAnsi="Courier New" w:cs="Courier New"/>
                                  <w:w w:val="76"/>
                                  <w:sz w:val="18"/>
                                </w:rPr>
                                <w:t>views:</w:t>
                              </w:r>
                              <w:r>
                                <w:rPr>
                                  <w:rFonts w:ascii="Courier New" w:eastAsia="Courier New" w:hAnsi="Courier New" w:cs="Courier New"/>
                                  <w:spacing w:val="-61"/>
                                  <w:w w:val="76"/>
                                  <w:sz w:val="18"/>
                                </w:rPr>
                                <w:t xml:space="preserve"> </w:t>
                              </w:r>
                              <w:r>
                                <w:rPr>
                                  <w:rFonts w:ascii="Courier New" w:eastAsia="Courier New" w:hAnsi="Courier New" w:cs="Courier New"/>
                                  <w:w w:val="76"/>
                                  <w:sz w:val="18"/>
                                </w:rPr>
                                <w:t>13</w:t>
                              </w:r>
                            </w:p>
                          </w:txbxContent>
                        </wps:txbx>
                        <wps:bodyPr horzOverflow="overflow" vert="horz" lIns="0" tIns="0" rIns="0" bIns="0" rtlCol="0">
                          <a:noAutofit/>
                        </wps:bodyPr>
                      </wps:wsp>
                      <wps:wsp>
                        <wps:cNvPr id="23689" name="Shape 23689"/>
                        <wps:cNvSpPr/>
                        <wps:spPr>
                          <a:xfrm>
                            <a:off x="0" y="2084654"/>
                            <a:ext cx="2712720" cy="0"/>
                          </a:xfrm>
                          <a:custGeom>
                            <a:avLst/>
                            <a:gdLst/>
                            <a:ahLst/>
                            <a:cxnLst/>
                            <a:rect l="0" t="0" r="0" b="0"/>
                            <a:pathLst>
                              <a:path w="2712720">
                                <a:moveTo>
                                  <a:pt x="0" y="0"/>
                                </a:moveTo>
                                <a:lnTo>
                                  <a:pt x="2712720" y="0"/>
                                </a:lnTo>
                              </a:path>
                            </a:pathLst>
                          </a:custGeom>
                          <a:ln w="1143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690" name="Picture 23690"/>
                          <pic:cNvPicPr/>
                        </pic:nvPicPr>
                        <pic:blipFill>
                          <a:blip r:embed="rId275"/>
                          <a:stretch>
                            <a:fillRect/>
                          </a:stretch>
                        </pic:blipFill>
                        <pic:spPr>
                          <a:xfrm>
                            <a:off x="76200" y="1634490"/>
                            <a:ext cx="200152" cy="231508"/>
                          </a:xfrm>
                          <a:prstGeom prst="rect">
                            <a:avLst/>
                          </a:prstGeom>
                        </pic:spPr>
                      </pic:pic>
                      <wps:wsp>
                        <wps:cNvPr id="23723" name="Rectangle 23723"/>
                        <wps:cNvSpPr/>
                        <wps:spPr>
                          <a:xfrm>
                            <a:off x="396240" y="1693740"/>
                            <a:ext cx="1413929" cy="207022"/>
                          </a:xfrm>
                          <a:prstGeom prst="rect">
                            <a:avLst/>
                          </a:prstGeom>
                          <a:ln>
                            <a:noFill/>
                          </a:ln>
                        </wps:spPr>
                        <wps:txbx>
                          <w:txbxContent>
                            <w:p w:rsidR="00EE13F6" w:rsidRDefault="002E5BC4">
                              <w:r>
                                <w:rPr>
                                  <w:rFonts w:ascii="Courier New" w:eastAsia="Courier New" w:hAnsi="Courier New" w:cs="Courier New"/>
                                  <w:w w:val="77"/>
                                  <w:sz w:val="18"/>
                                </w:rPr>
                                <w:t>View</w:t>
                              </w:r>
                              <w:r>
                                <w:rPr>
                                  <w:rFonts w:ascii="Courier New" w:eastAsia="Courier New" w:hAnsi="Courier New" w:cs="Courier New"/>
                                  <w:spacing w:val="-61"/>
                                  <w:w w:val="77"/>
                                  <w:sz w:val="18"/>
                                </w:rPr>
                                <w:t xml:space="preserve"> </w:t>
                              </w:r>
                              <w:r>
                                <w:rPr>
                                  <w:rFonts w:ascii="Courier New" w:eastAsia="Courier New" w:hAnsi="Courier New" w:cs="Courier New"/>
                                  <w:w w:val="77"/>
                                  <w:sz w:val="18"/>
                                </w:rPr>
                                <w:t>related</w:t>
                              </w:r>
                              <w:r>
                                <w:rPr>
                                  <w:rFonts w:ascii="Courier New" w:eastAsia="Courier New" w:hAnsi="Courier New" w:cs="Courier New"/>
                                  <w:spacing w:val="-61"/>
                                  <w:w w:val="77"/>
                                  <w:sz w:val="18"/>
                                </w:rPr>
                                <w:t xml:space="preserve"> </w:t>
                              </w:r>
                              <w:r>
                                <w:rPr>
                                  <w:rFonts w:ascii="Courier New" w:eastAsia="Courier New" w:hAnsi="Courier New" w:cs="Courier New"/>
                                  <w:w w:val="77"/>
                                  <w:sz w:val="18"/>
                                </w:rPr>
                                <w:t>articles</w:t>
                              </w:r>
                            </w:p>
                          </w:txbxContent>
                        </wps:txbx>
                        <wps:bodyPr horzOverflow="overflow" vert="horz" lIns="0" tIns="0" rIns="0" bIns="0" rtlCol="0">
                          <a:noAutofit/>
                        </wps:bodyPr>
                      </wps:wsp>
                      <wps:wsp>
                        <wps:cNvPr id="23724" name="Rectangle 23724"/>
                        <wps:cNvSpPr/>
                        <wps:spPr>
                          <a:xfrm>
                            <a:off x="1459344" y="1693740"/>
                            <a:ext cx="39373" cy="207022"/>
                          </a:xfrm>
                          <a:prstGeom prst="rect">
                            <a:avLst/>
                          </a:prstGeom>
                          <a:ln>
                            <a:noFill/>
                          </a:ln>
                        </wps:spPr>
                        <wps:txbx>
                          <w:txbxContent>
                            <w:p w:rsidR="00EE13F6" w:rsidRDefault="002E5BC4">
                              <w:hyperlink r:id="rId276">
                                <w:r>
                                  <w:rPr>
                                    <w:rFonts w:ascii="Courier New" w:eastAsia="Courier New" w:hAnsi="Courier New" w:cs="Courier New"/>
                                    <w:sz w:val="18"/>
                                  </w:rPr>
                                  <w:t xml:space="preserve"> </w:t>
                                </w:r>
                              </w:hyperlink>
                            </w:p>
                          </w:txbxContent>
                        </wps:txbx>
                        <wps:bodyPr horzOverflow="overflow" vert="horz" lIns="0" tIns="0" rIns="0" bIns="0" rtlCol="0">
                          <a:noAutofit/>
                        </wps:bodyPr>
                      </wps:wsp>
                      <pic:pic xmlns:pic="http://schemas.openxmlformats.org/drawingml/2006/picture">
                        <pic:nvPicPr>
                          <pic:cNvPr id="23692" name="Picture 23692"/>
                          <pic:cNvPicPr/>
                        </pic:nvPicPr>
                        <pic:blipFill>
                          <a:blip r:embed="rId273"/>
                          <a:stretch>
                            <a:fillRect/>
                          </a:stretch>
                        </pic:blipFill>
                        <pic:spPr>
                          <a:xfrm>
                            <a:off x="1488948" y="1704340"/>
                            <a:ext cx="165100" cy="111570"/>
                          </a:xfrm>
                          <a:prstGeom prst="rect">
                            <a:avLst/>
                          </a:prstGeom>
                        </pic:spPr>
                      </pic:pic>
                      <wps:wsp>
                        <wps:cNvPr id="23694" name="Shape 23694"/>
                        <wps:cNvSpPr/>
                        <wps:spPr>
                          <a:xfrm>
                            <a:off x="0" y="2629485"/>
                            <a:ext cx="2712720" cy="0"/>
                          </a:xfrm>
                          <a:custGeom>
                            <a:avLst/>
                            <a:gdLst/>
                            <a:ahLst/>
                            <a:cxnLst/>
                            <a:rect l="0" t="0" r="0" b="0"/>
                            <a:pathLst>
                              <a:path w="2712720">
                                <a:moveTo>
                                  <a:pt x="0" y="0"/>
                                </a:moveTo>
                                <a:lnTo>
                                  <a:pt x="2712720" y="0"/>
                                </a:lnTo>
                              </a:path>
                            </a:pathLst>
                          </a:custGeom>
                          <a:ln w="1143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695" name="Picture 23695"/>
                          <pic:cNvPicPr/>
                        </pic:nvPicPr>
                        <pic:blipFill>
                          <a:blip r:embed="rId277"/>
                          <a:stretch>
                            <a:fillRect/>
                          </a:stretch>
                        </pic:blipFill>
                        <pic:spPr>
                          <a:xfrm>
                            <a:off x="76200" y="2179320"/>
                            <a:ext cx="235712" cy="264782"/>
                          </a:xfrm>
                          <a:prstGeom prst="rect">
                            <a:avLst/>
                          </a:prstGeom>
                        </pic:spPr>
                      </pic:pic>
                      <wps:wsp>
                        <wps:cNvPr id="23725" name="Rectangle 23725"/>
                        <wps:cNvSpPr/>
                        <wps:spPr>
                          <a:xfrm>
                            <a:off x="396240" y="2238570"/>
                            <a:ext cx="1398271" cy="207022"/>
                          </a:xfrm>
                          <a:prstGeom prst="rect">
                            <a:avLst/>
                          </a:prstGeom>
                          <a:ln>
                            <a:noFill/>
                          </a:ln>
                        </wps:spPr>
                        <wps:txbx>
                          <w:txbxContent>
                            <w:p w:rsidR="00EE13F6" w:rsidRDefault="002E5BC4">
                              <w:r>
                                <w:rPr>
                                  <w:rFonts w:ascii="Courier New" w:eastAsia="Courier New" w:hAnsi="Courier New" w:cs="Courier New"/>
                                  <w:w w:val="90"/>
                                  <w:sz w:val="18"/>
                                </w:rPr>
                                <w:t>View</w:t>
                              </w:r>
                              <w:r>
                                <w:rPr>
                                  <w:rFonts w:ascii="Courier New" w:eastAsia="Courier New" w:hAnsi="Courier New" w:cs="Courier New"/>
                                  <w:spacing w:val="-61"/>
                                  <w:w w:val="90"/>
                                  <w:sz w:val="18"/>
                                </w:rPr>
                                <w:t xml:space="preserve"> </w:t>
                              </w:r>
                              <w:r>
                                <w:rPr>
                                  <w:rFonts w:ascii="Courier New" w:eastAsia="Courier New" w:hAnsi="Courier New" w:cs="Courier New"/>
                                  <w:w w:val="90"/>
                                  <w:sz w:val="18"/>
                                </w:rPr>
                                <w:t>Crossmark</w:t>
                              </w:r>
                              <w:r>
                                <w:rPr>
                                  <w:rFonts w:ascii="Courier New" w:eastAsia="Courier New" w:hAnsi="Courier New" w:cs="Courier New"/>
                                  <w:spacing w:val="-61"/>
                                  <w:w w:val="90"/>
                                  <w:sz w:val="18"/>
                                </w:rPr>
                                <w:t xml:space="preserve"> </w:t>
                              </w:r>
                              <w:r>
                                <w:rPr>
                                  <w:rFonts w:ascii="Courier New" w:eastAsia="Courier New" w:hAnsi="Courier New" w:cs="Courier New"/>
                                  <w:w w:val="90"/>
                                  <w:sz w:val="18"/>
                                </w:rPr>
                                <w:t>dat</w:t>
                              </w:r>
                            </w:p>
                          </w:txbxContent>
                        </wps:txbx>
                        <wps:bodyPr horzOverflow="overflow" vert="horz" lIns="0" tIns="0" rIns="0" bIns="0" rtlCol="0">
                          <a:noAutofit/>
                        </wps:bodyPr>
                      </wps:wsp>
                      <wps:wsp>
                        <wps:cNvPr id="23726" name="Rectangle 23726"/>
                        <wps:cNvSpPr/>
                        <wps:spPr>
                          <a:xfrm>
                            <a:off x="1447571" y="2238570"/>
                            <a:ext cx="84523" cy="207022"/>
                          </a:xfrm>
                          <a:prstGeom prst="rect">
                            <a:avLst/>
                          </a:prstGeom>
                          <a:ln>
                            <a:noFill/>
                          </a:ln>
                        </wps:spPr>
                        <wps:txbx>
                          <w:txbxContent>
                            <w:p w:rsidR="00EE13F6" w:rsidRDefault="002E5BC4">
                              <w:hyperlink r:id="rId278">
                                <w:r>
                                  <w:rPr>
                                    <w:rFonts w:ascii="Courier New" w:eastAsia="Courier New" w:hAnsi="Courier New" w:cs="Courier New"/>
                                    <w:w w:val="92"/>
                                    <w:sz w:val="18"/>
                                  </w:rPr>
                                  <w:t>a</w:t>
                                </w:r>
                              </w:hyperlink>
                            </w:p>
                          </w:txbxContent>
                        </wps:txbx>
                        <wps:bodyPr horzOverflow="overflow" vert="horz" lIns="0" tIns="0" rIns="0" bIns="0" rtlCol="0">
                          <a:noAutofit/>
                        </wps:bodyPr>
                      </wps:wsp>
                      <pic:pic xmlns:pic="http://schemas.openxmlformats.org/drawingml/2006/picture">
                        <pic:nvPicPr>
                          <pic:cNvPr id="23697" name="Picture 23697"/>
                          <pic:cNvPicPr/>
                        </pic:nvPicPr>
                        <pic:blipFill>
                          <a:blip r:embed="rId273"/>
                          <a:stretch>
                            <a:fillRect/>
                          </a:stretch>
                        </pic:blipFill>
                        <pic:spPr>
                          <a:xfrm>
                            <a:off x="1511122" y="2249170"/>
                            <a:ext cx="165100" cy="111569"/>
                          </a:xfrm>
                          <a:prstGeom prst="rect">
                            <a:avLst/>
                          </a:prstGeom>
                        </pic:spPr>
                      </pic:pic>
                    </wpg:wgp>
                  </a:graphicData>
                </a:graphic>
              </wp:inline>
            </w:drawing>
          </mc:Choice>
          <mc:Fallback>
            <w:pict>
              <v:group id="Group 213502" o:spid="_x0000_s1908" style="width:213.6pt;height:207.05pt;mso-position-horizontal-relative:char;mso-position-vertical-relative:line" coordsize="27127,2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">
                <v:shape id="Shape 23676" o:spid="_x0000_s1909" style="position:absolute;top:4501;width:27127;height:0;visibility:visible;mso-wrap-style:square;v-text-anchor:top" coordsize="2712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Yb8cA&#10;AADeAAAADwAAAGRycy9kb3ducmV2LnhtbESP3WrCQBSE7wu+w3KE3ulGC4lGV7Ethdr2wr8HOGaP&#10;SWj2bNjdaurTuwWhl8PMfMPMl51pxJmcry0rGA0TEMSF1TWXCg77t8EEhA/IGhvLpOCXPCwXvYc5&#10;5tpeeEvnXShFhLDPUUEVQptL6YuKDPqhbYmjd7LOYIjSlVI7vES4aeQ4SVJpsOa4UGFLLxUV37sf&#10;o+Bjpf3x84vxNF23+9fna+Y260ypx363moEI1IX/8L39rhWMn9Ishb878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9WG/HAAAA3gAAAA8AAAAAAAAAAAAAAAAAmAIAAGRy&#10;cy9kb3ducmV2LnhtbFBLBQYAAAAABAAEAPUAAACMAwAAAAA=&#10;" path="m,l2712720,e" filled="f" strokeweight=".9pt">
                  <v:stroke miterlimit="83231f" joinstyle="miter"/>
                  <v:path arrowok="t" textboxrect="0,0,2712720,0"/>
                </v:shape>
                <v:shape id="Picture 23677" o:spid="_x0000_s1910" type="#_x0000_t75" style="position:absolute;left:762;width:2103;height:2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yQfGAAAA3gAAAA8AAABkcnMvZG93bnJldi54bWxEj0FrwkAUhO9C/8PyCr3pxghaoqtIoMUe&#10;tQr19sg+k2j2bcium/jv3UKhx2FmvmFWm8E0IlDnassKppMEBHFhdc2lguP3x/gdhPPIGhvLpOBB&#10;Djbrl9EKM2173lM4+FJECLsMFVTet5mUrqjIoJvYljh6F9sZ9FF2pdQd9hFuGpkmyVwarDkuVNhS&#10;XlFxO9yNgsvp5/h1/czzrQ/nZH9LQ97vglJvr8N2CcLT4P/Df+2dVpDO5osF/N6JV0Cu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CbJB8YAAADeAAAADwAAAAAAAAAAAAAA&#10;AACfAgAAZHJzL2Rvd25yZXYueG1sUEsFBgAAAAAEAAQA9wAAAJIDAAAAAA==&#10;">
                  <v:imagedata r:id="rId279" o:title=""/>
                </v:shape>
                <v:rect id="Rectangle 23678" o:spid="_x0000_s1911" style="position:absolute;left:3962;top:344;width:2170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wlsQA&#10;AADeAAAADwAAAGRycy9kb3ducmV2LnhtbERPy4rCMBTdD/gP4QruxlQFR6tRxAe6dKqg7i7NtS02&#10;N6WJtjNfbxYDszyc93zZmlK8qHaFZQWDfgSCOLW64EzB+bT7nIBwHlljaZkU/JCD5aLzMcdY24a/&#10;6ZX4TIQQdjEqyL2vYildmpNB17cVceDutjboA6wzqWtsQrgp5TCKxtJgwaEhx4rWOaWP5GkU7CfV&#10;6nqwv01Wbm/7y/Ey3ZymXqlet13NQHhq/b/4z33QCoaj8Vf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JbEAAAA3gAAAA8AAAAAAAAAAAAAAAAAmAIAAGRycy9k&#10;b3ducmV2LnhtbFBLBQYAAAAABAAEAPUAAACJAwAAAAA=&#10;" filled="f" stroked="f">
                  <v:textbox inset="0,0,0,0">
                    <w:txbxContent>
                      <w:p w:rsidR="00EE13F6" w:rsidRDefault="002E5BC4">
                        <w:r>
                          <w:rPr>
                            <w:rFonts w:ascii="Courier New" w:eastAsia="Courier New" w:hAnsi="Courier New" w:cs="Courier New"/>
                            <w:w w:val="84"/>
                            <w:sz w:val="18"/>
                          </w:rPr>
                          <w:t>Published</w:t>
                        </w:r>
                        <w:r>
                          <w:rPr>
                            <w:rFonts w:ascii="Courier New" w:eastAsia="Courier New" w:hAnsi="Courier New" w:cs="Courier New"/>
                            <w:spacing w:val="-61"/>
                            <w:w w:val="84"/>
                            <w:sz w:val="18"/>
                          </w:rPr>
                          <w:t xml:space="preserve"> </w:t>
                        </w:r>
                        <w:r>
                          <w:rPr>
                            <w:rFonts w:ascii="Courier New" w:eastAsia="Courier New" w:hAnsi="Courier New" w:cs="Courier New"/>
                            <w:w w:val="84"/>
                            <w:sz w:val="18"/>
                          </w:rPr>
                          <w:t>online:</w:t>
                        </w:r>
                        <w:r>
                          <w:rPr>
                            <w:rFonts w:ascii="Courier New" w:eastAsia="Courier New" w:hAnsi="Courier New" w:cs="Courier New"/>
                            <w:spacing w:val="-61"/>
                            <w:w w:val="84"/>
                            <w:sz w:val="18"/>
                          </w:rPr>
                          <w:t xml:space="preserve"> </w:t>
                        </w:r>
                        <w:r>
                          <w:rPr>
                            <w:rFonts w:ascii="Courier New" w:eastAsia="Courier New" w:hAnsi="Courier New" w:cs="Courier New"/>
                            <w:w w:val="84"/>
                            <w:sz w:val="18"/>
                          </w:rPr>
                          <w:t>21</w:t>
                        </w:r>
                        <w:r>
                          <w:rPr>
                            <w:rFonts w:ascii="Courier New" w:eastAsia="Courier New" w:hAnsi="Courier New" w:cs="Courier New"/>
                            <w:spacing w:val="-61"/>
                            <w:w w:val="84"/>
                            <w:sz w:val="18"/>
                          </w:rPr>
                          <w:t xml:space="preserve"> </w:t>
                        </w:r>
                        <w:r>
                          <w:rPr>
                            <w:rFonts w:ascii="Courier New" w:eastAsia="Courier New" w:hAnsi="Courier New" w:cs="Courier New"/>
                            <w:w w:val="84"/>
                            <w:sz w:val="18"/>
                          </w:rPr>
                          <w:t>Aug</w:t>
                        </w:r>
                        <w:r>
                          <w:rPr>
                            <w:rFonts w:ascii="Courier New" w:eastAsia="Courier New" w:hAnsi="Courier New" w:cs="Courier New"/>
                            <w:spacing w:val="-61"/>
                            <w:w w:val="84"/>
                            <w:sz w:val="18"/>
                          </w:rPr>
                          <w:t xml:space="preserve"> </w:t>
                        </w:r>
                        <w:r>
                          <w:rPr>
                            <w:rFonts w:ascii="Courier New" w:eastAsia="Courier New" w:hAnsi="Courier New" w:cs="Courier New"/>
                            <w:w w:val="84"/>
                            <w:sz w:val="18"/>
                          </w:rPr>
                          <w:t>2017.</w:t>
                        </w:r>
                      </w:p>
                    </w:txbxContent>
                  </v:textbox>
                </v:rect>
                <v:shape id="Shape 23680" o:spid="_x0000_s1912" style="position:absolute;top:9949;width:27127;height:0;visibility:visible;mso-wrap-style:square;v-text-anchor:top" coordsize="2712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Vp8YA&#10;AADeAAAADwAAAGRycy9kb3ducmV2LnhtbESPy2oCMRSG90LfIZxCd5rRgpfRKFYR1HZRLw9wnBxn&#10;hk5OhiTq6NObhdDlz3/jm8waU4krOV9aVtDtJCCIM6tLzhUcD6v2EIQPyBory6TgTh5m07fWBFNt&#10;b7yj6z7kIo6wT1FBEUKdSumzggz6jq2Jo3e2zmCI0uVSO7zFcVPJXpL0pcGS40OBNS0Kyv72F6Ng&#10;O9f+9P3DeB5t6sPy6zFwv5uBUh/vzXwMIlAT/sOv9lor6H32hxEg4kQU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0Vp8YAAADeAAAADwAAAAAAAAAAAAAAAACYAgAAZHJz&#10;L2Rvd25yZXYueG1sUEsFBgAAAAAEAAQA9QAAAIsDAAAAAA==&#10;" path="m,l2712720,e" filled="f" strokeweight=".9pt">
                  <v:stroke miterlimit="83231f" joinstyle="miter"/>
                  <v:path arrowok="t" textboxrect="0,0,2712720,0"/>
                </v:shape>
                <v:shape id="Picture 23681" o:spid="_x0000_s1913" type="#_x0000_t75" style="position:absolute;left:762;top:5448;width:2232;height:1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2xN7FAAAA3gAAAA8AAABkcnMvZG93bnJldi54bWxEj91qwkAUhO8LvsNyBO/qxoSIpK4irULu&#10;StUHOGRPk2j2bMyu+Xn7bqHQy2FmvmG2+9E0oqfO1ZYVrJYRCOLC6ppLBdfL6XUDwnlkjY1lUjCR&#10;g/1u9rLFTNuBv6g/+1IECLsMFVTet5mUrqjIoFvaljh437Yz6IPsSqk7HALcNDKOorU0WHNYqLCl&#10;94qK+/lpFMhkevS3fJQ2tjr9OKaf+fXSK7WYj4c3EJ5G/x/+a+daQZysNyv4vROu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9sTexQAAAN4AAAAPAAAAAAAAAAAAAAAA&#10;AJ8CAABkcnMvZG93bnJldi54bWxQSwUGAAAAAAQABAD3AAAAkQMAAAAA&#10;">
                  <v:imagedata r:id="rId280" o:title=""/>
                </v:shape>
                <v:rect id="Rectangle 23721" o:spid="_x0000_s1914" style="position:absolute;left:3962;top:6040;width:23622;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5i8cA&#10;AADeAAAADwAAAGRycy9kb3ducmV2LnhtbESPW2vCQBSE34X+h+UUfNONEbxEV5G2oo9eCurbIXtM&#10;QrNnQ3Y1sb++Kwh9HGbmG2a+bE0p7lS7wrKCQT8CQZxaXXCm4Pu47k1AOI+ssbRMCh7kYLl468wx&#10;0bbhPd0PPhMBwi5BBbn3VSKlS3My6Pq2Ig7e1dYGfZB1JnWNTYCbUsZRNJIGCw4LOVb0kVP6c7gZ&#10;BZtJtTpv7W+TlV+XzWl3mn4ep16p7nu7moHw1Pr/8Ku91Qri4Tge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kOYvHAAAA3gAAAA8AAAAAAAAAAAAAAAAAmAIAAGRy&#10;cy9kb3ducmV2LnhtbFBLBQYAAAAABAAEAPUAAACMAwAAAAA=&#10;" filled="f" stroked="f">
                  <v:textbox inset="0,0,0,0">
                    <w:txbxContent>
                      <w:p w:rsidR="00EE13F6" w:rsidRDefault="002E5BC4">
                        <w:r>
                          <w:rPr>
                            <w:rFonts w:ascii="Courier New" w:eastAsia="Courier New" w:hAnsi="Courier New" w:cs="Courier New"/>
                            <w:w w:val="79"/>
                            <w:sz w:val="18"/>
                          </w:rPr>
                          <w:t>Submit</w:t>
                        </w:r>
                        <w:r>
                          <w:rPr>
                            <w:rFonts w:ascii="Courier New" w:eastAsia="Courier New" w:hAnsi="Courier New" w:cs="Courier New"/>
                            <w:spacing w:val="-61"/>
                            <w:w w:val="79"/>
                            <w:sz w:val="18"/>
                          </w:rPr>
                          <w:t xml:space="preserve"> </w:t>
                        </w:r>
                        <w:r>
                          <w:rPr>
                            <w:rFonts w:ascii="Courier New" w:eastAsia="Courier New" w:hAnsi="Courier New" w:cs="Courier New"/>
                            <w:w w:val="79"/>
                            <w:sz w:val="18"/>
                          </w:rPr>
                          <w:t>your</w:t>
                        </w:r>
                        <w:r>
                          <w:rPr>
                            <w:rFonts w:ascii="Courier New" w:eastAsia="Courier New" w:hAnsi="Courier New" w:cs="Courier New"/>
                            <w:spacing w:val="-61"/>
                            <w:w w:val="79"/>
                            <w:sz w:val="18"/>
                          </w:rPr>
                          <w:t xml:space="preserve"> </w:t>
                        </w:r>
                        <w:r>
                          <w:rPr>
                            <w:rFonts w:ascii="Courier New" w:eastAsia="Courier New" w:hAnsi="Courier New" w:cs="Courier New"/>
                            <w:w w:val="79"/>
                            <w:sz w:val="18"/>
                          </w:rPr>
                          <w:t>article</w:t>
                        </w:r>
                        <w:r>
                          <w:rPr>
                            <w:rFonts w:ascii="Courier New" w:eastAsia="Courier New" w:hAnsi="Courier New" w:cs="Courier New"/>
                            <w:spacing w:val="-61"/>
                            <w:w w:val="79"/>
                            <w:sz w:val="18"/>
                          </w:rPr>
                          <w:t xml:space="preserve"> </w:t>
                        </w:r>
                        <w:r>
                          <w:rPr>
                            <w:rFonts w:ascii="Courier New" w:eastAsia="Courier New" w:hAnsi="Courier New" w:cs="Courier New"/>
                            <w:w w:val="79"/>
                            <w:sz w:val="18"/>
                          </w:rPr>
                          <w:t>to</w:t>
                        </w:r>
                        <w:r>
                          <w:rPr>
                            <w:rFonts w:ascii="Courier New" w:eastAsia="Courier New" w:hAnsi="Courier New" w:cs="Courier New"/>
                            <w:spacing w:val="-61"/>
                            <w:w w:val="79"/>
                            <w:sz w:val="18"/>
                          </w:rPr>
                          <w:t xml:space="preserve"> </w:t>
                        </w:r>
                        <w:r>
                          <w:rPr>
                            <w:rFonts w:ascii="Courier New" w:eastAsia="Courier New" w:hAnsi="Courier New" w:cs="Courier New"/>
                            <w:w w:val="79"/>
                            <w:sz w:val="18"/>
                          </w:rPr>
                          <w:t>this</w:t>
                        </w:r>
                        <w:r>
                          <w:rPr>
                            <w:rFonts w:ascii="Courier New" w:eastAsia="Courier New" w:hAnsi="Courier New" w:cs="Courier New"/>
                            <w:spacing w:val="-61"/>
                            <w:w w:val="79"/>
                            <w:sz w:val="18"/>
                          </w:rPr>
                          <w:t xml:space="preserve"> </w:t>
                        </w:r>
                        <w:r>
                          <w:rPr>
                            <w:rFonts w:ascii="Courier New" w:eastAsia="Courier New" w:hAnsi="Courier New" w:cs="Courier New"/>
                            <w:w w:val="79"/>
                            <w:sz w:val="18"/>
                          </w:rPr>
                          <w:t>journal</w:t>
                        </w:r>
                      </w:p>
                    </w:txbxContent>
                  </v:textbox>
                </v:rect>
                <v:rect id="Rectangle 23722" o:spid="_x0000_s1915" style="position:absolute;left:21723;top:6040;width:394;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n/McA&#10;AADeAAAADwAAAGRycy9kb3ducmV2LnhtbESPQWvCQBSE74X+h+UVems2TUFjdBWpih6tFlJvj+xr&#10;Epp9G7Krif31XUHocZiZb5jZYjCNuFDnassKXqMYBHFhdc2lgs/j5iUF4TyyxsYyKbiSg8X88WGG&#10;mbY9f9Dl4EsRIOwyVFB532ZSuqIigy6yLXHwvm1n0AfZlVJ32Ae4aWQSxyNpsOawUGFL7xUVP4ez&#10;UbBN2+XXzv72ZbM+bfN9PlkdJ16p56dhOQXhafD/4Xt7pxUkb+Mk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2p/zHAAAA3gAAAA8AAAAAAAAAAAAAAAAAmAIAAGRy&#10;cy9kb3ducmV2LnhtbFBLBQYAAAAABAAEAPUAAACMAwAAAAA=&#10;" filled="f" stroked="f">
                  <v:textbox inset="0,0,0,0">
                    <w:txbxContent>
                      <w:p w:rsidR="00EE13F6" w:rsidRDefault="002E5BC4">
                        <w:hyperlink r:id="rId281">
                          <w:r>
                            <w:rPr>
                              <w:rFonts w:ascii="Courier New" w:eastAsia="Courier New" w:hAnsi="Courier New" w:cs="Courier New"/>
                              <w:sz w:val="18"/>
                            </w:rPr>
                            <w:t xml:space="preserve"> </w:t>
                          </w:r>
                        </w:hyperlink>
                      </w:p>
                    </w:txbxContent>
                  </v:textbox>
                </v:rect>
                <v:shape id="Picture 23683" o:spid="_x0000_s1916" type="#_x0000_t75" style="position:absolute;left:22019;top:6146;width:1651;height:1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edzGAAAA3gAAAA8AAABkcnMvZG93bnJldi54bWxEj0FrwkAUhO+F/oflFXqrGxUlRleRQml7&#10;EWLF82P3mcRm36bZNSb/3hWEHoeZ+YZZbXpbi45aXzlWMB4lIIi1MxUXCg4/H28pCB+QDdaOScFA&#10;Hjbr56cVZsZdOaduHwoRIewzVFCG0GRSel2SRT9yDXH0Tq61GKJsC2lavEa4reUkSebSYsVxocSG&#10;3kvSv/uLVYC5DtvPbjE7H//y7+Gy08N4lyr1+tJvlyAC9eE//Gh/GQWT6Tydwv1OvA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V53MYAAADeAAAADwAAAAAAAAAAAAAA&#10;AACfAgAAZHJzL2Rvd25yZXYueG1sUEsFBgAAAAAEAAQA9wAAAJIDAAAAAA==&#10;">
                  <v:imagedata r:id="rId282" o:title=""/>
                </v:shape>
                <v:shape id="Shape 23685" o:spid="_x0000_s1917" style="position:absolute;top:15398;width:27127;height:0;visibility:visible;mso-wrap-style:square;v-text-anchor:top" coordsize="2712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2P8gA&#10;AADeAAAADwAAAGRycy9kb3ducmV2LnhtbESPzW7CMBCE75V4B2uReisOVEAIGERbIZXCgb8HWOIl&#10;iRqvI9uFtE9fV6rEcTQz32hmi9bU4krOV5YV9HsJCOLc6ooLBafj6ikF4QOyxtoyKfgmD4t552GG&#10;mbY33tP1EAoRIewzVFCG0GRS+rwkg75nG+LoXawzGKJ0hdQObxFuajlIkpE0WHFcKLGh15Lyz8OX&#10;UfCx1P682TJeJuvm+PbyM3a79Vipx267nIII1IZ7+L/9rhUMnkfpE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erY/yAAAAN4AAAAPAAAAAAAAAAAAAAAAAJgCAABk&#10;cnMvZG93bnJldi54bWxQSwUGAAAAAAQABAD1AAAAjQMAAAAA&#10;" path="m,l2712720,e" filled="f" strokeweight=".9pt">
                  <v:stroke miterlimit="83231f" joinstyle="miter"/>
                  <v:path arrowok="t" textboxrect="0,0,2712720,0"/>
                </v:shape>
                <v:shape id="Picture 23686" o:spid="_x0000_s1918" type="#_x0000_t75" style="position:absolute;left:762;top:10896;width:2560;height: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7PPLEAAAA3gAAAA8AAABkcnMvZG93bnJldi54bWxEj0uLwjAUhfcD/odwBXdj6mOKVKPIMOos&#10;tXbj7tJc22JzU5qo7b83wsAsD+fxcVabztTiQa2rLCuYjCMQxLnVFRcKsvPucwHCeWSNtWVS0JOD&#10;zXrwscJE2yef6JH6QoQRdgkqKL1vEildXpJBN7YNcfCutjXog2wLqVt8hnFTy2kUxdJgxYFQYkPf&#10;JeW39G4C5NYfMs5/LrOjLU77+bk/fmWpUqNht12C8NT5//Bf+1crmM7iRQzvO+EKy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7PPLEAAAA3gAAAA8AAAAAAAAAAAAAAAAA&#10;nwIAAGRycy9kb3ducmV2LnhtbFBLBQYAAAAABAAEAPcAAACQAwAAAAA=&#10;">
                  <v:imagedata r:id="rId283" o:title=""/>
                </v:shape>
                <v:rect id="Rectangle 23687" o:spid="_x0000_s1919" style="position:absolute;left:3962;top:11240;width:11260;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Uw8gA&#10;AADeAAAADwAAAGRycy9kb3ducmV2LnhtbESPT2vCQBTE7wW/w/KE3upGCzbGbES0RY/1D6i3R/aZ&#10;BLNvQ3Zr0n76bqHgcZiZ3zDpoje1uFPrKssKxqMIBHFudcWFguPh4yUG4TyyxtoyKfgmB4ts8JRi&#10;om3HO7rvfSEChF2CCkrvm0RKl5dk0I1sQxy8q20N+iDbQuoWuwA3tZxE0VQarDgslNjQqqT8tv8y&#10;CjZxszxv7U9X1O+XzenzNFsfZl6p52G/nIPw1PtH+L+91Qomr9P4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hlTDyAAAAN4AAAAPAAAAAAAAAAAAAAAAAJgCAABk&#10;cnMvZG93bnJldi54bWxQSwUGAAAAAAQABAD1AAAAjQMAAAAA&#10;" filled="f" stroked="f">
                  <v:textbox inset="0,0,0,0">
                    <w:txbxContent>
                      <w:p w:rsidR="00EE13F6" w:rsidRDefault="002E5BC4">
                        <w:r>
                          <w:rPr>
                            <w:rFonts w:ascii="Courier New" w:eastAsia="Courier New" w:hAnsi="Courier New" w:cs="Courier New"/>
                            <w:w w:val="76"/>
                            <w:sz w:val="18"/>
                          </w:rPr>
                          <w:t>Article</w:t>
                        </w:r>
                        <w:r>
                          <w:rPr>
                            <w:rFonts w:ascii="Courier New" w:eastAsia="Courier New" w:hAnsi="Courier New" w:cs="Courier New"/>
                            <w:spacing w:val="-61"/>
                            <w:w w:val="76"/>
                            <w:sz w:val="18"/>
                          </w:rPr>
                          <w:t xml:space="preserve"> </w:t>
                        </w:r>
                        <w:r>
                          <w:rPr>
                            <w:rFonts w:ascii="Courier New" w:eastAsia="Courier New" w:hAnsi="Courier New" w:cs="Courier New"/>
                            <w:w w:val="76"/>
                            <w:sz w:val="18"/>
                          </w:rPr>
                          <w:t>views:</w:t>
                        </w:r>
                        <w:r>
                          <w:rPr>
                            <w:rFonts w:ascii="Courier New" w:eastAsia="Courier New" w:hAnsi="Courier New" w:cs="Courier New"/>
                            <w:spacing w:val="-61"/>
                            <w:w w:val="76"/>
                            <w:sz w:val="18"/>
                          </w:rPr>
                          <w:t xml:space="preserve"> </w:t>
                        </w:r>
                        <w:r>
                          <w:rPr>
                            <w:rFonts w:ascii="Courier New" w:eastAsia="Courier New" w:hAnsi="Courier New" w:cs="Courier New"/>
                            <w:w w:val="76"/>
                            <w:sz w:val="18"/>
                          </w:rPr>
                          <w:t>13</w:t>
                        </w:r>
                      </w:p>
                    </w:txbxContent>
                  </v:textbox>
                </v:rect>
                <v:shape id="Shape 23689" o:spid="_x0000_s1920" style="position:absolute;top:20846;width:27127;height:0;visibility:visible;mso-wrap-style:square;v-text-anchor:top" coordsize="2712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8OscA&#10;AADeAAAADwAAAGRycy9kb3ducmV2LnhtbESP3WoCMRSE7wu+QziCdzWrBX9Wo9gWQVsv/HuA4+a4&#10;u7g5WZKoq0/fFAq9HGbmG2Y6b0wlbuR8aVlBr5uAIM6sLjlXcDwsX0cgfEDWWFkmBQ/yMJ+1XqaY&#10;anvnHd32IRcRwj5FBUUIdSqlzwoy6Lu2Jo7e2TqDIUqXS+3wHuGmkv0kGUiDJceFAmv6KCi77K9G&#10;wddC+9P3hvE8XteHz/fn0G3XQ6U67WYxARGoCf/hv/ZKK+i/DUZj+L0Tr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3vDrHAAAA3gAAAA8AAAAAAAAAAAAAAAAAmAIAAGRy&#10;cy9kb3ducmV2LnhtbFBLBQYAAAAABAAEAPUAAACMAwAAAAA=&#10;" path="m,l2712720,e" filled="f" strokeweight=".9pt">
                  <v:stroke miterlimit="83231f" joinstyle="miter"/>
                  <v:path arrowok="t" textboxrect="0,0,2712720,0"/>
                </v:shape>
                <v:shape id="Picture 23690" o:spid="_x0000_s1921" type="#_x0000_t75" style="position:absolute;left:762;top:16344;width:2001;height:2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nQLFAAAA3gAAAA8AAABkcnMvZG93bnJldi54bWxEj11rwjAUhu+F/YdwBt5pqgOZnVFEGRMZ&#10;zFZht4fm2Babky6Jtf57czHw8uX94lmsetOIjpyvLSuYjBMQxIXVNZcKTsfP0TsIH5A1NpZJwZ08&#10;rJYvgwWm2t44oy4PpYgj7FNUUIXQplL6oiKDfmxb4uidrTMYonSl1A5vcdw0cpokM2mw5vhQYUub&#10;iopLfjUKzvPTn80cTb72h+wnZL/dd77tlBq+9usPEIH68Az/t3dawfRtNo8AESei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sZ0CxQAAAN4AAAAPAAAAAAAAAAAAAAAA&#10;AJ8CAABkcnMvZG93bnJldi54bWxQSwUGAAAAAAQABAD3AAAAkQMAAAAA&#10;">
                  <v:imagedata r:id="rId284" o:title=""/>
                </v:shape>
                <v:rect id="Rectangle 23723" o:spid="_x0000_s1922" style="position:absolute;left:3962;top:16937;width:1413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CZ8cA&#10;AADeAAAADwAAAGRycy9kb3ducmV2LnhtbESPT2vCQBTE70K/w/IK3nTTCDZGV5HWokf/gXp7ZJ9J&#10;aPZtyG5N7KfvCgWPw8z8hpktOlOJGzWutKzgbRiBIM6sLjlXcDx8DRIQziNrrCyTgjs5WMxfejNM&#10;tW15R7e9z0WAsEtRQeF9nUrpsoIMuqGtiYN3tY1BH2STS91gG+CmknEUjaXBksNCgTV9FJR973+M&#10;gnVSL88b+9vm1eqyPm1Pk8/DxCvVf+2WUxCeOv8M/7c3WkE8eo9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6AmfHAAAA3gAAAA8AAAAAAAAAAAAAAAAAmAIAAGRy&#10;cy9kb3ducmV2LnhtbFBLBQYAAAAABAAEAPUAAACMAwAAAAA=&#10;" filled="f" stroked="f">
                  <v:textbox inset="0,0,0,0">
                    <w:txbxContent>
                      <w:p w:rsidR="00EE13F6" w:rsidRDefault="002E5BC4">
                        <w:r>
                          <w:rPr>
                            <w:rFonts w:ascii="Courier New" w:eastAsia="Courier New" w:hAnsi="Courier New" w:cs="Courier New"/>
                            <w:w w:val="77"/>
                            <w:sz w:val="18"/>
                          </w:rPr>
                          <w:t>View</w:t>
                        </w:r>
                        <w:r>
                          <w:rPr>
                            <w:rFonts w:ascii="Courier New" w:eastAsia="Courier New" w:hAnsi="Courier New" w:cs="Courier New"/>
                            <w:spacing w:val="-61"/>
                            <w:w w:val="77"/>
                            <w:sz w:val="18"/>
                          </w:rPr>
                          <w:t xml:space="preserve"> </w:t>
                        </w:r>
                        <w:r>
                          <w:rPr>
                            <w:rFonts w:ascii="Courier New" w:eastAsia="Courier New" w:hAnsi="Courier New" w:cs="Courier New"/>
                            <w:w w:val="77"/>
                            <w:sz w:val="18"/>
                          </w:rPr>
                          <w:t>related</w:t>
                        </w:r>
                        <w:r>
                          <w:rPr>
                            <w:rFonts w:ascii="Courier New" w:eastAsia="Courier New" w:hAnsi="Courier New" w:cs="Courier New"/>
                            <w:spacing w:val="-61"/>
                            <w:w w:val="77"/>
                            <w:sz w:val="18"/>
                          </w:rPr>
                          <w:t xml:space="preserve"> </w:t>
                        </w:r>
                        <w:r>
                          <w:rPr>
                            <w:rFonts w:ascii="Courier New" w:eastAsia="Courier New" w:hAnsi="Courier New" w:cs="Courier New"/>
                            <w:w w:val="77"/>
                            <w:sz w:val="18"/>
                          </w:rPr>
                          <w:t>articles</w:t>
                        </w:r>
                      </w:p>
                    </w:txbxContent>
                  </v:textbox>
                </v:rect>
                <v:rect id="Rectangle 23724" o:spid="_x0000_s1923" style="position:absolute;left:14593;top:16937;width:39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aE8cA&#10;AADeAAAADwAAAGRycy9kb3ducmV2LnhtbESPT2vCQBTE70K/w/IKvemmqViNriL+QY9WC7a3R/aZ&#10;hGbfhuxqop/eFYQeh5n5DTOZtaYUF6pdYVnBey8CQZxaXXCm4Puw7g5BOI+ssbRMCq7kYDZ96Uww&#10;0bbhL7rsfSYChF2CCnLvq0RKl+Zk0PVsRRy8k60N+iDrTOoamwA3pYyjaCANFhwWcqxokVP6tz8b&#10;BZthNf/Z2luTlavfzXF3HC0PI6/U22s7H4Pw1Pr/8LO91Qrij8+4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TmhPHAAAA3gAAAA8AAAAAAAAAAAAAAAAAmAIAAGRy&#10;cy9kb3ducmV2LnhtbFBLBQYAAAAABAAEAPUAAACMAwAAAAA=&#10;" filled="f" stroked="f">
                  <v:textbox inset="0,0,0,0">
                    <w:txbxContent>
                      <w:p w:rsidR="00EE13F6" w:rsidRDefault="002E5BC4">
                        <w:hyperlink r:id="rId285">
                          <w:r>
                            <w:rPr>
                              <w:rFonts w:ascii="Courier New" w:eastAsia="Courier New" w:hAnsi="Courier New" w:cs="Courier New"/>
                              <w:sz w:val="18"/>
                            </w:rPr>
                            <w:t xml:space="preserve"> </w:t>
                          </w:r>
                        </w:hyperlink>
                      </w:p>
                    </w:txbxContent>
                  </v:textbox>
                </v:rect>
                <v:shape id="Picture 23692" o:spid="_x0000_s1924" type="#_x0000_t75" style="position:absolute;left:14889;top:17043;width:1651;height:1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QSprGAAAA3gAAAA8AAABkcnMvZG93bnJldi54bWxEj0FrwkAUhO+F/oflFXqrG1MUja4iBbG9&#10;CLHi+bH7TKLZt2l2jcm/dwuFHoeZ+YZZrntbi45aXzlWMB4lIIi1MxUXCo7f27cZCB+QDdaOScFA&#10;Htar56clZsbdOafuEAoRIewzVFCG0GRSel2SRT9yDXH0zq61GKJsC2lavEe4rWWaJFNpseK4UGJD&#10;HyXp6+FmFWCuw2bXzSeX00/+Ndz2ehjvZ0q9vvSbBYhAffgP/7U/jYL0fTpP4fdOvAJy9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BKmsYAAADeAAAADwAAAAAAAAAAAAAA&#10;AACfAgAAZHJzL2Rvd25yZXYueG1sUEsFBgAAAAAEAAQA9wAAAJIDAAAAAA==&#10;">
                  <v:imagedata r:id="rId282" o:title=""/>
                </v:shape>
                <v:shape id="Shape 23694" o:spid="_x0000_s1925" style="position:absolute;top:26294;width:27127;height:0;visibility:visible;mso-wrap-style:square;v-text-anchor:top" coordsize="2712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eccA&#10;AADeAAAADwAAAGRycy9kb3ducmV2LnhtbESP3WoCMRSE7wu+QziF3mm2VrSuRrEVwb+LVvsAx81x&#10;d3FzsiRRtz69KQi9HGbmG2Y8bUwlLuR8aVnBaycBQZxZXXKu4Ge/aL+D8AFZY2WZFPySh+mk9TTG&#10;VNsrf9NlF3IRIexTVFCEUKdS+qwgg75ja+LoHa0zGKJ0udQOrxFuKtlNkr40WHJcKLCmz4Ky0+5s&#10;FKxn2h82W8bjcFXv5x+3gftaDZR6eW5mIxCBmvAffrSXWkH3rT/swd+deAX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vhXnHAAAA3gAAAA8AAAAAAAAAAAAAAAAAmAIAAGRy&#10;cy9kb3ducmV2LnhtbFBLBQYAAAAABAAEAPUAAACMAwAAAAA=&#10;" path="m,l2712720,e" filled="f" strokeweight=".9pt">
                  <v:stroke miterlimit="83231f" joinstyle="miter"/>
                  <v:path arrowok="t" textboxrect="0,0,2712720,0"/>
                </v:shape>
                <v:shape id="Picture 23695" o:spid="_x0000_s1926" type="#_x0000_t75" style="position:absolute;left:762;top:21793;width:2357;height:2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GhXHFAAAA3gAAAA8AAABkcnMvZG93bnJldi54bWxEj0GLwjAUhO/C/ofwFrxpupaK2zWKCIo3&#10;tbqCt0fzti3bvJQmav33RhA8DjPzDTOdd6YWV2pdZVnB1zACQZxbXXGh4HhYDSYgnEfWWFsmBXdy&#10;MJ999KaYanvjPV0zX4gAYZeigtL7JpXS5SUZdEPbEAfvz7YGfZBtIXWLtwA3tRxF0VgarDgslNjQ&#10;sqT8P7sYBeff2FeXOEmyg7nvjtvkhEW9Vqr/2S1+QHjq/Dv8am+0glE8/k7geSdc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hoVxxQAAAN4AAAAPAAAAAAAAAAAAAAAA&#10;AJ8CAABkcnMvZG93bnJldi54bWxQSwUGAAAAAAQABAD3AAAAkQMAAAAA&#10;">
                  <v:imagedata r:id="rId286" o:title=""/>
                </v:shape>
                <v:rect id="Rectangle 23725" o:spid="_x0000_s1927" style="position:absolute;left:3962;top:22385;width:13983;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iMcA&#10;AADeAAAADwAAAGRycy9kb3ducmV2LnhtbESPT2vCQBTE70K/w/IKvemmKVqNriL+QY9WC7a3R/aZ&#10;hGbfhuxqop/eFYQeh5n5DTOZtaYUF6pdYVnBey8CQZxaXXCm4Puw7g5BOI+ssbRMCq7kYDZ96Uww&#10;0bbhL7rsfSYChF2CCnLvq0RKl+Zk0PVsRRy8k60N+iDrTOoamwA3pYyjaCANFhwWcqxokVP6tz8b&#10;BZthNf/Z2luTlavfzXF3HC0PI6/U22s7H4Pw1Pr/8LO91Qrij8+4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fP4jHAAAA3gAAAA8AAAAAAAAAAAAAAAAAmAIAAGRy&#10;cy9kb3ducmV2LnhtbFBLBQYAAAAABAAEAPUAAACMAwAAAAA=&#10;" filled="f" stroked="f">
                  <v:textbox inset="0,0,0,0">
                    <w:txbxContent>
                      <w:p w:rsidR="00EE13F6" w:rsidRDefault="002E5BC4">
                        <w:r>
                          <w:rPr>
                            <w:rFonts w:ascii="Courier New" w:eastAsia="Courier New" w:hAnsi="Courier New" w:cs="Courier New"/>
                            <w:w w:val="90"/>
                            <w:sz w:val="18"/>
                          </w:rPr>
                          <w:t>View</w:t>
                        </w:r>
                        <w:r>
                          <w:rPr>
                            <w:rFonts w:ascii="Courier New" w:eastAsia="Courier New" w:hAnsi="Courier New" w:cs="Courier New"/>
                            <w:spacing w:val="-61"/>
                            <w:w w:val="90"/>
                            <w:sz w:val="18"/>
                          </w:rPr>
                          <w:t xml:space="preserve"> </w:t>
                        </w:r>
                        <w:r>
                          <w:rPr>
                            <w:rFonts w:ascii="Courier New" w:eastAsia="Courier New" w:hAnsi="Courier New" w:cs="Courier New"/>
                            <w:w w:val="90"/>
                            <w:sz w:val="18"/>
                          </w:rPr>
                          <w:t>Crossmark</w:t>
                        </w:r>
                        <w:r>
                          <w:rPr>
                            <w:rFonts w:ascii="Courier New" w:eastAsia="Courier New" w:hAnsi="Courier New" w:cs="Courier New"/>
                            <w:spacing w:val="-61"/>
                            <w:w w:val="90"/>
                            <w:sz w:val="18"/>
                          </w:rPr>
                          <w:t xml:space="preserve"> </w:t>
                        </w:r>
                        <w:r>
                          <w:rPr>
                            <w:rFonts w:ascii="Courier New" w:eastAsia="Courier New" w:hAnsi="Courier New" w:cs="Courier New"/>
                            <w:w w:val="90"/>
                            <w:sz w:val="18"/>
                          </w:rPr>
                          <w:t>dat</w:t>
                        </w:r>
                      </w:p>
                    </w:txbxContent>
                  </v:textbox>
                </v:rect>
                <v:rect id="Rectangle 23726" o:spid="_x0000_s1928" style="position:absolute;left:14475;top:22385;width:84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h/8gA&#10;AADeAAAADwAAAGRycy9kb3ducmV2LnhtbESPT2vCQBTE7wW/w/KE3urGFNKYZhXRFj36D2xvj+xr&#10;Esy+DdmtSfvpu0LB4zAzv2HyxWAacaXO1ZYVTCcRCOLC6ppLBafj+1MKwnlkjY1lUvBDDhbz0UOO&#10;mbY97+l68KUIEHYZKqi8bzMpXVGRQTexLXHwvmxn0AfZlVJ32Ae4aWQcRYk0WHNYqLClVUXF5fBt&#10;FGzSdvmxtb992bx9bs6782x9nHmlHsfD8hWEp8Hfw//trVYQP7/E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TaH/yAAAAN4AAAAPAAAAAAAAAAAAAAAAAJgCAABk&#10;cnMvZG93bnJldi54bWxQSwUGAAAAAAQABAD1AAAAjQMAAAAA&#10;" filled="f" stroked="f">
                  <v:textbox inset="0,0,0,0">
                    <w:txbxContent>
                      <w:p w:rsidR="00EE13F6" w:rsidRDefault="002E5BC4">
                        <w:hyperlink r:id="rId287">
                          <w:r>
                            <w:rPr>
                              <w:rFonts w:ascii="Courier New" w:eastAsia="Courier New" w:hAnsi="Courier New" w:cs="Courier New"/>
                              <w:w w:val="92"/>
                              <w:sz w:val="18"/>
                            </w:rPr>
                            <w:t>a</w:t>
                          </w:r>
                        </w:hyperlink>
                      </w:p>
                    </w:txbxContent>
                  </v:textbox>
                </v:rect>
                <v:shape id="Picture 23697" o:spid="_x0000_s1929" type="#_x0000_t75" style="position:absolute;left:15111;top:22491;width:1651;height:1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n6QLHAAAA3gAAAA8AAABkcnMvZG93bnJldi54bWxEj0FrwkAUhO+F/oflFXqrGy21Gl1FCqX1&#10;IiQtPT92n0k0+zbNrjH5964geBxm5htmue5tLTpqfeVYwXiUgCDWzlRcKPj9+XyZgfAB2WDtmBQM&#10;5GG9enxYYmrcmTPq8lCICGGfooIyhCaV0uuSLPqRa4ijt3etxRBlW0jT4jnCbS0nSTKVFiuOCyU2&#10;9FGSPuYnqwAzHTZf3fzt8PefbYfTTg/j3Uyp56d+swARqA/38K39bRRMXqfzd7jeiVdAr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n6QLHAAAA3gAAAA8AAAAAAAAAAAAA&#10;AAAAnwIAAGRycy9kb3ducmV2LnhtbFBLBQYAAAAABAAEAPcAAACTAwAAAAA=&#10;">
                  <v:imagedata r:id="rId282" o:title=""/>
                </v:shape>
                <w10:anchorlock/>
              </v:group>
            </w:pict>
          </mc:Fallback>
        </mc:AlternateContent>
      </w:r>
    </w:p>
    <w:p w:rsidR="00EE13F6" w:rsidRDefault="002E5BC4">
      <w:pPr>
        <w:spacing w:after="0"/>
        <w:ind w:left="116"/>
        <w:jc w:val="center"/>
      </w:pPr>
      <w:r>
        <w:rPr>
          <w:rFonts w:ascii="Arial" w:eastAsia="Arial" w:hAnsi="Arial" w:cs="Arial"/>
          <w:sz w:val="24"/>
        </w:rPr>
        <w:lastRenderedPageBreak/>
        <w:t>1</w:t>
      </w:r>
      <w:r>
        <w:rPr>
          <w:rFonts w:ascii="Arial" w:eastAsia="Arial" w:hAnsi="Arial" w:cs="Arial"/>
          <w:sz w:val="24"/>
        </w:rPr>
        <w:t>59</w:t>
      </w:r>
    </w:p>
    <w:p w:rsidR="00EE13F6" w:rsidRDefault="00EE13F6">
      <w:pPr>
        <w:sectPr w:rsidR="00EE13F6">
          <w:headerReference w:type="even" r:id="rId288"/>
          <w:headerReference w:type="default" r:id="rId289"/>
          <w:footerReference w:type="even" r:id="rId290"/>
          <w:footerReference w:type="default" r:id="rId291"/>
          <w:headerReference w:type="first" r:id="rId292"/>
          <w:footerReference w:type="first" r:id="rId293"/>
          <w:footnotePr>
            <w:numRestart w:val="eachPage"/>
          </w:footnotePr>
          <w:pgSz w:w="12686" w:h="16661"/>
          <w:pgMar w:top="379" w:right="2058" w:bottom="1440" w:left="1942" w:header="720" w:footer="720" w:gutter="0"/>
          <w:cols w:space="720"/>
        </w:sectPr>
      </w:pPr>
    </w:p>
    <w:p w:rsidR="00EE13F6" w:rsidRDefault="002E5BC4">
      <w:pPr>
        <w:spacing w:after="223"/>
        <w:ind w:right="-238"/>
      </w:pPr>
      <w:r>
        <w:rPr>
          <w:noProof/>
        </w:rPr>
        <w:lastRenderedPageBreak/>
        <mc:AlternateContent>
          <mc:Choice Requires="wpg">
            <w:drawing>
              <wp:inline distT="0" distB="0" distL="0" distR="0">
                <wp:extent cx="6216484" cy="612711"/>
                <wp:effectExtent l="0" t="0" r="0" b="0"/>
                <wp:docPr id="214719" name="Group 214719"/>
                <wp:cNvGraphicFramePr/>
                <a:graphic xmlns:a="http://schemas.openxmlformats.org/drawingml/2006/main">
                  <a:graphicData uri="http://schemas.microsoft.com/office/word/2010/wordprocessingGroup">
                    <wpg:wgp>
                      <wpg:cNvGrpSpPr/>
                      <wpg:grpSpPr>
                        <a:xfrm>
                          <a:off x="0" y="0"/>
                          <a:ext cx="6216484" cy="612711"/>
                          <a:chOff x="0" y="0"/>
                          <a:chExt cx="6216484" cy="612711"/>
                        </a:xfrm>
                      </wpg:grpSpPr>
                      <wps:wsp>
                        <wps:cNvPr id="230918" name="Shape 230918"/>
                        <wps:cNvSpPr/>
                        <wps:spPr>
                          <a:xfrm>
                            <a:off x="12" y="380149"/>
                            <a:ext cx="6216472" cy="12243"/>
                          </a:xfrm>
                          <a:custGeom>
                            <a:avLst/>
                            <a:gdLst/>
                            <a:ahLst/>
                            <a:cxnLst/>
                            <a:rect l="0" t="0" r="0" b="0"/>
                            <a:pathLst>
                              <a:path w="6216472" h="12243">
                                <a:moveTo>
                                  <a:pt x="0" y="0"/>
                                </a:moveTo>
                                <a:lnTo>
                                  <a:pt x="6216472" y="0"/>
                                </a:lnTo>
                                <a:lnTo>
                                  <a:pt x="6216472" y="12243"/>
                                </a:lnTo>
                                <a:lnTo>
                                  <a:pt x="0" y="12243"/>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841" name="Rectangle 23841"/>
                        <wps:cNvSpPr/>
                        <wps:spPr>
                          <a:xfrm>
                            <a:off x="0" y="122204"/>
                            <a:ext cx="1362959" cy="115406"/>
                          </a:xfrm>
                          <a:prstGeom prst="rect">
                            <a:avLst/>
                          </a:prstGeom>
                          <a:ln>
                            <a:noFill/>
                          </a:ln>
                        </wps:spPr>
                        <wps:txbx>
                          <w:txbxContent>
                            <w:p w:rsidR="00EE13F6" w:rsidRDefault="002E5BC4">
                              <w:r>
                                <w:rPr>
                                  <w:w w:val="94"/>
                                  <w:sz w:val="15"/>
                                </w:rPr>
                                <w:t>APPLIED</w:t>
                              </w:r>
                              <w:r>
                                <w:rPr>
                                  <w:spacing w:val="16"/>
                                  <w:w w:val="94"/>
                                  <w:sz w:val="15"/>
                                </w:rPr>
                                <w:t xml:space="preserve"> </w:t>
                              </w:r>
                              <w:r>
                                <w:rPr>
                                  <w:w w:val="94"/>
                                  <w:sz w:val="15"/>
                                </w:rPr>
                                <w:t>ECONOMICS,</w:t>
                              </w:r>
                              <w:r>
                                <w:rPr>
                                  <w:spacing w:val="16"/>
                                  <w:w w:val="94"/>
                                  <w:sz w:val="15"/>
                                </w:rPr>
                                <w:t xml:space="preserve"> </w:t>
                              </w:r>
                              <w:r>
                                <w:rPr>
                                  <w:w w:val="94"/>
                                  <w:sz w:val="15"/>
                                </w:rPr>
                                <w:t>2017</w:t>
                              </w:r>
                            </w:p>
                          </w:txbxContent>
                        </wps:txbx>
                        <wps:bodyPr horzOverflow="overflow" vert="horz" lIns="0" tIns="0" rIns="0" bIns="0" rtlCol="0">
                          <a:noAutofit/>
                        </wps:bodyPr>
                      </wps:wsp>
                      <wps:wsp>
                        <wps:cNvPr id="23842" name="Shape 23842"/>
                        <wps:cNvSpPr/>
                        <wps:spPr>
                          <a:xfrm>
                            <a:off x="5395365" y="34696"/>
                            <a:ext cx="33122" cy="117119"/>
                          </a:xfrm>
                          <a:custGeom>
                            <a:avLst/>
                            <a:gdLst/>
                            <a:ahLst/>
                            <a:cxnLst/>
                            <a:rect l="0" t="0" r="0" b="0"/>
                            <a:pathLst>
                              <a:path w="33122" h="117119">
                                <a:moveTo>
                                  <a:pt x="0" y="0"/>
                                </a:moveTo>
                                <a:lnTo>
                                  <a:pt x="33122" y="0"/>
                                </a:lnTo>
                                <a:lnTo>
                                  <a:pt x="33122" y="12688"/>
                                </a:lnTo>
                                <a:lnTo>
                                  <a:pt x="30112" y="11709"/>
                                </a:lnTo>
                                <a:lnTo>
                                  <a:pt x="16218" y="11709"/>
                                </a:lnTo>
                                <a:lnTo>
                                  <a:pt x="16218" y="56883"/>
                                </a:lnTo>
                                <a:lnTo>
                                  <a:pt x="25426" y="56883"/>
                                </a:lnTo>
                                <a:lnTo>
                                  <a:pt x="33122" y="55319"/>
                                </a:lnTo>
                                <a:lnTo>
                                  <a:pt x="33122" y="68593"/>
                                </a:lnTo>
                                <a:lnTo>
                                  <a:pt x="16218" y="68593"/>
                                </a:lnTo>
                                <a:lnTo>
                                  <a:pt x="16218" y="117119"/>
                                </a:lnTo>
                                <a:lnTo>
                                  <a:pt x="0" y="117119"/>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43" name="Shape 23843"/>
                        <wps:cNvSpPr/>
                        <wps:spPr>
                          <a:xfrm>
                            <a:off x="5428487" y="34696"/>
                            <a:ext cx="43840" cy="119126"/>
                          </a:xfrm>
                          <a:custGeom>
                            <a:avLst/>
                            <a:gdLst/>
                            <a:ahLst/>
                            <a:cxnLst/>
                            <a:rect l="0" t="0" r="0" b="0"/>
                            <a:pathLst>
                              <a:path w="43840" h="119126">
                                <a:moveTo>
                                  <a:pt x="0" y="0"/>
                                </a:moveTo>
                                <a:lnTo>
                                  <a:pt x="330" y="0"/>
                                </a:lnTo>
                                <a:cubicBezTo>
                                  <a:pt x="19406" y="0"/>
                                  <a:pt x="34290" y="9868"/>
                                  <a:pt x="34290" y="30112"/>
                                </a:cubicBezTo>
                                <a:cubicBezTo>
                                  <a:pt x="34290" y="47346"/>
                                  <a:pt x="25933" y="57048"/>
                                  <a:pt x="14719" y="64249"/>
                                </a:cubicBezTo>
                                <a:lnTo>
                                  <a:pt x="43840" y="114110"/>
                                </a:lnTo>
                                <a:lnTo>
                                  <a:pt x="27445" y="119126"/>
                                </a:lnTo>
                                <a:lnTo>
                                  <a:pt x="330" y="68593"/>
                                </a:lnTo>
                                <a:lnTo>
                                  <a:pt x="0" y="68593"/>
                                </a:lnTo>
                                <a:lnTo>
                                  <a:pt x="0" y="55319"/>
                                </a:lnTo>
                                <a:lnTo>
                                  <a:pt x="4897" y="54324"/>
                                </a:lnTo>
                                <a:cubicBezTo>
                                  <a:pt x="14732" y="49532"/>
                                  <a:pt x="16904" y="39024"/>
                                  <a:pt x="16904" y="31623"/>
                                </a:cubicBezTo>
                                <a:cubicBezTo>
                                  <a:pt x="16904" y="24428"/>
                                  <a:pt x="14643" y="19450"/>
                                  <a:pt x="11024" y="16270"/>
                                </a:cubicBezTo>
                                <a:lnTo>
                                  <a:pt x="0" y="12688"/>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44" name="Shape 23844"/>
                        <wps:cNvSpPr/>
                        <wps:spPr>
                          <a:xfrm>
                            <a:off x="5477674" y="66142"/>
                            <a:ext cx="41243" cy="87681"/>
                          </a:xfrm>
                          <a:custGeom>
                            <a:avLst/>
                            <a:gdLst/>
                            <a:ahLst/>
                            <a:cxnLst/>
                            <a:rect l="0" t="0" r="0" b="0"/>
                            <a:pathLst>
                              <a:path w="41243" h="87681">
                                <a:moveTo>
                                  <a:pt x="41161" y="0"/>
                                </a:moveTo>
                                <a:lnTo>
                                  <a:pt x="41243" y="15"/>
                                </a:lnTo>
                                <a:lnTo>
                                  <a:pt x="41243" y="10739"/>
                                </a:lnTo>
                                <a:lnTo>
                                  <a:pt x="41161" y="10719"/>
                                </a:lnTo>
                                <a:cubicBezTo>
                                  <a:pt x="22416" y="10719"/>
                                  <a:pt x="16231" y="27775"/>
                                  <a:pt x="16231" y="42837"/>
                                </a:cubicBezTo>
                                <a:cubicBezTo>
                                  <a:pt x="16231" y="58572"/>
                                  <a:pt x="21590" y="76975"/>
                                  <a:pt x="41161" y="76975"/>
                                </a:cubicBezTo>
                                <a:lnTo>
                                  <a:pt x="41243" y="76954"/>
                                </a:lnTo>
                                <a:lnTo>
                                  <a:pt x="41243" y="87664"/>
                                </a:lnTo>
                                <a:lnTo>
                                  <a:pt x="41161" y="87681"/>
                                </a:lnTo>
                                <a:cubicBezTo>
                                  <a:pt x="16548" y="87681"/>
                                  <a:pt x="0" y="68771"/>
                                  <a:pt x="0" y="42837"/>
                                </a:cubicBezTo>
                                <a:cubicBezTo>
                                  <a:pt x="0" y="15735"/>
                                  <a:pt x="20079" y="0"/>
                                  <a:pt x="41161"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45" name="Shape 23845"/>
                        <wps:cNvSpPr/>
                        <wps:spPr>
                          <a:xfrm>
                            <a:off x="5518917" y="66157"/>
                            <a:ext cx="41244" cy="87649"/>
                          </a:xfrm>
                          <a:custGeom>
                            <a:avLst/>
                            <a:gdLst/>
                            <a:ahLst/>
                            <a:cxnLst/>
                            <a:rect l="0" t="0" r="0" b="0"/>
                            <a:pathLst>
                              <a:path w="41244" h="87649">
                                <a:moveTo>
                                  <a:pt x="0" y="0"/>
                                </a:moveTo>
                                <a:lnTo>
                                  <a:pt x="15269" y="2867"/>
                                </a:lnTo>
                                <a:cubicBezTo>
                                  <a:pt x="29856" y="8563"/>
                                  <a:pt x="41244" y="22495"/>
                                  <a:pt x="41244" y="42822"/>
                                </a:cubicBezTo>
                                <a:cubicBezTo>
                                  <a:pt x="41244" y="62272"/>
                                  <a:pt x="31921" y="77771"/>
                                  <a:pt x="16817" y="84305"/>
                                </a:cubicBezTo>
                                <a:lnTo>
                                  <a:pt x="0" y="87649"/>
                                </a:lnTo>
                                <a:lnTo>
                                  <a:pt x="0" y="76938"/>
                                </a:lnTo>
                                <a:lnTo>
                                  <a:pt x="12170" y="73838"/>
                                </a:lnTo>
                                <a:cubicBezTo>
                                  <a:pt x="22005" y="67925"/>
                                  <a:pt x="25013" y="54623"/>
                                  <a:pt x="25013" y="42822"/>
                                </a:cubicBezTo>
                                <a:cubicBezTo>
                                  <a:pt x="25013" y="31525"/>
                                  <a:pt x="21527" y="19107"/>
                                  <a:pt x="11811" y="13604"/>
                                </a:cubicBezTo>
                                <a:lnTo>
                                  <a:pt x="0" y="10723"/>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46" name="Shape 23846"/>
                        <wps:cNvSpPr/>
                        <wps:spPr>
                          <a:xfrm>
                            <a:off x="5575210" y="68161"/>
                            <a:ext cx="71450" cy="85661"/>
                          </a:xfrm>
                          <a:custGeom>
                            <a:avLst/>
                            <a:gdLst/>
                            <a:ahLst/>
                            <a:cxnLst/>
                            <a:rect l="0" t="0" r="0" b="0"/>
                            <a:pathLst>
                              <a:path w="71450" h="85661">
                                <a:moveTo>
                                  <a:pt x="0" y="0"/>
                                </a:moveTo>
                                <a:lnTo>
                                  <a:pt x="15049" y="0"/>
                                </a:lnTo>
                                <a:lnTo>
                                  <a:pt x="15049" y="50521"/>
                                </a:lnTo>
                                <a:cubicBezTo>
                                  <a:pt x="15049" y="66256"/>
                                  <a:pt x="21755" y="74625"/>
                                  <a:pt x="35293" y="74625"/>
                                </a:cubicBezTo>
                                <a:cubicBezTo>
                                  <a:pt x="46850" y="74625"/>
                                  <a:pt x="56375" y="65087"/>
                                  <a:pt x="56375" y="48857"/>
                                </a:cubicBezTo>
                                <a:lnTo>
                                  <a:pt x="56375" y="0"/>
                                </a:lnTo>
                                <a:lnTo>
                                  <a:pt x="71450" y="0"/>
                                </a:lnTo>
                                <a:lnTo>
                                  <a:pt x="71450" y="83655"/>
                                </a:lnTo>
                                <a:lnTo>
                                  <a:pt x="56553" y="83655"/>
                                </a:lnTo>
                                <a:lnTo>
                                  <a:pt x="56553" y="73952"/>
                                </a:lnTo>
                                <a:cubicBezTo>
                                  <a:pt x="48019" y="81318"/>
                                  <a:pt x="40487" y="85661"/>
                                  <a:pt x="29616" y="85661"/>
                                </a:cubicBezTo>
                                <a:cubicBezTo>
                                  <a:pt x="10376" y="85661"/>
                                  <a:pt x="0" y="74955"/>
                                  <a:pt x="0" y="53873"/>
                                </a:cubicBez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47" name="Shape 23847"/>
                        <wps:cNvSpPr/>
                        <wps:spPr>
                          <a:xfrm>
                            <a:off x="5661545" y="43065"/>
                            <a:ext cx="53530" cy="110757"/>
                          </a:xfrm>
                          <a:custGeom>
                            <a:avLst/>
                            <a:gdLst/>
                            <a:ahLst/>
                            <a:cxnLst/>
                            <a:rect l="0" t="0" r="0" b="0"/>
                            <a:pathLst>
                              <a:path w="53530" h="110757">
                                <a:moveTo>
                                  <a:pt x="26772" y="0"/>
                                </a:moveTo>
                                <a:lnTo>
                                  <a:pt x="26772" y="25095"/>
                                </a:lnTo>
                                <a:lnTo>
                                  <a:pt x="48704" y="25095"/>
                                </a:lnTo>
                                <a:lnTo>
                                  <a:pt x="48704" y="33795"/>
                                </a:lnTo>
                                <a:lnTo>
                                  <a:pt x="26772" y="33795"/>
                                </a:lnTo>
                                <a:lnTo>
                                  <a:pt x="26772" y="81153"/>
                                </a:lnTo>
                                <a:cubicBezTo>
                                  <a:pt x="26772" y="92850"/>
                                  <a:pt x="29121" y="99886"/>
                                  <a:pt x="38303" y="99886"/>
                                </a:cubicBezTo>
                                <a:cubicBezTo>
                                  <a:pt x="43840" y="99886"/>
                                  <a:pt x="47015" y="98552"/>
                                  <a:pt x="49860" y="97041"/>
                                </a:cubicBezTo>
                                <a:lnTo>
                                  <a:pt x="53530" y="105410"/>
                                </a:lnTo>
                                <a:cubicBezTo>
                                  <a:pt x="48349" y="108750"/>
                                  <a:pt x="42164" y="110757"/>
                                  <a:pt x="36475" y="110757"/>
                                </a:cubicBezTo>
                                <a:cubicBezTo>
                                  <a:pt x="19736" y="110757"/>
                                  <a:pt x="11722" y="101054"/>
                                  <a:pt x="11722" y="83985"/>
                                </a:cubicBezTo>
                                <a:lnTo>
                                  <a:pt x="11722" y="33795"/>
                                </a:lnTo>
                                <a:lnTo>
                                  <a:pt x="0" y="33795"/>
                                </a:lnTo>
                                <a:lnTo>
                                  <a:pt x="0" y="25095"/>
                                </a:lnTo>
                                <a:lnTo>
                                  <a:pt x="11722" y="25095"/>
                                </a:lnTo>
                                <a:lnTo>
                                  <a:pt x="11722" y="5017"/>
                                </a:lnTo>
                                <a:lnTo>
                                  <a:pt x="26772"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25" name="Shape 230925"/>
                        <wps:cNvSpPr/>
                        <wps:spPr>
                          <a:xfrm>
                            <a:off x="5727458" y="28842"/>
                            <a:ext cx="15062" cy="122974"/>
                          </a:xfrm>
                          <a:custGeom>
                            <a:avLst/>
                            <a:gdLst/>
                            <a:ahLst/>
                            <a:cxnLst/>
                            <a:rect l="0" t="0" r="0" b="0"/>
                            <a:pathLst>
                              <a:path w="15062" h="122974">
                                <a:moveTo>
                                  <a:pt x="0" y="0"/>
                                </a:moveTo>
                                <a:lnTo>
                                  <a:pt x="15062" y="0"/>
                                </a:lnTo>
                                <a:lnTo>
                                  <a:pt x="15062" y="122974"/>
                                </a:lnTo>
                                <a:lnTo>
                                  <a:pt x="0" y="122974"/>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49" name="Shape 23849"/>
                        <wps:cNvSpPr/>
                        <wps:spPr>
                          <a:xfrm>
                            <a:off x="5759919" y="66556"/>
                            <a:ext cx="37402" cy="86274"/>
                          </a:xfrm>
                          <a:custGeom>
                            <a:avLst/>
                            <a:gdLst/>
                            <a:ahLst/>
                            <a:cxnLst/>
                            <a:rect l="0" t="0" r="0" b="0"/>
                            <a:pathLst>
                              <a:path w="37402" h="86274">
                                <a:moveTo>
                                  <a:pt x="37402" y="0"/>
                                </a:moveTo>
                                <a:lnTo>
                                  <a:pt x="37402" y="10762"/>
                                </a:lnTo>
                                <a:lnTo>
                                  <a:pt x="29204" y="12563"/>
                                </a:lnTo>
                                <a:cubicBezTo>
                                  <a:pt x="20622" y="16830"/>
                                  <a:pt x="16955" y="26367"/>
                                  <a:pt x="16573" y="34396"/>
                                </a:cubicBezTo>
                                <a:lnTo>
                                  <a:pt x="37402" y="34396"/>
                                </a:lnTo>
                                <a:lnTo>
                                  <a:pt x="37402" y="44442"/>
                                </a:lnTo>
                                <a:lnTo>
                                  <a:pt x="15570" y="44442"/>
                                </a:lnTo>
                                <a:cubicBezTo>
                                  <a:pt x="15446" y="56987"/>
                                  <a:pt x="22095" y="68781"/>
                                  <a:pt x="32414" y="73894"/>
                                </a:cubicBezTo>
                                <a:lnTo>
                                  <a:pt x="37402" y="75058"/>
                                </a:lnTo>
                                <a:lnTo>
                                  <a:pt x="37402" y="86274"/>
                                </a:lnTo>
                                <a:lnTo>
                                  <a:pt x="25563" y="84296"/>
                                </a:lnTo>
                                <a:cubicBezTo>
                                  <a:pt x="9702" y="78398"/>
                                  <a:pt x="0" y="63841"/>
                                  <a:pt x="0" y="41762"/>
                                </a:cubicBezTo>
                                <a:cubicBezTo>
                                  <a:pt x="0" y="20055"/>
                                  <a:pt x="11673" y="7191"/>
                                  <a:pt x="25488" y="2116"/>
                                </a:cubicBezTo>
                                <a:lnTo>
                                  <a:pt x="37402"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50" name="Shape 23850"/>
                        <wps:cNvSpPr/>
                        <wps:spPr>
                          <a:xfrm>
                            <a:off x="5797320" y="135915"/>
                            <a:ext cx="33731" cy="17907"/>
                          </a:xfrm>
                          <a:custGeom>
                            <a:avLst/>
                            <a:gdLst/>
                            <a:ahLst/>
                            <a:cxnLst/>
                            <a:rect l="0" t="0" r="0" b="0"/>
                            <a:pathLst>
                              <a:path w="33731" h="17907">
                                <a:moveTo>
                                  <a:pt x="29363" y="0"/>
                                </a:moveTo>
                                <a:lnTo>
                                  <a:pt x="33731" y="8204"/>
                                </a:lnTo>
                                <a:cubicBezTo>
                                  <a:pt x="25019" y="14402"/>
                                  <a:pt x="14643" y="17907"/>
                                  <a:pt x="5944" y="17907"/>
                                </a:cubicBezTo>
                                <a:lnTo>
                                  <a:pt x="0" y="16914"/>
                                </a:lnTo>
                                <a:lnTo>
                                  <a:pt x="0" y="5698"/>
                                </a:lnTo>
                                <a:lnTo>
                                  <a:pt x="6439" y="7201"/>
                                </a:lnTo>
                                <a:cubicBezTo>
                                  <a:pt x="14148" y="7201"/>
                                  <a:pt x="23508" y="4356"/>
                                  <a:pt x="29363"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51" name="Shape 23851"/>
                        <wps:cNvSpPr/>
                        <wps:spPr>
                          <a:xfrm>
                            <a:off x="5797320" y="66154"/>
                            <a:ext cx="36220" cy="44844"/>
                          </a:xfrm>
                          <a:custGeom>
                            <a:avLst/>
                            <a:gdLst/>
                            <a:ahLst/>
                            <a:cxnLst/>
                            <a:rect l="0" t="0" r="0" b="0"/>
                            <a:pathLst>
                              <a:path w="36220" h="44844">
                                <a:moveTo>
                                  <a:pt x="2261" y="0"/>
                                </a:moveTo>
                                <a:cubicBezTo>
                                  <a:pt x="27686" y="0"/>
                                  <a:pt x="36220" y="22924"/>
                                  <a:pt x="34557" y="44844"/>
                                </a:cubicBezTo>
                                <a:lnTo>
                                  <a:pt x="0" y="44844"/>
                                </a:lnTo>
                                <a:lnTo>
                                  <a:pt x="0" y="34798"/>
                                </a:lnTo>
                                <a:lnTo>
                                  <a:pt x="20828" y="34798"/>
                                </a:lnTo>
                                <a:cubicBezTo>
                                  <a:pt x="20828" y="21755"/>
                                  <a:pt x="15316" y="10706"/>
                                  <a:pt x="2083" y="10706"/>
                                </a:cubicBezTo>
                                <a:lnTo>
                                  <a:pt x="0" y="11164"/>
                                </a:lnTo>
                                <a:lnTo>
                                  <a:pt x="0" y="402"/>
                                </a:lnTo>
                                <a:lnTo>
                                  <a:pt x="2261"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52" name="Shape 23852"/>
                        <wps:cNvSpPr/>
                        <wps:spPr>
                          <a:xfrm>
                            <a:off x="5844742" y="66154"/>
                            <a:ext cx="41002" cy="87668"/>
                          </a:xfrm>
                          <a:custGeom>
                            <a:avLst/>
                            <a:gdLst/>
                            <a:ahLst/>
                            <a:cxnLst/>
                            <a:rect l="0" t="0" r="0" b="0"/>
                            <a:pathLst>
                              <a:path w="41002" h="87668">
                                <a:moveTo>
                                  <a:pt x="38646" y="0"/>
                                </a:moveTo>
                                <a:lnTo>
                                  <a:pt x="41002" y="477"/>
                                </a:lnTo>
                                <a:lnTo>
                                  <a:pt x="41002" y="10747"/>
                                </a:lnTo>
                                <a:lnTo>
                                  <a:pt x="40830" y="10706"/>
                                </a:lnTo>
                                <a:cubicBezTo>
                                  <a:pt x="23431" y="10706"/>
                                  <a:pt x="16243" y="24435"/>
                                  <a:pt x="16243" y="42164"/>
                                </a:cubicBezTo>
                                <a:cubicBezTo>
                                  <a:pt x="16243" y="60071"/>
                                  <a:pt x="23926" y="76962"/>
                                  <a:pt x="39827" y="76962"/>
                                </a:cubicBezTo>
                                <a:lnTo>
                                  <a:pt x="41002" y="76664"/>
                                </a:lnTo>
                                <a:lnTo>
                                  <a:pt x="41002" y="86604"/>
                                </a:lnTo>
                                <a:lnTo>
                                  <a:pt x="36969" y="87668"/>
                                </a:lnTo>
                                <a:cubicBezTo>
                                  <a:pt x="14389" y="87668"/>
                                  <a:pt x="0" y="69596"/>
                                  <a:pt x="0" y="42824"/>
                                </a:cubicBezTo>
                                <a:cubicBezTo>
                                  <a:pt x="0" y="21082"/>
                                  <a:pt x="15735" y="0"/>
                                  <a:pt x="38646"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53" name="Shape 23853"/>
                        <wps:cNvSpPr/>
                        <wps:spPr>
                          <a:xfrm>
                            <a:off x="5885744" y="28841"/>
                            <a:ext cx="39833" cy="123916"/>
                          </a:xfrm>
                          <a:custGeom>
                            <a:avLst/>
                            <a:gdLst/>
                            <a:ahLst/>
                            <a:cxnLst/>
                            <a:rect l="0" t="0" r="0" b="0"/>
                            <a:pathLst>
                              <a:path w="39833" h="123916">
                                <a:moveTo>
                                  <a:pt x="24758" y="0"/>
                                </a:moveTo>
                                <a:lnTo>
                                  <a:pt x="39833" y="0"/>
                                </a:lnTo>
                                <a:lnTo>
                                  <a:pt x="39833" y="122974"/>
                                </a:lnTo>
                                <a:lnTo>
                                  <a:pt x="24758" y="122974"/>
                                </a:lnTo>
                                <a:lnTo>
                                  <a:pt x="24758" y="109753"/>
                                </a:lnTo>
                                <a:lnTo>
                                  <a:pt x="24428" y="109753"/>
                                </a:lnTo>
                                <a:cubicBezTo>
                                  <a:pt x="21501" y="113856"/>
                                  <a:pt x="17821" y="117662"/>
                                  <a:pt x="13155" y="120444"/>
                                </a:cubicBezTo>
                                <a:lnTo>
                                  <a:pt x="0" y="123916"/>
                                </a:lnTo>
                                <a:lnTo>
                                  <a:pt x="0" y="113976"/>
                                </a:lnTo>
                                <a:lnTo>
                                  <a:pt x="10571" y="111292"/>
                                </a:lnTo>
                                <a:cubicBezTo>
                                  <a:pt x="20429" y="105574"/>
                                  <a:pt x="24758" y="92399"/>
                                  <a:pt x="24758" y="78473"/>
                                </a:cubicBezTo>
                                <a:cubicBezTo>
                                  <a:pt x="24758" y="66672"/>
                                  <a:pt x="19958" y="55442"/>
                                  <a:pt x="10640" y="50564"/>
                                </a:cubicBezTo>
                                <a:lnTo>
                                  <a:pt x="0" y="48059"/>
                                </a:lnTo>
                                <a:lnTo>
                                  <a:pt x="0" y="37789"/>
                                </a:lnTo>
                                <a:lnTo>
                                  <a:pt x="13365" y="40494"/>
                                </a:lnTo>
                                <a:cubicBezTo>
                                  <a:pt x="17989" y="42586"/>
                                  <a:pt x="21837" y="45682"/>
                                  <a:pt x="24428" y="49695"/>
                                </a:cubicBezTo>
                                <a:lnTo>
                                  <a:pt x="24758" y="49695"/>
                                </a:lnTo>
                                <a:lnTo>
                                  <a:pt x="24758"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54" name="Shape 23854"/>
                        <wps:cNvSpPr/>
                        <wps:spPr>
                          <a:xfrm>
                            <a:off x="5946494" y="175412"/>
                            <a:ext cx="37142" cy="18237"/>
                          </a:xfrm>
                          <a:custGeom>
                            <a:avLst/>
                            <a:gdLst/>
                            <a:ahLst/>
                            <a:cxnLst/>
                            <a:rect l="0" t="0" r="0" b="0"/>
                            <a:pathLst>
                              <a:path w="37142" h="18237">
                                <a:moveTo>
                                  <a:pt x="4179" y="0"/>
                                </a:moveTo>
                                <a:cubicBezTo>
                                  <a:pt x="14389" y="5855"/>
                                  <a:pt x="23749" y="7531"/>
                                  <a:pt x="34125" y="7531"/>
                                </a:cubicBezTo>
                                <a:lnTo>
                                  <a:pt x="37142" y="6306"/>
                                </a:lnTo>
                                <a:lnTo>
                                  <a:pt x="37142" y="17820"/>
                                </a:lnTo>
                                <a:lnTo>
                                  <a:pt x="34455" y="18237"/>
                                </a:lnTo>
                                <a:cubicBezTo>
                                  <a:pt x="22073" y="18237"/>
                                  <a:pt x="9703" y="15888"/>
                                  <a:pt x="0" y="9868"/>
                                </a:cubicBezTo>
                                <a:lnTo>
                                  <a:pt x="4179"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55" name="Shape 23855"/>
                        <wps:cNvSpPr/>
                        <wps:spPr>
                          <a:xfrm>
                            <a:off x="5942634" y="66154"/>
                            <a:ext cx="41002" cy="87668"/>
                          </a:xfrm>
                          <a:custGeom>
                            <a:avLst/>
                            <a:gdLst/>
                            <a:ahLst/>
                            <a:cxnLst/>
                            <a:rect l="0" t="0" r="0" b="0"/>
                            <a:pathLst>
                              <a:path w="41002" h="87668">
                                <a:moveTo>
                                  <a:pt x="40005" y="0"/>
                                </a:moveTo>
                                <a:lnTo>
                                  <a:pt x="41002" y="242"/>
                                </a:lnTo>
                                <a:lnTo>
                                  <a:pt x="41002" y="10747"/>
                                </a:lnTo>
                                <a:lnTo>
                                  <a:pt x="40830" y="10706"/>
                                </a:lnTo>
                                <a:cubicBezTo>
                                  <a:pt x="23431" y="10706"/>
                                  <a:pt x="16243" y="24435"/>
                                  <a:pt x="16243" y="42164"/>
                                </a:cubicBezTo>
                                <a:cubicBezTo>
                                  <a:pt x="16243" y="60071"/>
                                  <a:pt x="23926" y="76962"/>
                                  <a:pt x="39827" y="76962"/>
                                </a:cubicBezTo>
                                <a:lnTo>
                                  <a:pt x="41002" y="76663"/>
                                </a:lnTo>
                                <a:lnTo>
                                  <a:pt x="41002" y="86713"/>
                                </a:lnTo>
                                <a:lnTo>
                                  <a:pt x="37478" y="87668"/>
                                </a:lnTo>
                                <a:cubicBezTo>
                                  <a:pt x="14401" y="87668"/>
                                  <a:pt x="0" y="69596"/>
                                  <a:pt x="0" y="42824"/>
                                </a:cubicBezTo>
                                <a:cubicBezTo>
                                  <a:pt x="0" y="21082"/>
                                  <a:pt x="16065" y="0"/>
                                  <a:pt x="40005"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56" name="Shape 23856"/>
                        <wps:cNvSpPr/>
                        <wps:spPr>
                          <a:xfrm>
                            <a:off x="5983636" y="66396"/>
                            <a:ext cx="39808" cy="126835"/>
                          </a:xfrm>
                          <a:custGeom>
                            <a:avLst/>
                            <a:gdLst/>
                            <a:ahLst/>
                            <a:cxnLst/>
                            <a:rect l="0" t="0" r="0" b="0"/>
                            <a:pathLst>
                              <a:path w="39808" h="126835">
                                <a:moveTo>
                                  <a:pt x="0" y="0"/>
                                </a:moveTo>
                                <a:lnTo>
                                  <a:pt x="13715" y="3333"/>
                                </a:lnTo>
                                <a:cubicBezTo>
                                  <a:pt x="18231" y="5654"/>
                                  <a:pt x="22078" y="9041"/>
                                  <a:pt x="24428" y="13309"/>
                                </a:cubicBezTo>
                                <a:lnTo>
                                  <a:pt x="24758" y="13309"/>
                                </a:lnTo>
                                <a:lnTo>
                                  <a:pt x="24758" y="1764"/>
                                </a:lnTo>
                                <a:lnTo>
                                  <a:pt x="39808" y="1764"/>
                                </a:lnTo>
                                <a:lnTo>
                                  <a:pt x="39808" y="82409"/>
                                </a:lnTo>
                                <a:cubicBezTo>
                                  <a:pt x="39808" y="106374"/>
                                  <a:pt x="28613" y="119616"/>
                                  <a:pt x="13484" y="124740"/>
                                </a:cubicBezTo>
                                <a:lnTo>
                                  <a:pt x="0" y="126835"/>
                                </a:lnTo>
                                <a:lnTo>
                                  <a:pt x="0" y="115322"/>
                                </a:lnTo>
                                <a:lnTo>
                                  <a:pt x="17333" y="108282"/>
                                </a:lnTo>
                                <a:cubicBezTo>
                                  <a:pt x="22123" y="102780"/>
                                  <a:pt x="24758" y="94538"/>
                                  <a:pt x="24758" y="83578"/>
                                </a:cubicBezTo>
                                <a:lnTo>
                                  <a:pt x="24758" y="72198"/>
                                </a:lnTo>
                                <a:lnTo>
                                  <a:pt x="24428" y="72198"/>
                                </a:lnTo>
                                <a:cubicBezTo>
                                  <a:pt x="21501" y="76301"/>
                                  <a:pt x="17818" y="80107"/>
                                  <a:pt x="13214" y="82889"/>
                                </a:cubicBezTo>
                                <a:lnTo>
                                  <a:pt x="0" y="86470"/>
                                </a:lnTo>
                                <a:lnTo>
                                  <a:pt x="0" y="76421"/>
                                </a:lnTo>
                                <a:lnTo>
                                  <a:pt x="10565" y="73737"/>
                                </a:lnTo>
                                <a:cubicBezTo>
                                  <a:pt x="20422" y="68019"/>
                                  <a:pt x="24758" y="54844"/>
                                  <a:pt x="24758" y="40918"/>
                                </a:cubicBezTo>
                                <a:cubicBezTo>
                                  <a:pt x="24758" y="29117"/>
                                  <a:pt x="19958" y="17887"/>
                                  <a:pt x="10640" y="13009"/>
                                </a:cubicBezTo>
                                <a:lnTo>
                                  <a:pt x="0" y="10504"/>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57" name="Shape 23857"/>
                        <wps:cNvSpPr/>
                        <wps:spPr>
                          <a:xfrm>
                            <a:off x="6040513" y="66555"/>
                            <a:ext cx="37395" cy="86276"/>
                          </a:xfrm>
                          <a:custGeom>
                            <a:avLst/>
                            <a:gdLst/>
                            <a:ahLst/>
                            <a:cxnLst/>
                            <a:rect l="0" t="0" r="0" b="0"/>
                            <a:pathLst>
                              <a:path w="37395" h="86276">
                                <a:moveTo>
                                  <a:pt x="37395" y="0"/>
                                </a:moveTo>
                                <a:lnTo>
                                  <a:pt x="37395" y="10764"/>
                                </a:lnTo>
                                <a:lnTo>
                                  <a:pt x="29197" y="12564"/>
                                </a:lnTo>
                                <a:cubicBezTo>
                                  <a:pt x="20610" y="16831"/>
                                  <a:pt x="16945" y="26368"/>
                                  <a:pt x="16573" y="34397"/>
                                </a:cubicBezTo>
                                <a:lnTo>
                                  <a:pt x="37395" y="34397"/>
                                </a:lnTo>
                                <a:lnTo>
                                  <a:pt x="37395" y="44443"/>
                                </a:lnTo>
                                <a:lnTo>
                                  <a:pt x="15557" y="44443"/>
                                </a:lnTo>
                                <a:cubicBezTo>
                                  <a:pt x="15433" y="56988"/>
                                  <a:pt x="22082" y="68782"/>
                                  <a:pt x="32400" y="73895"/>
                                </a:cubicBezTo>
                                <a:lnTo>
                                  <a:pt x="37395" y="75061"/>
                                </a:lnTo>
                                <a:lnTo>
                                  <a:pt x="37395" y="86276"/>
                                </a:lnTo>
                                <a:lnTo>
                                  <a:pt x="25551" y="84297"/>
                                </a:lnTo>
                                <a:cubicBezTo>
                                  <a:pt x="9694" y="78399"/>
                                  <a:pt x="0" y="63842"/>
                                  <a:pt x="0" y="41763"/>
                                </a:cubicBezTo>
                                <a:cubicBezTo>
                                  <a:pt x="0" y="20056"/>
                                  <a:pt x="11673" y="7192"/>
                                  <a:pt x="25481" y="2117"/>
                                </a:cubicBezTo>
                                <a:lnTo>
                                  <a:pt x="37395"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58" name="Shape 23858"/>
                        <wps:cNvSpPr/>
                        <wps:spPr>
                          <a:xfrm>
                            <a:off x="6077908" y="135915"/>
                            <a:ext cx="33712" cy="17907"/>
                          </a:xfrm>
                          <a:custGeom>
                            <a:avLst/>
                            <a:gdLst/>
                            <a:ahLst/>
                            <a:cxnLst/>
                            <a:rect l="0" t="0" r="0" b="0"/>
                            <a:pathLst>
                              <a:path w="33712" h="17907">
                                <a:moveTo>
                                  <a:pt x="29356" y="0"/>
                                </a:moveTo>
                                <a:lnTo>
                                  <a:pt x="33712" y="8204"/>
                                </a:lnTo>
                                <a:cubicBezTo>
                                  <a:pt x="25012" y="14402"/>
                                  <a:pt x="14649" y="17907"/>
                                  <a:pt x="5937" y="17907"/>
                                </a:cubicBezTo>
                                <a:lnTo>
                                  <a:pt x="0" y="16915"/>
                                </a:lnTo>
                                <a:lnTo>
                                  <a:pt x="0" y="5700"/>
                                </a:lnTo>
                                <a:lnTo>
                                  <a:pt x="6432" y="7201"/>
                                </a:lnTo>
                                <a:cubicBezTo>
                                  <a:pt x="14141" y="7201"/>
                                  <a:pt x="23501" y="4356"/>
                                  <a:pt x="29356"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59" name="Shape 23859"/>
                        <wps:cNvSpPr/>
                        <wps:spPr>
                          <a:xfrm>
                            <a:off x="6077908" y="66154"/>
                            <a:ext cx="36226" cy="44844"/>
                          </a:xfrm>
                          <a:custGeom>
                            <a:avLst/>
                            <a:gdLst/>
                            <a:ahLst/>
                            <a:cxnLst/>
                            <a:rect l="0" t="0" r="0" b="0"/>
                            <a:pathLst>
                              <a:path w="36226" h="44844">
                                <a:moveTo>
                                  <a:pt x="2254" y="0"/>
                                </a:moveTo>
                                <a:cubicBezTo>
                                  <a:pt x="27692" y="0"/>
                                  <a:pt x="36226" y="22924"/>
                                  <a:pt x="34550" y="44844"/>
                                </a:cubicBezTo>
                                <a:lnTo>
                                  <a:pt x="0" y="44844"/>
                                </a:lnTo>
                                <a:lnTo>
                                  <a:pt x="0" y="34798"/>
                                </a:lnTo>
                                <a:lnTo>
                                  <a:pt x="20821" y="34798"/>
                                </a:lnTo>
                                <a:cubicBezTo>
                                  <a:pt x="20821" y="21755"/>
                                  <a:pt x="15297" y="10706"/>
                                  <a:pt x="2089" y="10706"/>
                                </a:cubicBezTo>
                                <a:lnTo>
                                  <a:pt x="0" y="11165"/>
                                </a:lnTo>
                                <a:lnTo>
                                  <a:pt x="0" y="401"/>
                                </a:lnTo>
                                <a:lnTo>
                                  <a:pt x="2254"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60" name="Shape 23860"/>
                        <wps:cNvSpPr/>
                        <wps:spPr>
                          <a:xfrm>
                            <a:off x="5394667" y="211620"/>
                            <a:ext cx="46152" cy="59195"/>
                          </a:xfrm>
                          <a:custGeom>
                            <a:avLst/>
                            <a:gdLst/>
                            <a:ahLst/>
                            <a:cxnLst/>
                            <a:rect l="0" t="0" r="0" b="0"/>
                            <a:pathLst>
                              <a:path w="46152" h="59195">
                                <a:moveTo>
                                  <a:pt x="0" y="0"/>
                                </a:moveTo>
                                <a:lnTo>
                                  <a:pt x="46152" y="0"/>
                                </a:lnTo>
                                <a:lnTo>
                                  <a:pt x="46152" y="5918"/>
                                </a:lnTo>
                                <a:lnTo>
                                  <a:pt x="27127" y="5918"/>
                                </a:lnTo>
                                <a:lnTo>
                                  <a:pt x="27127" y="59195"/>
                                </a:lnTo>
                                <a:lnTo>
                                  <a:pt x="18936" y="59195"/>
                                </a:lnTo>
                                <a:lnTo>
                                  <a:pt x="18936" y="5918"/>
                                </a:lnTo>
                                <a:lnTo>
                                  <a:pt x="0" y="5918"/>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61" name="Shape 23861"/>
                        <wps:cNvSpPr/>
                        <wps:spPr>
                          <a:xfrm>
                            <a:off x="5436551" y="243690"/>
                            <a:ext cx="16618" cy="28141"/>
                          </a:xfrm>
                          <a:custGeom>
                            <a:avLst/>
                            <a:gdLst/>
                            <a:ahLst/>
                            <a:cxnLst/>
                            <a:rect l="0" t="0" r="0" b="0"/>
                            <a:pathLst>
                              <a:path w="16618" h="28141">
                                <a:moveTo>
                                  <a:pt x="16618" y="0"/>
                                </a:moveTo>
                                <a:lnTo>
                                  <a:pt x="16618" y="5212"/>
                                </a:lnTo>
                                <a:lnTo>
                                  <a:pt x="10435" y="8519"/>
                                </a:lnTo>
                                <a:cubicBezTo>
                                  <a:pt x="8731" y="10244"/>
                                  <a:pt x="7861" y="12380"/>
                                  <a:pt x="7861" y="15047"/>
                                </a:cubicBezTo>
                                <a:cubicBezTo>
                                  <a:pt x="7861" y="19441"/>
                                  <a:pt x="10897" y="22223"/>
                                  <a:pt x="13957" y="22223"/>
                                </a:cubicBezTo>
                                <a:lnTo>
                                  <a:pt x="16618" y="20577"/>
                                </a:lnTo>
                                <a:lnTo>
                                  <a:pt x="16618" y="25705"/>
                                </a:lnTo>
                                <a:lnTo>
                                  <a:pt x="12002" y="28141"/>
                                </a:lnTo>
                                <a:cubicBezTo>
                                  <a:pt x="4902" y="28141"/>
                                  <a:pt x="0" y="23074"/>
                                  <a:pt x="0" y="15123"/>
                                </a:cubicBezTo>
                                <a:cubicBezTo>
                                  <a:pt x="0" y="7770"/>
                                  <a:pt x="6248" y="3122"/>
                                  <a:pt x="15049" y="493"/>
                                </a:cubicBezTo>
                                <a:lnTo>
                                  <a:pt x="16618"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62" name="Shape 23862"/>
                        <wps:cNvSpPr/>
                        <wps:spPr>
                          <a:xfrm>
                            <a:off x="5439333" y="227765"/>
                            <a:ext cx="13837" cy="9318"/>
                          </a:xfrm>
                          <a:custGeom>
                            <a:avLst/>
                            <a:gdLst/>
                            <a:ahLst/>
                            <a:cxnLst/>
                            <a:rect l="0" t="0" r="0" b="0"/>
                            <a:pathLst>
                              <a:path w="13837" h="9318">
                                <a:moveTo>
                                  <a:pt x="13837" y="0"/>
                                </a:moveTo>
                                <a:lnTo>
                                  <a:pt x="13837" y="4832"/>
                                </a:lnTo>
                                <a:lnTo>
                                  <a:pt x="2959" y="9318"/>
                                </a:lnTo>
                                <a:lnTo>
                                  <a:pt x="0" y="5508"/>
                                </a:lnTo>
                                <a:lnTo>
                                  <a:pt x="13837"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63" name="Shape 23863"/>
                        <wps:cNvSpPr/>
                        <wps:spPr>
                          <a:xfrm>
                            <a:off x="5453170" y="227520"/>
                            <a:ext cx="18129" cy="43307"/>
                          </a:xfrm>
                          <a:custGeom>
                            <a:avLst/>
                            <a:gdLst/>
                            <a:ahLst/>
                            <a:cxnLst/>
                            <a:rect l="0" t="0" r="0" b="0"/>
                            <a:pathLst>
                              <a:path w="18129" h="43307">
                                <a:moveTo>
                                  <a:pt x="615" y="0"/>
                                </a:moveTo>
                                <a:cubicBezTo>
                                  <a:pt x="6965" y="0"/>
                                  <a:pt x="16275" y="2032"/>
                                  <a:pt x="16275" y="14376"/>
                                </a:cubicBezTo>
                                <a:lnTo>
                                  <a:pt x="16275" y="32982"/>
                                </a:lnTo>
                                <a:cubicBezTo>
                                  <a:pt x="16275" y="36208"/>
                                  <a:pt x="16694" y="40259"/>
                                  <a:pt x="18129" y="43307"/>
                                </a:cubicBezTo>
                                <a:lnTo>
                                  <a:pt x="9848" y="43307"/>
                                </a:lnTo>
                                <a:cubicBezTo>
                                  <a:pt x="8832" y="41529"/>
                                  <a:pt x="8655" y="38824"/>
                                  <a:pt x="8655" y="36106"/>
                                </a:cubicBezTo>
                                <a:lnTo>
                                  <a:pt x="5950" y="38735"/>
                                </a:lnTo>
                                <a:lnTo>
                                  <a:pt x="0" y="41874"/>
                                </a:lnTo>
                                <a:lnTo>
                                  <a:pt x="0" y="36746"/>
                                </a:lnTo>
                                <a:lnTo>
                                  <a:pt x="5407" y="33403"/>
                                </a:lnTo>
                                <a:cubicBezTo>
                                  <a:pt x="7689" y="30083"/>
                                  <a:pt x="9169" y="25114"/>
                                  <a:pt x="8655" y="18517"/>
                                </a:cubicBezTo>
                                <a:lnTo>
                                  <a:pt x="1390" y="20638"/>
                                </a:lnTo>
                                <a:lnTo>
                                  <a:pt x="0" y="21381"/>
                                </a:lnTo>
                                <a:lnTo>
                                  <a:pt x="0" y="16169"/>
                                </a:lnTo>
                                <a:lnTo>
                                  <a:pt x="8655" y="13449"/>
                                </a:lnTo>
                                <a:cubicBezTo>
                                  <a:pt x="8324" y="8293"/>
                                  <a:pt x="4337" y="4991"/>
                                  <a:pt x="209" y="4991"/>
                                </a:cubicBezTo>
                                <a:lnTo>
                                  <a:pt x="0" y="5077"/>
                                </a:lnTo>
                                <a:lnTo>
                                  <a:pt x="0" y="245"/>
                                </a:lnTo>
                                <a:lnTo>
                                  <a:pt x="615"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64" name="Shape 23864"/>
                        <wps:cNvSpPr/>
                        <wps:spPr>
                          <a:xfrm>
                            <a:off x="5474855" y="227685"/>
                            <a:ext cx="42037" cy="64262"/>
                          </a:xfrm>
                          <a:custGeom>
                            <a:avLst/>
                            <a:gdLst/>
                            <a:ahLst/>
                            <a:cxnLst/>
                            <a:rect l="0" t="0" r="0" b="0"/>
                            <a:pathLst>
                              <a:path w="42037" h="64262">
                                <a:moveTo>
                                  <a:pt x="8966" y="0"/>
                                </a:moveTo>
                                <a:cubicBezTo>
                                  <a:pt x="13284" y="10744"/>
                                  <a:pt x="17691" y="21565"/>
                                  <a:pt x="21895" y="34341"/>
                                </a:cubicBezTo>
                                <a:lnTo>
                                  <a:pt x="22073" y="34341"/>
                                </a:lnTo>
                                <a:cubicBezTo>
                                  <a:pt x="26467" y="21565"/>
                                  <a:pt x="30874" y="10744"/>
                                  <a:pt x="35344" y="0"/>
                                </a:cubicBezTo>
                                <a:lnTo>
                                  <a:pt x="42037" y="1613"/>
                                </a:lnTo>
                                <a:lnTo>
                                  <a:pt x="20307" y="50571"/>
                                </a:lnTo>
                                <a:cubicBezTo>
                                  <a:pt x="16332" y="59525"/>
                                  <a:pt x="11087" y="64262"/>
                                  <a:pt x="3810" y="64262"/>
                                </a:cubicBezTo>
                                <a:lnTo>
                                  <a:pt x="0" y="64262"/>
                                </a:lnTo>
                                <a:lnTo>
                                  <a:pt x="0" y="58865"/>
                                </a:lnTo>
                                <a:lnTo>
                                  <a:pt x="2959" y="58865"/>
                                </a:lnTo>
                                <a:cubicBezTo>
                                  <a:pt x="8204" y="58865"/>
                                  <a:pt x="11925" y="57506"/>
                                  <a:pt x="17932" y="40754"/>
                                </a:cubicBezTo>
                                <a:lnTo>
                                  <a:pt x="1359" y="2121"/>
                                </a:lnTo>
                                <a:lnTo>
                                  <a:pt x="8966"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26" name="Shape 230926"/>
                        <wps:cNvSpPr/>
                        <wps:spPr>
                          <a:xfrm>
                            <a:off x="5523572" y="208661"/>
                            <a:ext cx="9144" cy="62154"/>
                          </a:xfrm>
                          <a:custGeom>
                            <a:avLst/>
                            <a:gdLst/>
                            <a:ahLst/>
                            <a:cxnLst/>
                            <a:rect l="0" t="0" r="0" b="0"/>
                            <a:pathLst>
                              <a:path w="9144" h="62154">
                                <a:moveTo>
                                  <a:pt x="0" y="0"/>
                                </a:moveTo>
                                <a:lnTo>
                                  <a:pt x="9144" y="0"/>
                                </a:lnTo>
                                <a:lnTo>
                                  <a:pt x="9144" y="62154"/>
                                </a:lnTo>
                                <a:lnTo>
                                  <a:pt x="0" y="62154"/>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66" name="Shape 23866"/>
                        <wps:cNvSpPr/>
                        <wps:spPr>
                          <a:xfrm>
                            <a:off x="5540819" y="227520"/>
                            <a:ext cx="20847" cy="44310"/>
                          </a:xfrm>
                          <a:custGeom>
                            <a:avLst/>
                            <a:gdLst/>
                            <a:ahLst/>
                            <a:cxnLst/>
                            <a:rect l="0" t="0" r="0" b="0"/>
                            <a:pathLst>
                              <a:path w="20847" h="44310">
                                <a:moveTo>
                                  <a:pt x="20803" y="0"/>
                                </a:moveTo>
                                <a:lnTo>
                                  <a:pt x="20847" y="18"/>
                                </a:lnTo>
                                <a:lnTo>
                                  <a:pt x="20847" y="5434"/>
                                </a:lnTo>
                                <a:lnTo>
                                  <a:pt x="20803" y="5410"/>
                                </a:lnTo>
                                <a:cubicBezTo>
                                  <a:pt x="11341" y="5410"/>
                                  <a:pt x="8204" y="14034"/>
                                  <a:pt x="8204" y="21654"/>
                                </a:cubicBezTo>
                                <a:cubicBezTo>
                                  <a:pt x="8204" y="29604"/>
                                  <a:pt x="10909" y="38900"/>
                                  <a:pt x="20803" y="38900"/>
                                </a:cubicBezTo>
                                <a:lnTo>
                                  <a:pt x="20847" y="38875"/>
                                </a:lnTo>
                                <a:lnTo>
                                  <a:pt x="20847" y="44291"/>
                                </a:lnTo>
                                <a:lnTo>
                                  <a:pt x="20803" y="44310"/>
                                </a:lnTo>
                                <a:cubicBezTo>
                                  <a:pt x="8382" y="44310"/>
                                  <a:pt x="0" y="34760"/>
                                  <a:pt x="0" y="21654"/>
                                </a:cubicBezTo>
                                <a:cubicBezTo>
                                  <a:pt x="0" y="7950"/>
                                  <a:pt x="10147" y="0"/>
                                  <a:pt x="20803"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67" name="Shape 23867"/>
                        <wps:cNvSpPr/>
                        <wps:spPr>
                          <a:xfrm>
                            <a:off x="5561666" y="227537"/>
                            <a:ext cx="20860" cy="44274"/>
                          </a:xfrm>
                          <a:custGeom>
                            <a:avLst/>
                            <a:gdLst/>
                            <a:ahLst/>
                            <a:cxnLst/>
                            <a:rect l="0" t="0" r="0" b="0"/>
                            <a:pathLst>
                              <a:path w="20860" h="44274">
                                <a:moveTo>
                                  <a:pt x="0" y="0"/>
                                </a:moveTo>
                                <a:lnTo>
                                  <a:pt x="14408" y="5670"/>
                                </a:lnTo>
                                <a:cubicBezTo>
                                  <a:pt x="18300" y="9371"/>
                                  <a:pt x="20860" y="14784"/>
                                  <a:pt x="20860" y="21636"/>
                                </a:cubicBezTo>
                                <a:cubicBezTo>
                                  <a:pt x="20860" y="28189"/>
                                  <a:pt x="18767" y="33853"/>
                                  <a:pt x="15108" y="37879"/>
                                </a:cubicBezTo>
                                <a:lnTo>
                                  <a:pt x="0" y="44274"/>
                                </a:lnTo>
                                <a:lnTo>
                                  <a:pt x="0" y="38858"/>
                                </a:lnTo>
                                <a:lnTo>
                                  <a:pt x="10042" y="33241"/>
                                </a:lnTo>
                                <a:cubicBezTo>
                                  <a:pt x="11966" y="29923"/>
                                  <a:pt x="12643" y="25611"/>
                                  <a:pt x="12643" y="21636"/>
                                </a:cubicBezTo>
                                <a:cubicBezTo>
                                  <a:pt x="12643" y="17826"/>
                                  <a:pt x="11862" y="13765"/>
                                  <a:pt x="9885" y="10657"/>
                                </a:cubicBezTo>
                                <a:lnTo>
                                  <a:pt x="0" y="5416"/>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68" name="Shape 23868"/>
                        <wps:cNvSpPr/>
                        <wps:spPr>
                          <a:xfrm>
                            <a:off x="5592139" y="227520"/>
                            <a:ext cx="23863" cy="43307"/>
                          </a:xfrm>
                          <a:custGeom>
                            <a:avLst/>
                            <a:gdLst/>
                            <a:ahLst/>
                            <a:cxnLst/>
                            <a:rect l="0" t="0" r="0" b="0"/>
                            <a:pathLst>
                              <a:path w="23863" h="43307">
                                <a:moveTo>
                                  <a:pt x="16828" y="0"/>
                                </a:moveTo>
                                <a:cubicBezTo>
                                  <a:pt x="18707" y="0"/>
                                  <a:pt x="21489" y="1359"/>
                                  <a:pt x="23863" y="4140"/>
                                </a:cubicBezTo>
                                <a:lnTo>
                                  <a:pt x="20396" y="9055"/>
                                </a:lnTo>
                                <a:cubicBezTo>
                                  <a:pt x="18542" y="8115"/>
                                  <a:pt x="16675" y="7277"/>
                                  <a:pt x="14719" y="7277"/>
                                </a:cubicBezTo>
                                <a:cubicBezTo>
                                  <a:pt x="10833" y="7277"/>
                                  <a:pt x="7633" y="11163"/>
                                  <a:pt x="7633" y="20561"/>
                                </a:cubicBezTo>
                                <a:lnTo>
                                  <a:pt x="7633" y="43307"/>
                                </a:lnTo>
                                <a:lnTo>
                                  <a:pt x="0" y="43307"/>
                                </a:lnTo>
                                <a:lnTo>
                                  <a:pt x="0" y="1016"/>
                                </a:lnTo>
                                <a:lnTo>
                                  <a:pt x="7455" y="1016"/>
                                </a:lnTo>
                                <a:lnTo>
                                  <a:pt x="7455" y="6261"/>
                                </a:lnTo>
                                <a:lnTo>
                                  <a:pt x="10503" y="3048"/>
                                </a:lnTo>
                                <a:cubicBezTo>
                                  <a:pt x="12268" y="1270"/>
                                  <a:pt x="15075" y="0"/>
                                  <a:pt x="16828"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69" name="Shape 23869"/>
                        <wps:cNvSpPr/>
                        <wps:spPr>
                          <a:xfrm>
                            <a:off x="5712954" y="211620"/>
                            <a:ext cx="29172" cy="59195"/>
                          </a:xfrm>
                          <a:custGeom>
                            <a:avLst/>
                            <a:gdLst/>
                            <a:ahLst/>
                            <a:cxnLst/>
                            <a:rect l="0" t="0" r="0" b="0"/>
                            <a:pathLst>
                              <a:path w="29172" h="59195">
                                <a:moveTo>
                                  <a:pt x="0" y="0"/>
                                </a:moveTo>
                                <a:lnTo>
                                  <a:pt x="29172" y="0"/>
                                </a:lnTo>
                                <a:lnTo>
                                  <a:pt x="29172" y="5918"/>
                                </a:lnTo>
                                <a:lnTo>
                                  <a:pt x="8217" y="5918"/>
                                </a:lnTo>
                                <a:lnTo>
                                  <a:pt x="8217" y="28410"/>
                                </a:lnTo>
                                <a:lnTo>
                                  <a:pt x="28766" y="28410"/>
                                </a:lnTo>
                                <a:lnTo>
                                  <a:pt x="28766" y="34328"/>
                                </a:lnTo>
                                <a:lnTo>
                                  <a:pt x="8217" y="34328"/>
                                </a:lnTo>
                                <a:lnTo>
                                  <a:pt x="8217" y="59195"/>
                                </a:lnTo>
                                <a:lnTo>
                                  <a:pt x="0" y="59195"/>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70" name="Shape 23870"/>
                        <wps:cNvSpPr/>
                        <wps:spPr>
                          <a:xfrm>
                            <a:off x="5752794" y="227520"/>
                            <a:ext cx="23850" cy="43307"/>
                          </a:xfrm>
                          <a:custGeom>
                            <a:avLst/>
                            <a:gdLst/>
                            <a:ahLst/>
                            <a:cxnLst/>
                            <a:rect l="0" t="0" r="0" b="0"/>
                            <a:pathLst>
                              <a:path w="23850" h="43307">
                                <a:moveTo>
                                  <a:pt x="16828" y="0"/>
                                </a:moveTo>
                                <a:cubicBezTo>
                                  <a:pt x="18694" y="0"/>
                                  <a:pt x="21475" y="1359"/>
                                  <a:pt x="23850" y="4140"/>
                                </a:cubicBezTo>
                                <a:lnTo>
                                  <a:pt x="20383" y="9055"/>
                                </a:lnTo>
                                <a:cubicBezTo>
                                  <a:pt x="18529" y="8115"/>
                                  <a:pt x="16663" y="7277"/>
                                  <a:pt x="14707" y="7277"/>
                                </a:cubicBezTo>
                                <a:cubicBezTo>
                                  <a:pt x="10820" y="7277"/>
                                  <a:pt x="7620" y="11163"/>
                                  <a:pt x="7620" y="20561"/>
                                </a:cubicBezTo>
                                <a:lnTo>
                                  <a:pt x="7620" y="43307"/>
                                </a:lnTo>
                                <a:lnTo>
                                  <a:pt x="0" y="43307"/>
                                </a:lnTo>
                                <a:lnTo>
                                  <a:pt x="0" y="1016"/>
                                </a:lnTo>
                                <a:lnTo>
                                  <a:pt x="7442" y="1016"/>
                                </a:lnTo>
                                <a:lnTo>
                                  <a:pt x="7442" y="6261"/>
                                </a:lnTo>
                                <a:lnTo>
                                  <a:pt x="10490" y="3048"/>
                                </a:lnTo>
                                <a:cubicBezTo>
                                  <a:pt x="12268" y="1270"/>
                                  <a:pt x="15062" y="0"/>
                                  <a:pt x="16828"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71" name="Shape 23871"/>
                        <wps:cNvSpPr/>
                        <wps:spPr>
                          <a:xfrm>
                            <a:off x="5779337" y="243692"/>
                            <a:ext cx="16624" cy="28139"/>
                          </a:xfrm>
                          <a:custGeom>
                            <a:avLst/>
                            <a:gdLst/>
                            <a:ahLst/>
                            <a:cxnLst/>
                            <a:rect l="0" t="0" r="0" b="0"/>
                            <a:pathLst>
                              <a:path w="16624" h="28139">
                                <a:moveTo>
                                  <a:pt x="16624" y="0"/>
                                </a:moveTo>
                                <a:lnTo>
                                  <a:pt x="16624" y="5212"/>
                                </a:lnTo>
                                <a:lnTo>
                                  <a:pt x="10437" y="8517"/>
                                </a:lnTo>
                                <a:cubicBezTo>
                                  <a:pt x="8731" y="10241"/>
                                  <a:pt x="7862" y="12378"/>
                                  <a:pt x="7862" y="15045"/>
                                </a:cubicBezTo>
                                <a:cubicBezTo>
                                  <a:pt x="7862" y="19439"/>
                                  <a:pt x="10909" y="22220"/>
                                  <a:pt x="13957" y="22220"/>
                                </a:cubicBezTo>
                                <a:lnTo>
                                  <a:pt x="16624" y="20573"/>
                                </a:lnTo>
                                <a:lnTo>
                                  <a:pt x="16624" y="25703"/>
                                </a:lnTo>
                                <a:lnTo>
                                  <a:pt x="12002" y="28139"/>
                                </a:lnTo>
                                <a:cubicBezTo>
                                  <a:pt x="4915" y="28139"/>
                                  <a:pt x="0" y="23071"/>
                                  <a:pt x="0" y="15121"/>
                                </a:cubicBezTo>
                                <a:cubicBezTo>
                                  <a:pt x="0" y="7768"/>
                                  <a:pt x="6261" y="3120"/>
                                  <a:pt x="15063" y="491"/>
                                </a:cubicBezTo>
                                <a:lnTo>
                                  <a:pt x="16624"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72" name="Shape 23872"/>
                        <wps:cNvSpPr/>
                        <wps:spPr>
                          <a:xfrm>
                            <a:off x="5782131" y="227768"/>
                            <a:ext cx="13829" cy="9315"/>
                          </a:xfrm>
                          <a:custGeom>
                            <a:avLst/>
                            <a:gdLst/>
                            <a:ahLst/>
                            <a:cxnLst/>
                            <a:rect l="0" t="0" r="0" b="0"/>
                            <a:pathLst>
                              <a:path w="13829" h="9315">
                                <a:moveTo>
                                  <a:pt x="13829" y="0"/>
                                </a:moveTo>
                                <a:lnTo>
                                  <a:pt x="13829" y="4827"/>
                                </a:lnTo>
                                <a:lnTo>
                                  <a:pt x="2959" y="9315"/>
                                </a:lnTo>
                                <a:lnTo>
                                  <a:pt x="0" y="5505"/>
                                </a:lnTo>
                                <a:lnTo>
                                  <a:pt x="13829"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73" name="Shape 23873"/>
                        <wps:cNvSpPr/>
                        <wps:spPr>
                          <a:xfrm>
                            <a:off x="5795961" y="227520"/>
                            <a:ext cx="18124" cy="43307"/>
                          </a:xfrm>
                          <a:custGeom>
                            <a:avLst/>
                            <a:gdLst/>
                            <a:ahLst/>
                            <a:cxnLst/>
                            <a:rect l="0" t="0" r="0" b="0"/>
                            <a:pathLst>
                              <a:path w="18124" h="43307">
                                <a:moveTo>
                                  <a:pt x="623" y="0"/>
                                </a:moveTo>
                                <a:cubicBezTo>
                                  <a:pt x="6960" y="0"/>
                                  <a:pt x="16282" y="2032"/>
                                  <a:pt x="16282" y="14376"/>
                                </a:cubicBezTo>
                                <a:lnTo>
                                  <a:pt x="16282" y="32982"/>
                                </a:lnTo>
                                <a:cubicBezTo>
                                  <a:pt x="16282" y="36208"/>
                                  <a:pt x="16701" y="40259"/>
                                  <a:pt x="18124" y="43307"/>
                                </a:cubicBezTo>
                                <a:lnTo>
                                  <a:pt x="9843" y="43307"/>
                                </a:lnTo>
                                <a:cubicBezTo>
                                  <a:pt x="8840" y="41529"/>
                                  <a:pt x="8662" y="38824"/>
                                  <a:pt x="8662" y="36106"/>
                                </a:cubicBezTo>
                                <a:lnTo>
                                  <a:pt x="5957" y="38735"/>
                                </a:lnTo>
                                <a:lnTo>
                                  <a:pt x="0" y="41874"/>
                                </a:lnTo>
                                <a:lnTo>
                                  <a:pt x="0" y="36744"/>
                                </a:lnTo>
                                <a:lnTo>
                                  <a:pt x="5407" y="33403"/>
                                </a:lnTo>
                                <a:cubicBezTo>
                                  <a:pt x="7690" y="30083"/>
                                  <a:pt x="9170" y="25114"/>
                                  <a:pt x="8662" y="18517"/>
                                </a:cubicBezTo>
                                <a:lnTo>
                                  <a:pt x="1398" y="20638"/>
                                </a:lnTo>
                                <a:lnTo>
                                  <a:pt x="0" y="21384"/>
                                </a:lnTo>
                                <a:lnTo>
                                  <a:pt x="0" y="16172"/>
                                </a:lnTo>
                                <a:lnTo>
                                  <a:pt x="8662" y="13449"/>
                                </a:lnTo>
                                <a:cubicBezTo>
                                  <a:pt x="8332" y="8293"/>
                                  <a:pt x="4344" y="4991"/>
                                  <a:pt x="204" y="4991"/>
                                </a:cubicBezTo>
                                <a:lnTo>
                                  <a:pt x="0" y="5075"/>
                                </a:lnTo>
                                <a:lnTo>
                                  <a:pt x="0" y="248"/>
                                </a:lnTo>
                                <a:lnTo>
                                  <a:pt x="623"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74" name="Shape 23874"/>
                        <wps:cNvSpPr/>
                        <wps:spPr>
                          <a:xfrm>
                            <a:off x="5824499" y="227520"/>
                            <a:ext cx="36957" cy="43307"/>
                          </a:xfrm>
                          <a:custGeom>
                            <a:avLst/>
                            <a:gdLst/>
                            <a:ahLst/>
                            <a:cxnLst/>
                            <a:rect l="0" t="0" r="0" b="0"/>
                            <a:pathLst>
                              <a:path w="36957" h="43307">
                                <a:moveTo>
                                  <a:pt x="21996" y="0"/>
                                </a:moveTo>
                                <a:cubicBezTo>
                                  <a:pt x="31712" y="0"/>
                                  <a:pt x="36957" y="5410"/>
                                  <a:pt x="36957" y="16078"/>
                                </a:cubicBezTo>
                                <a:lnTo>
                                  <a:pt x="36957" y="43307"/>
                                </a:lnTo>
                                <a:lnTo>
                                  <a:pt x="29349" y="43307"/>
                                </a:lnTo>
                                <a:lnTo>
                                  <a:pt x="29349" y="17678"/>
                                </a:lnTo>
                                <a:cubicBezTo>
                                  <a:pt x="29349" y="9728"/>
                                  <a:pt x="25959" y="5575"/>
                                  <a:pt x="19114" y="5575"/>
                                </a:cubicBezTo>
                                <a:cubicBezTo>
                                  <a:pt x="13132" y="5575"/>
                                  <a:pt x="7620" y="9728"/>
                                  <a:pt x="7620" y="17843"/>
                                </a:cubicBezTo>
                                <a:lnTo>
                                  <a:pt x="7620" y="43307"/>
                                </a:lnTo>
                                <a:lnTo>
                                  <a:pt x="0" y="43307"/>
                                </a:lnTo>
                                <a:lnTo>
                                  <a:pt x="0" y="1016"/>
                                </a:lnTo>
                                <a:lnTo>
                                  <a:pt x="7544" y="1016"/>
                                </a:lnTo>
                                <a:lnTo>
                                  <a:pt x="7544" y="6261"/>
                                </a:lnTo>
                                <a:cubicBezTo>
                                  <a:pt x="11519" y="2032"/>
                                  <a:pt x="17602" y="0"/>
                                  <a:pt x="21996"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75" name="Shape 23875"/>
                        <wps:cNvSpPr/>
                        <wps:spPr>
                          <a:xfrm>
                            <a:off x="5871094" y="227520"/>
                            <a:ext cx="35357" cy="44310"/>
                          </a:xfrm>
                          <a:custGeom>
                            <a:avLst/>
                            <a:gdLst/>
                            <a:ahLst/>
                            <a:cxnLst/>
                            <a:rect l="0" t="0" r="0" b="0"/>
                            <a:pathLst>
                              <a:path w="35357" h="44310">
                                <a:moveTo>
                                  <a:pt x="22923" y="0"/>
                                </a:moveTo>
                                <a:cubicBezTo>
                                  <a:pt x="27216" y="0"/>
                                  <a:pt x="31115" y="1092"/>
                                  <a:pt x="34252" y="3467"/>
                                </a:cubicBezTo>
                                <a:lnTo>
                                  <a:pt x="31712" y="7772"/>
                                </a:lnTo>
                                <a:cubicBezTo>
                                  <a:pt x="29273" y="6591"/>
                                  <a:pt x="26124" y="5575"/>
                                  <a:pt x="22999" y="5575"/>
                                </a:cubicBezTo>
                                <a:cubicBezTo>
                                  <a:pt x="16066" y="5575"/>
                                  <a:pt x="8204" y="10135"/>
                                  <a:pt x="8204" y="21654"/>
                                </a:cubicBezTo>
                                <a:cubicBezTo>
                                  <a:pt x="8204" y="30442"/>
                                  <a:pt x="12688" y="38722"/>
                                  <a:pt x="22923" y="38722"/>
                                </a:cubicBezTo>
                                <a:cubicBezTo>
                                  <a:pt x="26556" y="38722"/>
                                  <a:pt x="29934" y="37795"/>
                                  <a:pt x="33236" y="35687"/>
                                </a:cubicBezTo>
                                <a:lnTo>
                                  <a:pt x="35357" y="39916"/>
                                </a:lnTo>
                                <a:cubicBezTo>
                                  <a:pt x="31204" y="42875"/>
                                  <a:pt x="26213" y="44310"/>
                                  <a:pt x="22581" y="44310"/>
                                </a:cubicBezTo>
                                <a:cubicBezTo>
                                  <a:pt x="2540" y="44310"/>
                                  <a:pt x="0" y="27902"/>
                                  <a:pt x="0" y="22073"/>
                                </a:cubicBezTo>
                                <a:cubicBezTo>
                                  <a:pt x="0" y="11494"/>
                                  <a:pt x="7036" y="0"/>
                                  <a:pt x="22923"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27" name="Shape 230927"/>
                        <wps:cNvSpPr/>
                        <wps:spPr>
                          <a:xfrm>
                            <a:off x="5914643" y="228536"/>
                            <a:ext cx="9144" cy="42278"/>
                          </a:xfrm>
                          <a:custGeom>
                            <a:avLst/>
                            <a:gdLst/>
                            <a:ahLst/>
                            <a:cxnLst/>
                            <a:rect l="0" t="0" r="0" b="0"/>
                            <a:pathLst>
                              <a:path w="9144" h="42278">
                                <a:moveTo>
                                  <a:pt x="0" y="0"/>
                                </a:moveTo>
                                <a:lnTo>
                                  <a:pt x="9144" y="0"/>
                                </a:lnTo>
                                <a:lnTo>
                                  <a:pt x="9144" y="42278"/>
                                </a:lnTo>
                                <a:lnTo>
                                  <a:pt x="0" y="42278"/>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77" name="Shape 23877"/>
                        <wps:cNvSpPr/>
                        <wps:spPr>
                          <a:xfrm>
                            <a:off x="5913626" y="210095"/>
                            <a:ext cx="9652" cy="9639"/>
                          </a:xfrm>
                          <a:custGeom>
                            <a:avLst/>
                            <a:gdLst/>
                            <a:ahLst/>
                            <a:cxnLst/>
                            <a:rect l="0" t="0" r="0" b="0"/>
                            <a:pathLst>
                              <a:path w="9652" h="9639">
                                <a:moveTo>
                                  <a:pt x="4826" y="0"/>
                                </a:moveTo>
                                <a:cubicBezTo>
                                  <a:pt x="7874" y="0"/>
                                  <a:pt x="9652" y="2375"/>
                                  <a:pt x="9652" y="4483"/>
                                </a:cubicBezTo>
                                <a:cubicBezTo>
                                  <a:pt x="9652" y="6769"/>
                                  <a:pt x="8547" y="9639"/>
                                  <a:pt x="4826" y="9639"/>
                                </a:cubicBezTo>
                                <a:cubicBezTo>
                                  <a:pt x="1105" y="9639"/>
                                  <a:pt x="0" y="6769"/>
                                  <a:pt x="0" y="4483"/>
                                </a:cubicBezTo>
                                <a:cubicBezTo>
                                  <a:pt x="0" y="2375"/>
                                  <a:pt x="1778" y="0"/>
                                  <a:pt x="4826"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78" name="Shape 23878"/>
                        <wps:cNvSpPr/>
                        <wps:spPr>
                          <a:xfrm>
                            <a:off x="5930556" y="227520"/>
                            <a:ext cx="27813" cy="44298"/>
                          </a:xfrm>
                          <a:custGeom>
                            <a:avLst/>
                            <a:gdLst/>
                            <a:ahLst/>
                            <a:cxnLst/>
                            <a:rect l="0" t="0" r="0" b="0"/>
                            <a:pathLst>
                              <a:path w="27813" h="44298">
                                <a:moveTo>
                                  <a:pt x="16649" y="0"/>
                                </a:moveTo>
                                <a:cubicBezTo>
                                  <a:pt x="20803" y="0"/>
                                  <a:pt x="24854" y="1689"/>
                                  <a:pt x="27050" y="3886"/>
                                </a:cubicBezTo>
                                <a:lnTo>
                                  <a:pt x="24092" y="7772"/>
                                </a:lnTo>
                                <a:cubicBezTo>
                                  <a:pt x="21056" y="5740"/>
                                  <a:pt x="18593" y="5067"/>
                                  <a:pt x="16319" y="5067"/>
                                </a:cubicBezTo>
                                <a:cubicBezTo>
                                  <a:pt x="13601" y="5067"/>
                                  <a:pt x="10134" y="6337"/>
                                  <a:pt x="10134" y="9893"/>
                                </a:cubicBezTo>
                                <a:cubicBezTo>
                                  <a:pt x="10134" y="13437"/>
                                  <a:pt x="14033" y="15215"/>
                                  <a:pt x="18859" y="18860"/>
                                </a:cubicBezTo>
                                <a:cubicBezTo>
                                  <a:pt x="24269" y="23000"/>
                                  <a:pt x="27813" y="26467"/>
                                  <a:pt x="27813" y="32372"/>
                                </a:cubicBezTo>
                                <a:cubicBezTo>
                                  <a:pt x="27813" y="39497"/>
                                  <a:pt x="20803" y="44298"/>
                                  <a:pt x="13017" y="44298"/>
                                </a:cubicBezTo>
                                <a:cubicBezTo>
                                  <a:pt x="8191" y="44298"/>
                                  <a:pt x="2781" y="42189"/>
                                  <a:pt x="0" y="38976"/>
                                </a:cubicBezTo>
                                <a:lnTo>
                                  <a:pt x="3708" y="34671"/>
                                </a:lnTo>
                                <a:cubicBezTo>
                                  <a:pt x="6172" y="36957"/>
                                  <a:pt x="9461" y="38887"/>
                                  <a:pt x="12852" y="38887"/>
                                </a:cubicBezTo>
                                <a:cubicBezTo>
                                  <a:pt x="16408" y="38887"/>
                                  <a:pt x="20027" y="37033"/>
                                  <a:pt x="20027" y="32893"/>
                                </a:cubicBezTo>
                                <a:cubicBezTo>
                                  <a:pt x="20027" y="27991"/>
                                  <a:pt x="15633" y="25870"/>
                                  <a:pt x="11684" y="23000"/>
                                </a:cubicBezTo>
                                <a:cubicBezTo>
                                  <a:pt x="6845" y="19533"/>
                                  <a:pt x="2616" y="16650"/>
                                  <a:pt x="2616" y="10909"/>
                                </a:cubicBezTo>
                                <a:cubicBezTo>
                                  <a:pt x="2616" y="4216"/>
                                  <a:pt x="9207" y="0"/>
                                  <a:pt x="16649"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79" name="Shape 23879"/>
                        <wps:cNvSpPr/>
                        <wps:spPr>
                          <a:xfrm>
                            <a:off x="5984531" y="210616"/>
                            <a:ext cx="52336" cy="61214"/>
                          </a:xfrm>
                          <a:custGeom>
                            <a:avLst/>
                            <a:gdLst/>
                            <a:ahLst/>
                            <a:cxnLst/>
                            <a:rect l="0" t="0" r="0" b="0"/>
                            <a:pathLst>
                              <a:path w="52336" h="61214">
                                <a:moveTo>
                                  <a:pt x="32982" y="0"/>
                                </a:moveTo>
                                <a:cubicBezTo>
                                  <a:pt x="41592" y="0"/>
                                  <a:pt x="48374" y="2781"/>
                                  <a:pt x="51917" y="5740"/>
                                </a:cubicBezTo>
                                <a:lnTo>
                                  <a:pt x="48539" y="10655"/>
                                </a:lnTo>
                                <a:cubicBezTo>
                                  <a:pt x="44983" y="8192"/>
                                  <a:pt x="39573" y="5906"/>
                                  <a:pt x="33070" y="5906"/>
                                </a:cubicBezTo>
                                <a:cubicBezTo>
                                  <a:pt x="17678" y="5906"/>
                                  <a:pt x="9042" y="16396"/>
                                  <a:pt x="9042" y="30264"/>
                                </a:cubicBezTo>
                                <a:cubicBezTo>
                                  <a:pt x="9042" y="45237"/>
                                  <a:pt x="19278" y="55296"/>
                                  <a:pt x="32118" y="55296"/>
                                </a:cubicBezTo>
                                <a:cubicBezTo>
                                  <a:pt x="37134" y="55296"/>
                                  <a:pt x="40856" y="54788"/>
                                  <a:pt x="44145" y="53188"/>
                                </a:cubicBezTo>
                                <a:lnTo>
                                  <a:pt x="44145" y="33147"/>
                                </a:lnTo>
                                <a:lnTo>
                                  <a:pt x="52336" y="33147"/>
                                </a:lnTo>
                                <a:lnTo>
                                  <a:pt x="52336" y="57239"/>
                                </a:lnTo>
                                <a:cubicBezTo>
                                  <a:pt x="46583" y="59271"/>
                                  <a:pt x="39408" y="61214"/>
                                  <a:pt x="31890" y="61214"/>
                                </a:cubicBezTo>
                                <a:cubicBezTo>
                                  <a:pt x="10833" y="61214"/>
                                  <a:pt x="0" y="46672"/>
                                  <a:pt x="0" y="30442"/>
                                </a:cubicBezTo>
                                <a:cubicBezTo>
                                  <a:pt x="0" y="15469"/>
                                  <a:pt x="11671" y="0"/>
                                  <a:pt x="32982"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80" name="Shape 23880"/>
                        <wps:cNvSpPr/>
                        <wps:spPr>
                          <a:xfrm>
                            <a:off x="6049212" y="227520"/>
                            <a:ext cx="23851" cy="43307"/>
                          </a:xfrm>
                          <a:custGeom>
                            <a:avLst/>
                            <a:gdLst/>
                            <a:ahLst/>
                            <a:cxnLst/>
                            <a:rect l="0" t="0" r="0" b="0"/>
                            <a:pathLst>
                              <a:path w="23851" h="43307">
                                <a:moveTo>
                                  <a:pt x="16815" y="0"/>
                                </a:moveTo>
                                <a:cubicBezTo>
                                  <a:pt x="18695" y="0"/>
                                  <a:pt x="21463" y="1359"/>
                                  <a:pt x="23851" y="4140"/>
                                </a:cubicBezTo>
                                <a:lnTo>
                                  <a:pt x="20384" y="9055"/>
                                </a:lnTo>
                                <a:cubicBezTo>
                                  <a:pt x="18530" y="8115"/>
                                  <a:pt x="16663" y="7277"/>
                                  <a:pt x="14707" y="7277"/>
                                </a:cubicBezTo>
                                <a:cubicBezTo>
                                  <a:pt x="10821" y="7277"/>
                                  <a:pt x="7620" y="11163"/>
                                  <a:pt x="7620" y="20561"/>
                                </a:cubicBezTo>
                                <a:lnTo>
                                  <a:pt x="7620" y="43307"/>
                                </a:lnTo>
                                <a:lnTo>
                                  <a:pt x="0" y="43307"/>
                                </a:lnTo>
                                <a:lnTo>
                                  <a:pt x="0" y="1016"/>
                                </a:lnTo>
                                <a:lnTo>
                                  <a:pt x="7430" y="1016"/>
                                </a:lnTo>
                                <a:lnTo>
                                  <a:pt x="7430" y="6261"/>
                                </a:lnTo>
                                <a:lnTo>
                                  <a:pt x="10491" y="3048"/>
                                </a:lnTo>
                                <a:cubicBezTo>
                                  <a:pt x="12256" y="1270"/>
                                  <a:pt x="15063" y="0"/>
                                  <a:pt x="16815"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81" name="Shape 23881"/>
                        <wps:cNvSpPr/>
                        <wps:spPr>
                          <a:xfrm>
                            <a:off x="6075768" y="227520"/>
                            <a:ext cx="20854" cy="44310"/>
                          </a:xfrm>
                          <a:custGeom>
                            <a:avLst/>
                            <a:gdLst/>
                            <a:ahLst/>
                            <a:cxnLst/>
                            <a:rect l="0" t="0" r="0" b="0"/>
                            <a:pathLst>
                              <a:path w="20854" h="44310">
                                <a:moveTo>
                                  <a:pt x="20803" y="0"/>
                                </a:moveTo>
                                <a:lnTo>
                                  <a:pt x="20854" y="20"/>
                                </a:lnTo>
                                <a:lnTo>
                                  <a:pt x="20854" y="5437"/>
                                </a:lnTo>
                                <a:lnTo>
                                  <a:pt x="20803" y="5410"/>
                                </a:lnTo>
                                <a:cubicBezTo>
                                  <a:pt x="11328" y="5410"/>
                                  <a:pt x="8204" y="14034"/>
                                  <a:pt x="8204" y="21654"/>
                                </a:cubicBezTo>
                                <a:cubicBezTo>
                                  <a:pt x="8204" y="29604"/>
                                  <a:pt x="10909" y="38900"/>
                                  <a:pt x="20803" y="38900"/>
                                </a:cubicBezTo>
                                <a:lnTo>
                                  <a:pt x="20854" y="38872"/>
                                </a:lnTo>
                                <a:lnTo>
                                  <a:pt x="20854" y="44289"/>
                                </a:lnTo>
                                <a:lnTo>
                                  <a:pt x="20803" y="44310"/>
                                </a:lnTo>
                                <a:cubicBezTo>
                                  <a:pt x="8382" y="44310"/>
                                  <a:pt x="0" y="34760"/>
                                  <a:pt x="0" y="21654"/>
                                </a:cubicBezTo>
                                <a:cubicBezTo>
                                  <a:pt x="0" y="7950"/>
                                  <a:pt x="10147" y="0"/>
                                  <a:pt x="20803"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82" name="Shape 23882"/>
                        <wps:cNvSpPr/>
                        <wps:spPr>
                          <a:xfrm>
                            <a:off x="6096622" y="227540"/>
                            <a:ext cx="20841" cy="44269"/>
                          </a:xfrm>
                          <a:custGeom>
                            <a:avLst/>
                            <a:gdLst/>
                            <a:ahLst/>
                            <a:cxnLst/>
                            <a:rect l="0" t="0" r="0" b="0"/>
                            <a:pathLst>
                              <a:path w="20841" h="44269">
                                <a:moveTo>
                                  <a:pt x="0" y="0"/>
                                </a:moveTo>
                                <a:lnTo>
                                  <a:pt x="14391" y="5668"/>
                                </a:lnTo>
                                <a:cubicBezTo>
                                  <a:pt x="18281" y="9368"/>
                                  <a:pt x="20841" y="14782"/>
                                  <a:pt x="20841" y="21633"/>
                                </a:cubicBezTo>
                                <a:cubicBezTo>
                                  <a:pt x="20841" y="28187"/>
                                  <a:pt x="18748" y="33851"/>
                                  <a:pt x="15091" y="37877"/>
                                </a:cubicBezTo>
                                <a:lnTo>
                                  <a:pt x="0" y="44269"/>
                                </a:lnTo>
                                <a:lnTo>
                                  <a:pt x="0" y="38851"/>
                                </a:lnTo>
                                <a:lnTo>
                                  <a:pt x="10042" y="33238"/>
                                </a:lnTo>
                                <a:cubicBezTo>
                                  <a:pt x="11970" y="29920"/>
                                  <a:pt x="12649" y="25608"/>
                                  <a:pt x="12649" y="21633"/>
                                </a:cubicBezTo>
                                <a:cubicBezTo>
                                  <a:pt x="12649" y="17823"/>
                                  <a:pt x="11864" y="13763"/>
                                  <a:pt x="9885" y="10654"/>
                                </a:cubicBezTo>
                                <a:lnTo>
                                  <a:pt x="0" y="5417"/>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83" name="Shape 23883"/>
                        <wps:cNvSpPr/>
                        <wps:spPr>
                          <a:xfrm>
                            <a:off x="6126758" y="228536"/>
                            <a:ext cx="36119" cy="43294"/>
                          </a:xfrm>
                          <a:custGeom>
                            <a:avLst/>
                            <a:gdLst/>
                            <a:ahLst/>
                            <a:cxnLst/>
                            <a:rect l="0" t="0" r="0" b="0"/>
                            <a:pathLst>
                              <a:path w="36119" h="43294">
                                <a:moveTo>
                                  <a:pt x="0" y="0"/>
                                </a:moveTo>
                                <a:lnTo>
                                  <a:pt x="7620" y="0"/>
                                </a:lnTo>
                                <a:lnTo>
                                  <a:pt x="7620" y="25540"/>
                                </a:lnTo>
                                <a:cubicBezTo>
                                  <a:pt x="7620" y="33490"/>
                                  <a:pt x="10998" y="37706"/>
                                  <a:pt x="17843" y="37706"/>
                                </a:cubicBezTo>
                                <a:cubicBezTo>
                                  <a:pt x="23685" y="37706"/>
                                  <a:pt x="28498" y="32893"/>
                                  <a:pt x="28498" y="24689"/>
                                </a:cubicBezTo>
                                <a:lnTo>
                                  <a:pt x="28498" y="0"/>
                                </a:lnTo>
                                <a:lnTo>
                                  <a:pt x="36119" y="0"/>
                                </a:lnTo>
                                <a:lnTo>
                                  <a:pt x="36119" y="42278"/>
                                </a:lnTo>
                                <a:lnTo>
                                  <a:pt x="28587" y="42278"/>
                                </a:lnTo>
                                <a:lnTo>
                                  <a:pt x="28587" y="37376"/>
                                </a:lnTo>
                                <a:cubicBezTo>
                                  <a:pt x="24282" y="41097"/>
                                  <a:pt x="20472" y="43294"/>
                                  <a:pt x="14973" y="43294"/>
                                </a:cubicBezTo>
                                <a:cubicBezTo>
                                  <a:pt x="5245" y="43294"/>
                                  <a:pt x="0" y="37871"/>
                                  <a:pt x="0" y="27229"/>
                                </a:cubicBez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84" name="Shape 23884"/>
                        <wps:cNvSpPr/>
                        <wps:spPr>
                          <a:xfrm>
                            <a:off x="6175386" y="228352"/>
                            <a:ext cx="20124" cy="63595"/>
                          </a:xfrm>
                          <a:custGeom>
                            <a:avLst/>
                            <a:gdLst/>
                            <a:ahLst/>
                            <a:cxnLst/>
                            <a:rect l="0" t="0" r="0" b="0"/>
                            <a:pathLst>
                              <a:path w="20124" h="63595">
                                <a:moveTo>
                                  <a:pt x="20124" y="0"/>
                                </a:moveTo>
                                <a:lnTo>
                                  <a:pt x="20124" y="4925"/>
                                </a:lnTo>
                                <a:lnTo>
                                  <a:pt x="11014" y="9271"/>
                                </a:lnTo>
                                <a:cubicBezTo>
                                  <a:pt x="8772" y="12306"/>
                                  <a:pt x="7607" y="16706"/>
                                  <a:pt x="7607" y="22167"/>
                                </a:cubicBezTo>
                                <a:cubicBezTo>
                                  <a:pt x="7607" y="26219"/>
                                  <a:pt x="8534" y="30191"/>
                                  <a:pt x="10646" y="33150"/>
                                </a:cubicBezTo>
                                <a:lnTo>
                                  <a:pt x="20124" y="37733"/>
                                </a:lnTo>
                                <a:lnTo>
                                  <a:pt x="20124" y="43128"/>
                                </a:lnTo>
                                <a:lnTo>
                                  <a:pt x="7772" y="36874"/>
                                </a:lnTo>
                                <a:lnTo>
                                  <a:pt x="7607" y="36874"/>
                                </a:lnTo>
                                <a:lnTo>
                                  <a:pt x="7607" y="63595"/>
                                </a:lnTo>
                                <a:lnTo>
                                  <a:pt x="0" y="63595"/>
                                </a:lnTo>
                                <a:lnTo>
                                  <a:pt x="0" y="184"/>
                                </a:lnTo>
                                <a:lnTo>
                                  <a:pt x="7607" y="184"/>
                                </a:lnTo>
                                <a:lnTo>
                                  <a:pt x="7607" y="6775"/>
                                </a:lnTo>
                                <a:lnTo>
                                  <a:pt x="7772" y="6775"/>
                                </a:lnTo>
                                <a:lnTo>
                                  <a:pt x="20124"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85" name="Shape 23885"/>
                        <wps:cNvSpPr/>
                        <wps:spPr>
                          <a:xfrm>
                            <a:off x="6195510" y="227520"/>
                            <a:ext cx="20250" cy="44297"/>
                          </a:xfrm>
                          <a:custGeom>
                            <a:avLst/>
                            <a:gdLst/>
                            <a:ahLst/>
                            <a:cxnLst/>
                            <a:rect l="0" t="0" r="0" b="0"/>
                            <a:pathLst>
                              <a:path w="20250" h="44297">
                                <a:moveTo>
                                  <a:pt x="1517" y="0"/>
                                </a:moveTo>
                                <a:cubicBezTo>
                                  <a:pt x="9765" y="0"/>
                                  <a:pt x="14567" y="3699"/>
                                  <a:pt x="17305" y="8158"/>
                                </a:cubicBezTo>
                                <a:lnTo>
                                  <a:pt x="20250" y="19129"/>
                                </a:lnTo>
                                <a:lnTo>
                                  <a:pt x="20250" y="22327"/>
                                </a:lnTo>
                                <a:lnTo>
                                  <a:pt x="15360" y="37408"/>
                                </a:lnTo>
                                <a:cubicBezTo>
                                  <a:pt x="11903" y="41656"/>
                                  <a:pt x="6890" y="44297"/>
                                  <a:pt x="667" y="44297"/>
                                </a:cubicBezTo>
                                <a:lnTo>
                                  <a:pt x="0" y="43960"/>
                                </a:lnTo>
                                <a:lnTo>
                                  <a:pt x="0" y="38565"/>
                                </a:lnTo>
                                <a:lnTo>
                                  <a:pt x="667" y="38888"/>
                                </a:lnTo>
                                <a:cubicBezTo>
                                  <a:pt x="9810" y="38888"/>
                                  <a:pt x="12516" y="28664"/>
                                  <a:pt x="12516" y="20968"/>
                                </a:cubicBezTo>
                                <a:cubicBezTo>
                                  <a:pt x="12516" y="13284"/>
                                  <a:pt x="8617" y="5397"/>
                                  <a:pt x="755" y="5397"/>
                                </a:cubicBezTo>
                                <a:lnTo>
                                  <a:pt x="0" y="5757"/>
                                </a:lnTo>
                                <a:lnTo>
                                  <a:pt x="0" y="832"/>
                                </a:lnTo>
                                <a:lnTo>
                                  <a:pt x="1517"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86" name="Shape 23886"/>
                        <wps:cNvSpPr/>
                        <wps:spPr>
                          <a:xfrm>
                            <a:off x="5635916" y="210603"/>
                            <a:ext cx="22593" cy="61214"/>
                          </a:xfrm>
                          <a:custGeom>
                            <a:avLst/>
                            <a:gdLst/>
                            <a:ahLst/>
                            <a:cxnLst/>
                            <a:rect l="0" t="0" r="0" b="0"/>
                            <a:pathLst>
                              <a:path w="22593" h="61214">
                                <a:moveTo>
                                  <a:pt x="20803" y="0"/>
                                </a:moveTo>
                                <a:lnTo>
                                  <a:pt x="22593" y="599"/>
                                </a:lnTo>
                                <a:lnTo>
                                  <a:pt x="22593" y="6267"/>
                                </a:lnTo>
                                <a:lnTo>
                                  <a:pt x="21577" y="5918"/>
                                </a:lnTo>
                                <a:cubicBezTo>
                                  <a:pt x="16065" y="5918"/>
                                  <a:pt x="13284" y="9055"/>
                                  <a:pt x="13284" y="12764"/>
                                </a:cubicBezTo>
                                <a:cubicBezTo>
                                  <a:pt x="13284" y="16154"/>
                                  <a:pt x="15392" y="19279"/>
                                  <a:pt x="21222" y="24600"/>
                                </a:cubicBezTo>
                                <a:lnTo>
                                  <a:pt x="22593" y="25879"/>
                                </a:lnTo>
                                <a:lnTo>
                                  <a:pt x="22593" y="36074"/>
                                </a:lnTo>
                                <a:lnTo>
                                  <a:pt x="16408" y="30518"/>
                                </a:lnTo>
                                <a:cubicBezTo>
                                  <a:pt x="11087" y="33477"/>
                                  <a:pt x="8801" y="37884"/>
                                  <a:pt x="8801" y="42786"/>
                                </a:cubicBezTo>
                                <a:cubicBezTo>
                                  <a:pt x="8801" y="48197"/>
                                  <a:pt x="13030" y="55639"/>
                                  <a:pt x="21996" y="55639"/>
                                </a:cubicBezTo>
                                <a:lnTo>
                                  <a:pt x="22593" y="55482"/>
                                </a:lnTo>
                                <a:lnTo>
                                  <a:pt x="22593" y="60870"/>
                                </a:lnTo>
                                <a:lnTo>
                                  <a:pt x="21069" y="61214"/>
                                </a:lnTo>
                                <a:cubicBezTo>
                                  <a:pt x="2629" y="61214"/>
                                  <a:pt x="0" y="47181"/>
                                  <a:pt x="0" y="43548"/>
                                </a:cubicBezTo>
                                <a:cubicBezTo>
                                  <a:pt x="0" y="35776"/>
                                  <a:pt x="5677" y="29693"/>
                                  <a:pt x="12700" y="26467"/>
                                </a:cubicBezTo>
                                <a:cubicBezTo>
                                  <a:pt x="9398" y="23330"/>
                                  <a:pt x="4991" y="19279"/>
                                  <a:pt x="4991" y="13195"/>
                                </a:cubicBezTo>
                                <a:cubicBezTo>
                                  <a:pt x="4991" y="6248"/>
                                  <a:pt x="11341" y="0"/>
                                  <a:pt x="20803"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87" name="Shape 23887"/>
                        <wps:cNvSpPr/>
                        <wps:spPr>
                          <a:xfrm>
                            <a:off x="5658509" y="236482"/>
                            <a:ext cx="35090" cy="35335"/>
                          </a:xfrm>
                          <a:custGeom>
                            <a:avLst/>
                            <a:gdLst/>
                            <a:ahLst/>
                            <a:cxnLst/>
                            <a:rect l="0" t="0" r="0" b="0"/>
                            <a:pathLst>
                              <a:path w="35090" h="35335">
                                <a:moveTo>
                                  <a:pt x="0" y="0"/>
                                </a:moveTo>
                                <a:lnTo>
                                  <a:pt x="17590" y="16400"/>
                                </a:lnTo>
                                <a:cubicBezTo>
                                  <a:pt x="19253" y="13034"/>
                                  <a:pt x="19012" y="7980"/>
                                  <a:pt x="17704" y="3585"/>
                                </a:cubicBezTo>
                                <a:lnTo>
                                  <a:pt x="24283" y="3585"/>
                                </a:lnTo>
                                <a:cubicBezTo>
                                  <a:pt x="25324" y="8576"/>
                                  <a:pt x="24968" y="14888"/>
                                  <a:pt x="22149" y="20476"/>
                                </a:cubicBezTo>
                                <a:lnTo>
                                  <a:pt x="35090" y="31538"/>
                                </a:lnTo>
                                <a:lnTo>
                                  <a:pt x="27559" y="35335"/>
                                </a:lnTo>
                                <a:lnTo>
                                  <a:pt x="17920" y="26458"/>
                                </a:lnTo>
                                <a:cubicBezTo>
                                  <a:pt x="15640" y="29036"/>
                                  <a:pt x="12827" y="31255"/>
                                  <a:pt x="9560" y="32830"/>
                                </a:cubicBezTo>
                                <a:lnTo>
                                  <a:pt x="0" y="34991"/>
                                </a:lnTo>
                                <a:lnTo>
                                  <a:pt x="0" y="29603"/>
                                </a:lnTo>
                                <a:lnTo>
                                  <a:pt x="8112" y="27468"/>
                                </a:lnTo>
                                <a:cubicBezTo>
                                  <a:pt x="10585" y="26106"/>
                                  <a:pt x="12554" y="24312"/>
                                  <a:pt x="13792" y="22585"/>
                                </a:cubicBezTo>
                                <a:lnTo>
                                  <a:pt x="0" y="10195"/>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88" name="Shape 23888"/>
                        <wps:cNvSpPr/>
                        <wps:spPr>
                          <a:xfrm>
                            <a:off x="5658509" y="211203"/>
                            <a:ext cx="10313" cy="8189"/>
                          </a:xfrm>
                          <a:custGeom>
                            <a:avLst/>
                            <a:gdLst/>
                            <a:ahLst/>
                            <a:cxnLst/>
                            <a:rect l="0" t="0" r="0" b="0"/>
                            <a:pathLst>
                              <a:path w="10313" h="8189">
                                <a:moveTo>
                                  <a:pt x="0" y="0"/>
                                </a:moveTo>
                                <a:lnTo>
                                  <a:pt x="10313" y="3452"/>
                                </a:lnTo>
                                <a:lnTo>
                                  <a:pt x="7341" y="8189"/>
                                </a:lnTo>
                                <a:lnTo>
                                  <a:pt x="0" y="5668"/>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89" name="Shape 23889"/>
                        <wps:cNvSpPr/>
                        <wps:spPr>
                          <a:xfrm>
                            <a:off x="5128437" y="277113"/>
                            <a:ext cx="23184" cy="27446"/>
                          </a:xfrm>
                          <a:custGeom>
                            <a:avLst/>
                            <a:gdLst/>
                            <a:ahLst/>
                            <a:cxnLst/>
                            <a:rect l="0" t="0" r="0" b="0"/>
                            <a:pathLst>
                              <a:path w="23184" h="27446">
                                <a:moveTo>
                                  <a:pt x="0" y="0"/>
                                </a:moveTo>
                                <a:lnTo>
                                  <a:pt x="23184" y="0"/>
                                </a:lnTo>
                                <a:lnTo>
                                  <a:pt x="23184" y="25908"/>
                                </a:lnTo>
                                <a:lnTo>
                                  <a:pt x="19583" y="25908"/>
                                </a:lnTo>
                                <a:lnTo>
                                  <a:pt x="19583" y="10617"/>
                                </a:lnTo>
                                <a:lnTo>
                                  <a:pt x="8090" y="10617"/>
                                </a:lnTo>
                                <a:lnTo>
                                  <a:pt x="8090" y="27446"/>
                                </a:lnTo>
                                <a:lnTo>
                                  <a:pt x="0" y="27446"/>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90" name="Shape 23890"/>
                        <wps:cNvSpPr/>
                        <wps:spPr>
                          <a:xfrm>
                            <a:off x="5127840" y="239433"/>
                            <a:ext cx="23781" cy="34734"/>
                          </a:xfrm>
                          <a:custGeom>
                            <a:avLst/>
                            <a:gdLst/>
                            <a:ahLst/>
                            <a:cxnLst/>
                            <a:rect l="0" t="0" r="0" b="0"/>
                            <a:pathLst>
                              <a:path w="23781" h="34734">
                                <a:moveTo>
                                  <a:pt x="23114" y="0"/>
                                </a:moveTo>
                                <a:lnTo>
                                  <a:pt x="23781" y="223"/>
                                </a:lnTo>
                                <a:lnTo>
                                  <a:pt x="23781" y="10839"/>
                                </a:lnTo>
                                <a:lnTo>
                                  <a:pt x="23114" y="10668"/>
                                </a:lnTo>
                                <a:cubicBezTo>
                                  <a:pt x="13996" y="10668"/>
                                  <a:pt x="8839" y="14008"/>
                                  <a:pt x="8839" y="19850"/>
                                </a:cubicBezTo>
                                <a:cubicBezTo>
                                  <a:pt x="8839" y="21145"/>
                                  <a:pt x="9233" y="22771"/>
                                  <a:pt x="9919" y="24130"/>
                                </a:cubicBezTo>
                                <a:lnTo>
                                  <a:pt x="17818" y="24130"/>
                                </a:lnTo>
                                <a:lnTo>
                                  <a:pt x="17818" y="18974"/>
                                </a:lnTo>
                                <a:lnTo>
                                  <a:pt x="23781" y="18974"/>
                                </a:lnTo>
                                <a:lnTo>
                                  <a:pt x="23781" y="34734"/>
                                </a:lnTo>
                                <a:lnTo>
                                  <a:pt x="5423" y="34734"/>
                                </a:lnTo>
                                <a:cubicBezTo>
                                  <a:pt x="3125" y="31598"/>
                                  <a:pt x="2439" y="30315"/>
                                  <a:pt x="1423" y="27598"/>
                                </a:cubicBezTo>
                                <a:lnTo>
                                  <a:pt x="0" y="19980"/>
                                </a:lnTo>
                                <a:lnTo>
                                  <a:pt x="0" y="19886"/>
                                </a:lnTo>
                                <a:lnTo>
                                  <a:pt x="6474" y="5599"/>
                                </a:lnTo>
                                <a:cubicBezTo>
                                  <a:pt x="10564" y="2074"/>
                                  <a:pt x="16345" y="0"/>
                                  <a:pt x="23114"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91" name="Shape 23891"/>
                        <wps:cNvSpPr/>
                        <wps:spPr>
                          <a:xfrm>
                            <a:off x="5128437" y="204749"/>
                            <a:ext cx="23184" cy="32497"/>
                          </a:xfrm>
                          <a:custGeom>
                            <a:avLst/>
                            <a:gdLst/>
                            <a:ahLst/>
                            <a:cxnLst/>
                            <a:rect l="0" t="0" r="0" b="0"/>
                            <a:pathLst>
                              <a:path w="23184" h="32497">
                                <a:moveTo>
                                  <a:pt x="0" y="0"/>
                                </a:moveTo>
                                <a:lnTo>
                                  <a:pt x="23184" y="0"/>
                                </a:lnTo>
                                <a:lnTo>
                                  <a:pt x="23184" y="10173"/>
                                </a:lnTo>
                                <a:lnTo>
                                  <a:pt x="7823" y="10173"/>
                                </a:lnTo>
                                <a:lnTo>
                                  <a:pt x="7823" y="12281"/>
                                </a:lnTo>
                                <a:cubicBezTo>
                                  <a:pt x="7823" y="16129"/>
                                  <a:pt x="9118" y="18542"/>
                                  <a:pt x="11836" y="20041"/>
                                </a:cubicBezTo>
                                <a:cubicBezTo>
                                  <a:pt x="14631" y="21540"/>
                                  <a:pt x="18097" y="22264"/>
                                  <a:pt x="23063" y="22200"/>
                                </a:cubicBezTo>
                                <a:lnTo>
                                  <a:pt x="23184" y="22183"/>
                                </a:lnTo>
                                <a:lnTo>
                                  <a:pt x="23184" y="32497"/>
                                </a:lnTo>
                                <a:lnTo>
                                  <a:pt x="10152" y="29639"/>
                                </a:lnTo>
                                <a:cubicBezTo>
                                  <a:pt x="6429" y="27794"/>
                                  <a:pt x="3505" y="25134"/>
                                  <a:pt x="1841" y="21870"/>
                                </a:cubicBezTo>
                                <a:cubicBezTo>
                                  <a:pt x="419" y="19190"/>
                                  <a:pt x="0" y="16980"/>
                                  <a:pt x="0" y="12345"/>
                                </a:cubicBez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92" name="Shape 23892"/>
                        <wps:cNvSpPr/>
                        <wps:spPr>
                          <a:xfrm>
                            <a:off x="5128437" y="174154"/>
                            <a:ext cx="23184" cy="28143"/>
                          </a:xfrm>
                          <a:custGeom>
                            <a:avLst/>
                            <a:gdLst/>
                            <a:ahLst/>
                            <a:cxnLst/>
                            <a:rect l="0" t="0" r="0" b="0"/>
                            <a:pathLst>
                              <a:path w="23184" h="28143">
                                <a:moveTo>
                                  <a:pt x="152" y="0"/>
                                </a:moveTo>
                                <a:lnTo>
                                  <a:pt x="23184" y="0"/>
                                </a:lnTo>
                                <a:lnTo>
                                  <a:pt x="23184" y="26378"/>
                                </a:lnTo>
                                <a:lnTo>
                                  <a:pt x="19583" y="26378"/>
                                </a:lnTo>
                                <a:lnTo>
                                  <a:pt x="19583" y="11075"/>
                                </a:lnTo>
                                <a:lnTo>
                                  <a:pt x="8090" y="11075"/>
                                </a:lnTo>
                                <a:lnTo>
                                  <a:pt x="8090" y="28143"/>
                                </a:lnTo>
                                <a:lnTo>
                                  <a:pt x="0" y="28143"/>
                                </a:lnTo>
                                <a:lnTo>
                                  <a:pt x="152"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93" name="Shape 23893"/>
                        <wps:cNvSpPr/>
                        <wps:spPr>
                          <a:xfrm>
                            <a:off x="5128589" y="146659"/>
                            <a:ext cx="23032" cy="25095"/>
                          </a:xfrm>
                          <a:custGeom>
                            <a:avLst/>
                            <a:gdLst/>
                            <a:ahLst/>
                            <a:cxnLst/>
                            <a:rect l="0" t="0" r="0" b="0"/>
                            <a:pathLst>
                              <a:path w="23032" h="25095">
                                <a:moveTo>
                                  <a:pt x="0" y="0"/>
                                </a:moveTo>
                                <a:lnTo>
                                  <a:pt x="23032" y="0"/>
                                </a:lnTo>
                                <a:lnTo>
                                  <a:pt x="23032" y="10605"/>
                                </a:lnTo>
                                <a:lnTo>
                                  <a:pt x="8356" y="10605"/>
                                </a:lnTo>
                                <a:lnTo>
                                  <a:pt x="8356" y="25095"/>
                                </a:lnTo>
                                <a:lnTo>
                                  <a:pt x="0" y="25095"/>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28" name="Shape 230928"/>
                        <wps:cNvSpPr/>
                        <wps:spPr>
                          <a:xfrm>
                            <a:off x="5128729" y="124689"/>
                            <a:ext cx="22892" cy="10604"/>
                          </a:xfrm>
                          <a:custGeom>
                            <a:avLst/>
                            <a:gdLst/>
                            <a:ahLst/>
                            <a:cxnLst/>
                            <a:rect l="0" t="0" r="0" b="0"/>
                            <a:pathLst>
                              <a:path w="22892" h="10604">
                                <a:moveTo>
                                  <a:pt x="0" y="0"/>
                                </a:moveTo>
                                <a:lnTo>
                                  <a:pt x="22892" y="0"/>
                                </a:lnTo>
                                <a:lnTo>
                                  <a:pt x="22892" y="10604"/>
                                </a:lnTo>
                                <a:lnTo>
                                  <a:pt x="0" y="10604"/>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95" name="Shape 23895"/>
                        <wps:cNvSpPr/>
                        <wps:spPr>
                          <a:xfrm>
                            <a:off x="5127840" y="81254"/>
                            <a:ext cx="23781" cy="31839"/>
                          </a:xfrm>
                          <a:custGeom>
                            <a:avLst/>
                            <a:gdLst/>
                            <a:ahLst/>
                            <a:cxnLst/>
                            <a:rect l="0" t="0" r="0" b="0"/>
                            <a:pathLst>
                              <a:path w="23781" h="31839">
                                <a:moveTo>
                                  <a:pt x="18542" y="0"/>
                                </a:moveTo>
                                <a:lnTo>
                                  <a:pt x="23781" y="0"/>
                                </a:lnTo>
                                <a:lnTo>
                                  <a:pt x="23781" y="10402"/>
                                </a:lnTo>
                                <a:lnTo>
                                  <a:pt x="18758" y="10402"/>
                                </a:lnTo>
                                <a:cubicBezTo>
                                  <a:pt x="10808" y="10402"/>
                                  <a:pt x="8560" y="11595"/>
                                  <a:pt x="8560" y="15926"/>
                                </a:cubicBezTo>
                                <a:cubicBezTo>
                                  <a:pt x="8560" y="20257"/>
                                  <a:pt x="10808" y="21463"/>
                                  <a:pt x="18758" y="21463"/>
                                </a:cubicBezTo>
                                <a:lnTo>
                                  <a:pt x="23781" y="21463"/>
                                </a:lnTo>
                                <a:lnTo>
                                  <a:pt x="23781" y="31839"/>
                                </a:lnTo>
                                <a:lnTo>
                                  <a:pt x="18542" y="31839"/>
                                </a:lnTo>
                                <a:cubicBezTo>
                                  <a:pt x="13386" y="31839"/>
                                  <a:pt x="11342" y="31572"/>
                                  <a:pt x="8624" y="30582"/>
                                </a:cubicBezTo>
                                <a:cubicBezTo>
                                  <a:pt x="6591" y="29782"/>
                                  <a:pt x="4890" y="28588"/>
                                  <a:pt x="3531" y="26988"/>
                                </a:cubicBezTo>
                                <a:lnTo>
                                  <a:pt x="0" y="15965"/>
                                </a:lnTo>
                                <a:lnTo>
                                  <a:pt x="0" y="15905"/>
                                </a:lnTo>
                                <a:lnTo>
                                  <a:pt x="8624" y="1270"/>
                                </a:lnTo>
                                <a:cubicBezTo>
                                  <a:pt x="11418" y="204"/>
                                  <a:pt x="13386" y="0"/>
                                  <a:pt x="18542"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96" name="Shape 23896"/>
                        <wps:cNvSpPr/>
                        <wps:spPr>
                          <a:xfrm>
                            <a:off x="5127840" y="42839"/>
                            <a:ext cx="23781" cy="35835"/>
                          </a:xfrm>
                          <a:custGeom>
                            <a:avLst/>
                            <a:gdLst/>
                            <a:ahLst/>
                            <a:cxnLst/>
                            <a:rect l="0" t="0" r="0" b="0"/>
                            <a:pathLst>
                              <a:path w="23781" h="35835">
                                <a:moveTo>
                                  <a:pt x="23781" y="0"/>
                                </a:moveTo>
                                <a:lnTo>
                                  <a:pt x="23781" y="10560"/>
                                </a:lnTo>
                                <a:lnTo>
                                  <a:pt x="12724" y="12322"/>
                                </a:lnTo>
                                <a:cubicBezTo>
                                  <a:pt x="10278" y="13536"/>
                                  <a:pt x="9106" y="15384"/>
                                  <a:pt x="9106" y="17918"/>
                                </a:cubicBezTo>
                                <a:cubicBezTo>
                                  <a:pt x="9106" y="20445"/>
                                  <a:pt x="10278" y="22293"/>
                                  <a:pt x="12724" y="23509"/>
                                </a:cubicBezTo>
                                <a:lnTo>
                                  <a:pt x="23781" y="25276"/>
                                </a:lnTo>
                                <a:lnTo>
                                  <a:pt x="23781" y="35835"/>
                                </a:lnTo>
                                <a:lnTo>
                                  <a:pt x="6530" y="30926"/>
                                </a:lnTo>
                                <a:lnTo>
                                  <a:pt x="0" y="17943"/>
                                </a:lnTo>
                                <a:lnTo>
                                  <a:pt x="0" y="17893"/>
                                </a:lnTo>
                                <a:lnTo>
                                  <a:pt x="6530" y="4934"/>
                                </a:lnTo>
                                <a:lnTo>
                                  <a:pt x="23781"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97" name="Shape 23897"/>
                        <wps:cNvSpPr/>
                        <wps:spPr>
                          <a:xfrm>
                            <a:off x="5128437" y="11023"/>
                            <a:ext cx="23184" cy="32156"/>
                          </a:xfrm>
                          <a:custGeom>
                            <a:avLst/>
                            <a:gdLst/>
                            <a:ahLst/>
                            <a:cxnLst/>
                            <a:rect l="0" t="0" r="0" b="0"/>
                            <a:pathLst>
                              <a:path w="23184" h="32156">
                                <a:moveTo>
                                  <a:pt x="0" y="0"/>
                                </a:moveTo>
                                <a:lnTo>
                                  <a:pt x="23184" y="0"/>
                                </a:lnTo>
                                <a:lnTo>
                                  <a:pt x="23184" y="22805"/>
                                </a:lnTo>
                                <a:lnTo>
                                  <a:pt x="22580" y="22365"/>
                                </a:lnTo>
                                <a:cubicBezTo>
                                  <a:pt x="21425" y="24003"/>
                                  <a:pt x="20002" y="25019"/>
                                  <a:pt x="17005" y="26238"/>
                                </a:cubicBezTo>
                                <a:cubicBezTo>
                                  <a:pt x="15430" y="26924"/>
                                  <a:pt x="13944" y="27394"/>
                                  <a:pt x="8433" y="29159"/>
                                </a:cubicBezTo>
                                <a:lnTo>
                                  <a:pt x="5588" y="30111"/>
                                </a:lnTo>
                                <a:cubicBezTo>
                                  <a:pt x="2870" y="31000"/>
                                  <a:pt x="2387" y="31140"/>
                                  <a:pt x="749" y="31814"/>
                                </a:cubicBezTo>
                                <a:lnTo>
                                  <a:pt x="0" y="32156"/>
                                </a:lnTo>
                                <a:lnTo>
                                  <a:pt x="0" y="21145"/>
                                </a:lnTo>
                                <a:lnTo>
                                  <a:pt x="1841" y="20663"/>
                                </a:lnTo>
                                <a:lnTo>
                                  <a:pt x="8712" y="18631"/>
                                </a:lnTo>
                                <a:cubicBezTo>
                                  <a:pt x="16053" y="16522"/>
                                  <a:pt x="18491" y="15367"/>
                                  <a:pt x="19177" y="13601"/>
                                </a:cubicBezTo>
                                <a:cubicBezTo>
                                  <a:pt x="19507" y="12712"/>
                                  <a:pt x="20612" y="12243"/>
                                  <a:pt x="20612" y="10605"/>
                                </a:cubicBezTo>
                                <a:lnTo>
                                  <a:pt x="0" y="10605"/>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98" name="Shape 23898"/>
                        <wps:cNvSpPr/>
                        <wps:spPr>
                          <a:xfrm>
                            <a:off x="5151621" y="277113"/>
                            <a:ext cx="9830" cy="25908"/>
                          </a:xfrm>
                          <a:custGeom>
                            <a:avLst/>
                            <a:gdLst/>
                            <a:ahLst/>
                            <a:cxnLst/>
                            <a:rect l="0" t="0" r="0" b="0"/>
                            <a:pathLst>
                              <a:path w="9830" h="25908">
                                <a:moveTo>
                                  <a:pt x="0" y="0"/>
                                </a:moveTo>
                                <a:lnTo>
                                  <a:pt x="9830" y="0"/>
                                </a:lnTo>
                                <a:lnTo>
                                  <a:pt x="9830" y="10617"/>
                                </a:lnTo>
                                <a:lnTo>
                                  <a:pt x="4489" y="10617"/>
                                </a:lnTo>
                                <a:lnTo>
                                  <a:pt x="4489" y="25908"/>
                                </a:lnTo>
                                <a:lnTo>
                                  <a:pt x="0" y="25908"/>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29" name="Shape 230929"/>
                        <wps:cNvSpPr/>
                        <wps:spPr>
                          <a:xfrm>
                            <a:off x="5151621" y="258407"/>
                            <a:ext cx="9144" cy="15760"/>
                          </a:xfrm>
                          <a:custGeom>
                            <a:avLst/>
                            <a:gdLst/>
                            <a:ahLst/>
                            <a:cxnLst/>
                            <a:rect l="0" t="0" r="0" b="0"/>
                            <a:pathLst>
                              <a:path w="9144" h="15760">
                                <a:moveTo>
                                  <a:pt x="0" y="0"/>
                                </a:moveTo>
                                <a:lnTo>
                                  <a:pt x="9144" y="0"/>
                                </a:lnTo>
                                <a:lnTo>
                                  <a:pt x="9144" y="15760"/>
                                </a:lnTo>
                                <a:lnTo>
                                  <a:pt x="0" y="15760"/>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00" name="Shape 23900"/>
                        <wps:cNvSpPr/>
                        <wps:spPr>
                          <a:xfrm>
                            <a:off x="5151621" y="239655"/>
                            <a:ext cx="9830" cy="13134"/>
                          </a:xfrm>
                          <a:custGeom>
                            <a:avLst/>
                            <a:gdLst/>
                            <a:ahLst/>
                            <a:cxnLst/>
                            <a:rect l="0" t="0" r="0" b="0"/>
                            <a:pathLst>
                              <a:path w="9830" h="13134">
                                <a:moveTo>
                                  <a:pt x="0" y="0"/>
                                </a:moveTo>
                                <a:lnTo>
                                  <a:pt x="9830" y="3280"/>
                                </a:lnTo>
                                <a:lnTo>
                                  <a:pt x="9830" y="13134"/>
                                </a:lnTo>
                                <a:lnTo>
                                  <a:pt x="0" y="10617"/>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01" name="Shape 23901"/>
                        <wps:cNvSpPr/>
                        <wps:spPr>
                          <a:xfrm>
                            <a:off x="5151621" y="225377"/>
                            <a:ext cx="9830" cy="11884"/>
                          </a:xfrm>
                          <a:custGeom>
                            <a:avLst/>
                            <a:gdLst/>
                            <a:ahLst/>
                            <a:cxnLst/>
                            <a:rect l="0" t="0" r="0" b="0"/>
                            <a:pathLst>
                              <a:path w="9830" h="11884">
                                <a:moveTo>
                                  <a:pt x="9830" y="0"/>
                                </a:moveTo>
                                <a:lnTo>
                                  <a:pt x="9830" y="8531"/>
                                </a:lnTo>
                                <a:lnTo>
                                  <a:pt x="70" y="11884"/>
                                </a:lnTo>
                                <a:lnTo>
                                  <a:pt x="0" y="11869"/>
                                </a:lnTo>
                                <a:lnTo>
                                  <a:pt x="0" y="1555"/>
                                </a:lnTo>
                                <a:lnTo>
                                  <a:pt x="9538" y="226"/>
                                </a:lnTo>
                                <a:lnTo>
                                  <a:pt x="983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30" name="Shape 230930"/>
                        <wps:cNvSpPr/>
                        <wps:spPr>
                          <a:xfrm>
                            <a:off x="5151621" y="204749"/>
                            <a:ext cx="9830" cy="10173"/>
                          </a:xfrm>
                          <a:custGeom>
                            <a:avLst/>
                            <a:gdLst/>
                            <a:ahLst/>
                            <a:cxnLst/>
                            <a:rect l="0" t="0" r="0" b="0"/>
                            <a:pathLst>
                              <a:path w="9830" h="10173">
                                <a:moveTo>
                                  <a:pt x="0" y="0"/>
                                </a:moveTo>
                                <a:lnTo>
                                  <a:pt x="9830" y="0"/>
                                </a:lnTo>
                                <a:lnTo>
                                  <a:pt x="9830" y="10173"/>
                                </a:lnTo>
                                <a:lnTo>
                                  <a:pt x="0" y="10173"/>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03" name="Shape 23903"/>
                        <wps:cNvSpPr/>
                        <wps:spPr>
                          <a:xfrm>
                            <a:off x="5151621" y="174154"/>
                            <a:ext cx="9830" cy="26378"/>
                          </a:xfrm>
                          <a:custGeom>
                            <a:avLst/>
                            <a:gdLst/>
                            <a:ahLst/>
                            <a:cxnLst/>
                            <a:rect l="0" t="0" r="0" b="0"/>
                            <a:pathLst>
                              <a:path w="9830" h="26378">
                                <a:moveTo>
                                  <a:pt x="0" y="0"/>
                                </a:moveTo>
                                <a:lnTo>
                                  <a:pt x="9830" y="0"/>
                                </a:lnTo>
                                <a:lnTo>
                                  <a:pt x="9830" y="11075"/>
                                </a:lnTo>
                                <a:lnTo>
                                  <a:pt x="4489" y="11075"/>
                                </a:lnTo>
                                <a:lnTo>
                                  <a:pt x="4489" y="26378"/>
                                </a:lnTo>
                                <a:lnTo>
                                  <a:pt x="0" y="26378"/>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31" name="Shape 230931"/>
                        <wps:cNvSpPr/>
                        <wps:spPr>
                          <a:xfrm>
                            <a:off x="5151621" y="146659"/>
                            <a:ext cx="9830" cy="10605"/>
                          </a:xfrm>
                          <a:custGeom>
                            <a:avLst/>
                            <a:gdLst/>
                            <a:ahLst/>
                            <a:cxnLst/>
                            <a:rect l="0" t="0" r="0" b="0"/>
                            <a:pathLst>
                              <a:path w="9830" h="10605">
                                <a:moveTo>
                                  <a:pt x="0" y="0"/>
                                </a:moveTo>
                                <a:lnTo>
                                  <a:pt x="9830" y="0"/>
                                </a:lnTo>
                                <a:lnTo>
                                  <a:pt x="9830" y="10605"/>
                                </a:lnTo>
                                <a:lnTo>
                                  <a:pt x="0" y="10605"/>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32" name="Shape 230932"/>
                        <wps:cNvSpPr/>
                        <wps:spPr>
                          <a:xfrm>
                            <a:off x="5151621" y="124689"/>
                            <a:ext cx="9830" cy="10604"/>
                          </a:xfrm>
                          <a:custGeom>
                            <a:avLst/>
                            <a:gdLst/>
                            <a:ahLst/>
                            <a:cxnLst/>
                            <a:rect l="0" t="0" r="0" b="0"/>
                            <a:pathLst>
                              <a:path w="9830" h="10604">
                                <a:moveTo>
                                  <a:pt x="0" y="0"/>
                                </a:moveTo>
                                <a:lnTo>
                                  <a:pt x="9830" y="0"/>
                                </a:lnTo>
                                <a:lnTo>
                                  <a:pt x="9830" y="10604"/>
                                </a:lnTo>
                                <a:lnTo>
                                  <a:pt x="0" y="10604"/>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33" name="Shape 230933"/>
                        <wps:cNvSpPr/>
                        <wps:spPr>
                          <a:xfrm>
                            <a:off x="5151621" y="102717"/>
                            <a:ext cx="9830" cy="10376"/>
                          </a:xfrm>
                          <a:custGeom>
                            <a:avLst/>
                            <a:gdLst/>
                            <a:ahLst/>
                            <a:cxnLst/>
                            <a:rect l="0" t="0" r="0" b="0"/>
                            <a:pathLst>
                              <a:path w="9830" h="10376">
                                <a:moveTo>
                                  <a:pt x="0" y="0"/>
                                </a:moveTo>
                                <a:lnTo>
                                  <a:pt x="9830" y="0"/>
                                </a:lnTo>
                                <a:lnTo>
                                  <a:pt x="9830" y="10376"/>
                                </a:lnTo>
                                <a:lnTo>
                                  <a:pt x="0" y="10376"/>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34" name="Shape 230934"/>
                        <wps:cNvSpPr/>
                        <wps:spPr>
                          <a:xfrm>
                            <a:off x="5151621" y="81254"/>
                            <a:ext cx="9830" cy="10402"/>
                          </a:xfrm>
                          <a:custGeom>
                            <a:avLst/>
                            <a:gdLst/>
                            <a:ahLst/>
                            <a:cxnLst/>
                            <a:rect l="0" t="0" r="0" b="0"/>
                            <a:pathLst>
                              <a:path w="9830" h="10402">
                                <a:moveTo>
                                  <a:pt x="0" y="0"/>
                                </a:moveTo>
                                <a:lnTo>
                                  <a:pt x="9830" y="0"/>
                                </a:lnTo>
                                <a:lnTo>
                                  <a:pt x="9830" y="10402"/>
                                </a:lnTo>
                                <a:lnTo>
                                  <a:pt x="0" y="10402"/>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08" name="Shape 23908"/>
                        <wps:cNvSpPr/>
                        <wps:spPr>
                          <a:xfrm>
                            <a:off x="5151621" y="66624"/>
                            <a:ext cx="9830" cy="12052"/>
                          </a:xfrm>
                          <a:custGeom>
                            <a:avLst/>
                            <a:gdLst/>
                            <a:ahLst/>
                            <a:cxnLst/>
                            <a:rect l="0" t="0" r="0" b="0"/>
                            <a:pathLst>
                              <a:path w="9830" h="12052">
                                <a:moveTo>
                                  <a:pt x="9830" y="0"/>
                                </a:moveTo>
                                <a:lnTo>
                                  <a:pt x="9830" y="9280"/>
                                </a:lnTo>
                                <a:lnTo>
                                  <a:pt x="6" y="12052"/>
                                </a:lnTo>
                                <a:lnTo>
                                  <a:pt x="0" y="12050"/>
                                </a:lnTo>
                                <a:lnTo>
                                  <a:pt x="0" y="1490"/>
                                </a:lnTo>
                                <a:lnTo>
                                  <a:pt x="209" y="1524"/>
                                </a:lnTo>
                                <a:lnTo>
                                  <a:pt x="983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09" name="Shape 23909"/>
                        <wps:cNvSpPr/>
                        <wps:spPr>
                          <a:xfrm>
                            <a:off x="5151621" y="42837"/>
                            <a:ext cx="9830" cy="12073"/>
                          </a:xfrm>
                          <a:custGeom>
                            <a:avLst/>
                            <a:gdLst/>
                            <a:ahLst/>
                            <a:cxnLst/>
                            <a:rect l="0" t="0" r="0" b="0"/>
                            <a:pathLst>
                              <a:path w="9830" h="12073">
                                <a:moveTo>
                                  <a:pt x="6" y="0"/>
                                </a:moveTo>
                                <a:lnTo>
                                  <a:pt x="9830" y="2771"/>
                                </a:lnTo>
                                <a:lnTo>
                                  <a:pt x="9830" y="12073"/>
                                </a:lnTo>
                                <a:lnTo>
                                  <a:pt x="209" y="10528"/>
                                </a:lnTo>
                                <a:lnTo>
                                  <a:pt x="0" y="10561"/>
                                </a:lnTo>
                                <a:lnTo>
                                  <a:pt x="0" y="2"/>
                                </a:lnTo>
                                <a:lnTo>
                                  <a:pt x="6"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10" name="Shape 23910"/>
                        <wps:cNvSpPr/>
                        <wps:spPr>
                          <a:xfrm>
                            <a:off x="5151621" y="11023"/>
                            <a:ext cx="9830" cy="29986"/>
                          </a:xfrm>
                          <a:custGeom>
                            <a:avLst/>
                            <a:gdLst/>
                            <a:ahLst/>
                            <a:cxnLst/>
                            <a:rect l="0" t="0" r="0" b="0"/>
                            <a:pathLst>
                              <a:path w="9830" h="29986">
                                <a:moveTo>
                                  <a:pt x="0" y="0"/>
                                </a:moveTo>
                                <a:lnTo>
                                  <a:pt x="9830" y="0"/>
                                </a:lnTo>
                                <a:lnTo>
                                  <a:pt x="9830" y="10605"/>
                                </a:lnTo>
                                <a:lnTo>
                                  <a:pt x="4489" y="10605"/>
                                </a:lnTo>
                                <a:lnTo>
                                  <a:pt x="4489" y="12243"/>
                                </a:lnTo>
                                <a:cubicBezTo>
                                  <a:pt x="4489" y="15030"/>
                                  <a:pt x="4813" y="16863"/>
                                  <a:pt x="5656" y="17998"/>
                                </a:cubicBezTo>
                                <a:lnTo>
                                  <a:pt x="9830" y="19531"/>
                                </a:lnTo>
                                <a:lnTo>
                                  <a:pt x="9830" y="29986"/>
                                </a:lnTo>
                                <a:lnTo>
                                  <a:pt x="0" y="22805"/>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11" name="Shape 23911"/>
                        <wps:cNvSpPr/>
                        <wps:spPr>
                          <a:xfrm>
                            <a:off x="5161450" y="277113"/>
                            <a:ext cx="13430" cy="27128"/>
                          </a:xfrm>
                          <a:custGeom>
                            <a:avLst/>
                            <a:gdLst/>
                            <a:ahLst/>
                            <a:cxnLst/>
                            <a:rect l="0" t="0" r="0" b="0"/>
                            <a:pathLst>
                              <a:path w="13430" h="27128">
                                <a:moveTo>
                                  <a:pt x="0" y="0"/>
                                </a:moveTo>
                                <a:lnTo>
                                  <a:pt x="13430" y="0"/>
                                </a:lnTo>
                                <a:lnTo>
                                  <a:pt x="13430" y="27128"/>
                                </a:lnTo>
                                <a:lnTo>
                                  <a:pt x="5340" y="27128"/>
                                </a:lnTo>
                                <a:lnTo>
                                  <a:pt x="5340" y="10617"/>
                                </a:lnTo>
                                <a:lnTo>
                                  <a:pt x="0" y="10617"/>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12" name="Shape 23912"/>
                        <wps:cNvSpPr/>
                        <wps:spPr>
                          <a:xfrm>
                            <a:off x="5161450" y="242935"/>
                            <a:ext cx="14015" cy="29670"/>
                          </a:xfrm>
                          <a:custGeom>
                            <a:avLst/>
                            <a:gdLst/>
                            <a:ahLst/>
                            <a:cxnLst/>
                            <a:rect l="0" t="0" r="0" b="0"/>
                            <a:pathLst>
                              <a:path w="14015" h="29670">
                                <a:moveTo>
                                  <a:pt x="0" y="0"/>
                                </a:moveTo>
                                <a:lnTo>
                                  <a:pt x="6955" y="2321"/>
                                </a:lnTo>
                                <a:cubicBezTo>
                                  <a:pt x="11351" y="5950"/>
                                  <a:pt x="14015" y="11014"/>
                                  <a:pt x="14015" y="16755"/>
                                </a:cubicBezTo>
                                <a:cubicBezTo>
                                  <a:pt x="14015" y="21454"/>
                                  <a:pt x="12948" y="25251"/>
                                  <a:pt x="10357" y="29670"/>
                                </a:cubicBezTo>
                                <a:lnTo>
                                  <a:pt x="845" y="29670"/>
                                </a:lnTo>
                                <a:cubicBezTo>
                                  <a:pt x="4185" y="25530"/>
                                  <a:pt x="5480" y="22469"/>
                                  <a:pt x="5480" y="18672"/>
                                </a:cubicBezTo>
                                <a:cubicBezTo>
                                  <a:pt x="5480" y="15034"/>
                                  <a:pt x="4032" y="12157"/>
                                  <a:pt x="1311" y="10190"/>
                                </a:cubicBezTo>
                                <a:lnTo>
                                  <a:pt x="0" y="9854"/>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13" name="Shape 23913"/>
                        <wps:cNvSpPr/>
                        <wps:spPr>
                          <a:xfrm>
                            <a:off x="5161450" y="204749"/>
                            <a:ext cx="13430" cy="29159"/>
                          </a:xfrm>
                          <a:custGeom>
                            <a:avLst/>
                            <a:gdLst/>
                            <a:ahLst/>
                            <a:cxnLst/>
                            <a:rect l="0" t="0" r="0" b="0"/>
                            <a:pathLst>
                              <a:path w="13430" h="29159">
                                <a:moveTo>
                                  <a:pt x="0" y="0"/>
                                </a:moveTo>
                                <a:lnTo>
                                  <a:pt x="13430" y="0"/>
                                </a:lnTo>
                                <a:lnTo>
                                  <a:pt x="13430" y="11685"/>
                                </a:lnTo>
                                <a:cubicBezTo>
                                  <a:pt x="13430" y="15939"/>
                                  <a:pt x="13214" y="17564"/>
                                  <a:pt x="12402" y="19914"/>
                                </a:cubicBezTo>
                                <a:cubicBezTo>
                                  <a:pt x="11589" y="22327"/>
                                  <a:pt x="10230" y="24473"/>
                                  <a:pt x="8465" y="26251"/>
                                </a:cubicBezTo>
                                <a:lnTo>
                                  <a:pt x="0" y="29159"/>
                                </a:lnTo>
                                <a:lnTo>
                                  <a:pt x="0" y="20628"/>
                                </a:lnTo>
                                <a:lnTo>
                                  <a:pt x="4794" y="16917"/>
                                </a:lnTo>
                                <a:cubicBezTo>
                                  <a:pt x="5404" y="15735"/>
                                  <a:pt x="5531" y="14554"/>
                                  <a:pt x="5531" y="11951"/>
                                </a:cubicBezTo>
                                <a:lnTo>
                                  <a:pt x="5531" y="10173"/>
                                </a:lnTo>
                                <a:lnTo>
                                  <a:pt x="0" y="10173"/>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14" name="Shape 23914"/>
                        <wps:cNvSpPr/>
                        <wps:spPr>
                          <a:xfrm>
                            <a:off x="5161450" y="174154"/>
                            <a:ext cx="13430" cy="27598"/>
                          </a:xfrm>
                          <a:custGeom>
                            <a:avLst/>
                            <a:gdLst/>
                            <a:ahLst/>
                            <a:cxnLst/>
                            <a:rect l="0" t="0" r="0" b="0"/>
                            <a:pathLst>
                              <a:path w="13430" h="27598">
                                <a:moveTo>
                                  <a:pt x="0" y="0"/>
                                </a:moveTo>
                                <a:lnTo>
                                  <a:pt x="13405" y="0"/>
                                </a:lnTo>
                                <a:lnTo>
                                  <a:pt x="13430" y="27598"/>
                                </a:lnTo>
                                <a:lnTo>
                                  <a:pt x="5340" y="27598"/>
                                </a:lnTo>
                                <a:lnTo>
                                  <a:pt x="5340" y="11075"/>
                                </a:lnTo>
                                <a:lnTo>
                                  <a:pt x="0" y="11075"/>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35" name="Shape 230935"/>
                        <wps:cNvSpPr/>
                        <wps:spPr>
                          <a:xfrm>
                            <a:off x="5161450" y="146659"/>
                            <a:ext cx="13557" cy="10605"/>
                          </a:xfrm>
                          <a:custGeom>
                            <a:avLst/>
                            <a:gdLst/>
                            <a:ahLst/>
                            <a:cxnLst/>
                            <a:rect l="0" t="0" r="0" b="0"/>
                            <a:pathLst>
                              <a:path w="13557" h="10605">
                                <a:moveTo>
                                  <a:pt x="0" y="0"/>
                                </a:moveTo>
                                <a:lnTo>
                                  <a:pt x="13557" y="0"/>
                                </a:lnTo>
                                <a:lnTo>
                                  <a:pt x="13557" y="10605"/>
                                </a:lnTo>
                                <a:lnTo>
                                  <a:pt x="0" y="10605"/>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16" name="Shape 23916"/>
                        <wps:cNvSpPr/>
                        <wps:spPr>
                          <a:xfrm>
                            <a:off x="5161450" y="115367"/>
                            <a:ext cx="13697" cy="28790"/>
                          </a:xfrm>
                          <a:custGeom>
                            <a:avLst/>
                            <a:gdLst/>
                            <a:ahLst/>
                            <a:cxnLst/>
                            <a:rect l="0" t="0" r="0" b="0"/>
                            <a:pathLst>
                              <a:path w="13697" h="28790">
                                <a:moveTo>
                                  <a:pt x="5595" y="0"/>
                                </a:moveTo>
                                <a:lnTo>
                                  <a:pt x="13697" y="0"/>
                                </a:lnTo>
                                <a:lnTo>
                                  <a:pt x="13697" y="28790"/>
                                </a:lnTo>
                                <a:lnTo>
                                  <a:pt x="5595" y="28790"/>
                                </a:lnTo>
                                <a:lnTo>
                                  <a:pt x="5595" y="19926"/>
                                </a:lnTo>
                                <a:lnTo>
                                  <a:pt x="0" y="19926"/>
                                </a:lnTo>
                                <a:lnTo>
                                  <a:pt x="0" y="9322"/>
                                </a:lnTo>
                                <a:lnTo>
                                  <a:pt x="5595" y="9322"/>
                                </a:lnTo>
                                <a:lnTo>
                                  <a:pt x="5595"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36" name="Shape 230936"/>
                        <wps:cNvSpPr/>
                        <wps:spPr>
                          <a:xfrm>
                            <a:off x="5161450" y="102717"/>
                            <a:ext cx="13430" cy="10376"/>
                          </a:xfrm>
                          <a:custGeom>
                            <a:avLst/>
                            <a:gdLst/>
                            <a:ahLst/>
                            <a:cxnLst/>
                            <a:rect l="0" t="0" r="0" b="0"/>
                            <a:pathLst>
                              <a:path w="13430" h="10376">
                                <a:moveTo>
                                  <a:pt x="0" y="0"/>
                                </a:moveTo>
                                <a:lnTo>
                                  <a:pt x="13430" y="0"/>
                                </a:lnTo>
                                <a:lnTo>
                                  <a:pt x="13430" y="10376"/>
                                </a:lnTo>
                                <a:lnTo>
                                  <a:pt x="0" y="10376"/>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37" name="Shape 230937"/>
                        <wps:cNvSpPr/>
                        <wps:spPr>
                          <a:xfrm>
                            <a:off x="5161450" y="81254"/>
                            <a:ext cx="13430" cy="10402"/>
                          </a:xfrm>
                          <a:custGeom>
                            <a:avLst/>
                            <a:gdLst/>
                            <a:ahLst/>
                            <a:cxnLst/>
                            <a:rect l="0" t="0" r="0" b="0"/>
                            <a:pathLst>
                              <a:path w="13430" h="10402">
                                <a:moveTo>
                                  <a:pt x="0" y="0"/>
                                </a:moveTo>
                                <a:lnTo>
                                  <a:pt x="13430" y="0"/>
                                </a:lnTo>
                                <a:lnTo>
                                  <a:pt x="13430" y="10402"/>
                                </a:lnTo>
                                <a:lnTo>
                                  <a:pt x="0" y="10402"/>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19" name="Shape 23919"/>
                        <wps:cNvSpPr/>
                        <wps:spPr>
                          <a:xfrm>
                            <a:off x="5161450" y="45608"/>
                            <a:ext cx="14015" cy="30296"/>
                          </a:xfrm>
                          <a:custGeom>
                            <a:avLst/>
                            <a:gdLst/>
                            <a:ahLst/>
                            <a:cxnLst/>
                            <a:rect l="0" t="0" r="0" b="0"/>
                            <a:pathLst>
                              <a:path w="14015" h="30296">
                                <a:moveTo>
                                  <a:pt x="0" y="0"/>
                                </a:moveTo>
                                <a:lnTo>
                                  <a:pt x="7501" y="2116"/>
                                </a:lnTo>
                                <a:cubicBezTo>
                                  <a:pt x="11659" y="5239"/>
                                  <a:pt x="14015" y="9719"/>
                                  <a:pt x="14015" y="15148"/>
                                </a:cubicBezTo>
                                <a:cubicBezTo>
                                  <a:pt x="14015" y="20577"/>
                                  <a:pt x="11659" y="25057"/>
                                  <a:pt x="7501" y="28180"/>
                                </a:cubicBezTo>
                                <a:lnTo>
                                  <a:pt x="0" y="30296"/>
                                </a:lnTo>
                                <a:lnTo>
                                  <a:pt x="0" y="21016"/>
                                </a:lnTo>
                                <a:lnTo>
                                  <a:pt x="1415" y="20792"/>
                                </a:lnTo>
                                <a:cubicBezTo>
                                  <a:pt x="3769" y="19593"/>
                                  <a:pt x="4858" y="17745"/>
                                  <a:pt x="4858" y="15148"/>
                                </a:cubicBezTo>
                                <a:cubicBezTo>
                                  <a:pt x="4858" y="12583"/>
                                  <a:pt x="3769" y="10735"/>
                                  <a:pt x="1415" y="9528"/>
                                </a:cubicBezTo>
                                <a:lnTo>
                                  <a:pt x="0" y="9301"/>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20" name="Shape 23920"/>
                        <wps:cNvSpPr/>
                        <wps:spPr>
                          <a:xfrm>
                            <a:off x="5161450" y="11023"/>
                            <a:ext cx="13430" cy="30111"/>
                          </a:xfrm>
                          <a:custGeom>
                            <a:avLst/>
                            <a:gdLst/>
                            <a:ahLst/>
                            <a:cxnLst/>
                            <a:rect l="0" t="0" r="0" b="0"/>
                            <a:pathLst>
                              <a:path w="13430" h="30111">
                                <a:moveTo>
                                  <a:pt x="0" y="0"/>
                                </a:moveTo>
                                <a:lnTo>
                                  <a:pt x="13430" y="0"/>
                                </a:lnTo>
                                <a:lnTo>
                                  <a:pt x="13430" y="12509"/>
                                </a:lnTo>
                                <a:cubicBezTo>
                                  <a:pt x="13430" y="19520"/>
                                  <a:pt x="12884" y="22098"/>
                                  <a:pt x="10776" y="25019"/>
                                </a:cubicBezTo>
                                <a:cubicBezTo>
                                  <a:pt x="8388" y="28283"/>
                                  <a:pt x="4642" y="30111"/>
                                  <a:pt x="172" y="30111"/>
                                </a:cubicBezTo>
                                <a:lnTo>
                                  <a:pt x="0" y="29986"/>
                                </a:lnTo>
                                <a:lnTo>
                                  <a:pt x="0" y="19531"/>
                                </a:lnTo>
                                <a:lnTo>
                                  <a:pt x="108" y="19571"/>
                                </a:lnTo>
                                <a:cubicBezTo>
                                  <a:pt x="4185" y="19571"/>
                                  <a:pt x="5340" y="17945"/>
                                  <a:pt x="5340" y="12167"/>
                                </a:cubicBezTo>
                                <a:lnTo>
                                  <a:pt x="5340" y="10605"/>
                                </a:lnTo>
                                <a:lnTo>
                                  <a:pt x="0" y="10605"/>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21" name="Shape 23921"/>
                        <wps:cNvSpPr/>
                        <wps:spPr>
                          <a:xfrm>
                            <a:off x="5194617" y="0"/>
                            <a:ext cx="138036" cy="303949"/>
                          </a:xfrm>
                          <a:custGeom>
                            <a:avLst/>
                            <a:gdLst/>
                            <a:ahLst/>
                            <a:cxnLst/>
                            <a:rect l="0" t="0" r="0" b="0"/>
                            <a:pathLst>
                              <a:path w="138036" h="303949">
                                <a:moveTo>
                                  <a:pt x="44843" y="0"/>
                                </a:moveTo>
                                <a:lnTo>
                                  <a:pt x="44881" y="0"/>
                                </a:lnTo>
                                <a:lnTo>
                                  <a:pt x="66756" y="3072"/>
                                </a:lnTo>
                                <a:cubicBezTo>
                                  <a:pt x="73698" y="5097"/>
                                  <a:pt x="80150" y="8194"/>
                                  <a:pt x="85699" y="12585"/>
                                </a:cubicBezTo>
                                <a:cubicBezTo>
                                  <a:pt x="93751" y="17589"/>
                                  <a:pt x="97117" y="25946"/>
                                  <a:pt x="102095" y="32906"/>
                                </a:cubicBezTo>
                                <a:cubicBezTo>
                                  <a:pt x="110934" y="50470"/>
                                  <a:pt x="96647" y="76746"/>
                                  <a:pt x="114605" y="91478"/>
                                </a:cubicBezTo>
                                <a:cubicBezTo>
                                  <a:pt x="115710" y="93383"/>
                                  <a:pt x="115837" y="96647"/>
                                  <a:pt x="114605" y="98513"/>
                                </a:cubicBezTo>
                                <a:cubicBezTo>
                                  <a:pt x="112166" y="101955"/>
                                  <a:pt x="108648" y="102653"/>
                                  <a:pt x="105994" y="105549"/>
                                </a:cubicBezTo>
                                <a:cubicBezTo>
                                  <a:pt x="106553" y="109600"/>
                                  <a:pt x="108648" y="116077"/>
                                  <a:pt x="103657" y="118821"/>
                                </a:cubicBezTo>
                                <a:cubicBezTo>
                                  <a:pt x="106934" y="120776"/>
                                  <a:pt x="107188" y="124053"/>
                                  <a:pt x="105220" y="126631"/>
                                </a:cubicBezTo>
                                <a:cubicBezTo>
                                  <a:pt x="103365" y="127178"/>
                                  <a:pt x="101092" y="128435"/>
                                  <a:pt x="100546" y="130543"/>
                                </a:cubicBezTo>
                                <a:cubicBezTo>
                                  <a:pt x="101892" y="135306"/>
                                  <a:pt x="102882" y="141160"/>
                                  <a:pt x="101308" y="146164"/>
                                </a:cubicBezTo>
                                <a:cubicBezTo>
                                  <a:pt x="95301" y="154991"/>
                                  <a:pt x="84125" y="154749"/>
                                  <a:pt x="74765" y="157099"/>
                                </a:cubicBezTo>
                                <a:cubicBezTo>
                                  <a:pt x="63360" y="159994"/>
                                  <a:pt x="46329" y="156083"/>
                                  <a:pt x="42723" y="171158"/>
                                </a:cubicBezTo>
                                <a:cubicBezTo>
                                  <a:pt x="41021" y="191694"/>
                                  <a:pt x="61963" y="200913"/>
                                  <a:pt x="75540" y="210997"/>
                                </a:cubicBezTo>
                                <a:cubicBezTo>
                                  <a:pt x="107112" y="234810"/>
                                  <a:pt x="134137" y="265976"/>
                                  <a:pt x="138036" y="303949"/>
                                </a:cubicBezTo>
                                <a:lnTo>
                                  <a:pt x="63030" y="303949"/>
                                </a:lnTo>
                                <a:cubicBezTo>
                                  <a:pt x="66243" y="258952"/>
                                  <a:pt x="38125" y="226923"/>
                                  <a:pt x="5232" y="196926"/>
                                </a:cubicBezTo>
                                <a:cubicBezTo>
                                  <a:pt x="0" y="190830"/>
                                  <a:pt x="1892" y="179819"/>
                                  <a:pt x="3670" y="172720"/>
                                </a:cubicBezTo>
                                <a:cubicBezTo>
                                  <a:pt x="14922" y="149516"/>
                                  <a:pt x="41720" y="150685"/>
                                  <a:pt x="61481" y="141477"/>
                                </a:cubicBezTo>
                                <a:cubicBezTo>
                                  <a:pt x="67501" y="136550"/>
                                  <a:pt x="70155" y="129362"/>
                                  <a:pt x="67716" y="121945"/>
                                </a:cubicBezTo>
                                <a:cubicBezTo>
                                  <a:pt x="65227" y="119443"/>
                                  <a:pt x="65938" y="114681"/>
                                  <a:pt x="66954" y="111785"/>
                                </a:cubicBezTo>
                                <a:cubicBezTo>
                                  <a:pt x="69837" y="108038"/>
                                  <a:pt x="59372" y="105003"/>
                                  <a:pt x="66167" y="101638"/>
                                </a:cubicBezTo>
                                <a:cubicBezTo>
                                  <a:pt x="66015" y="96951"/>
                                  <a:pt x="60084" y="93828"/>
                                  <a:pt x="62256" y="89141"/>
                                </a:cubicBezTo>
                                <a:cubicBezTo>
                                  <a:pt x="65227" y="87973"/>
                                  <a:pt x="66726" y="84772"/>
                                  <a:pt x="67716" y="82118"/>
                                </a:cubicBezTo>
                                <a:cubicBezTo>
                                  <a:pt x="58115" y="68440"/>
                                  <a:pt x="40627" y="62192"/>
                                  <a:pt x="44285" y="43052"/>
                                </a:cubicBezTo>
                                <a:cubicBezTo>
                                  <a:pt x="39611" y="25171"/>
                                  <a:pt x="21806" y="10719"/>
                                  <a:pt x="3670" y="8686"/>
                                </a:cubicBezTo>
                                <a:lnTo>
                                  <a:pt x="2108" y="8686"/>
                                </a:lnTo>
                                <a:lnTo>
                                  <a:pt x="2108" y="7899"/>
                                </a:lnTo>
                                <a:cubicBezTo>
                                  <a:pt x="8299" y="5460"/>
                                  <a:pt x="15232" y="3436"/>
                                  <a:pt x="22495" y="2046"/>
                                </a:cubicBezTo>
                                <a:lnTo>
                                  <a:pt x="44843"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922" name="Rectangle 23922"/>
                        <wps:cNvSpPr/>
                        <wps:spPr>
                          <a:xfrm>
                            <a:off x="0" y="236683"/>
                            <a:ext cx="2373872" cy="115406"/>
                          </a:xfrm>
                          <a:prstGeom prst="rect">
                            <a:avLst/>
                          </a:prstGeom>
                          <a:ln>
                            <a:noFill/>
                          </a:ln>
                        </wps:spPr>
                        <wps:txbx>
                          <w:txbxContent>
                            <w:p w:rsidR="00EE13F6" w:rsidRDefault="002E5BC4">
                              <w:r>
                                <w:rPr>
                                  <w:w w:val="93"/>
                                  <w:sz w:val="15"/>
                                </w:rPr>
                                <w:t>https://doi.org/10.1080/00036846.2017.1363864</w:t>
                              </w:r>
                            </w:p>
                          </w:txbxContent>
                        </wps:txbx>
                        <wps:bodyPr horzOverflow="overflow" vert="horz" lIns="0" tIns="0" rIns="0" bIns="0" rtlCol="0">
                          <a:noAutofit/>
                        </wps:bodyPr>
                      </wps:wsp>
                      <pic:pic xmlns:pic="http://schemas.openxmlformats.org/drawingml/2006/picture">
                        <pic:nvPicPr>
                          <pic:cNvPr id="222042" name="Picture 222042"/>
                          <pic:cNvPicPr/>
                        </pic:nvPicPr>
                        <pic:blipFill>
                          <a:blip r:embed="rId294"/>
                          <a:stretch>
                            <a:fillRect/>
                          </a:stretch>
                        </pic:blipFill>
                        <pic:spPr>
                          <a:xfrm>
                            <a:off x="5443968" y="458381"/>
                            <a:ext cx="771144" cy="152400"/>
                          </a:xfrm>
                          <a:prstGeom prst="rect">
                            <a:avLst/>
                          </a:prstGeom>
                        </pic:spPr>
                      </pic:pic>
                      <wps:wsp>
                        <wps:cNvPr id="23925" name="Shape 23925"/>
                        <wps:cNvSpPr/>
                        <wps:spPr>
                          <a:xfrm>
                            <a:off x="5444641" y="460794"/>
                            <a:ext cx="385763" cy="151917"/>
                          </a:xfrm>
                          <a:custGeom>
                            <a:avLst/>
                            <a:gdLst/>
                            <a:ahLst/>
                            <a:cxnLst/>
                            <a:rect l="0" t="0" r="0" b="0"/>
                            <a:pathLst>
                              <a:path w="385763" h="151917">
                                <a:moveTo>
                                  <a:pt x="7315" y="0"/>
                                </a:moveTo>
                                <a:lnTo>
                                  <a:pt x="385763" y="0"/>
                                </a:lnTo>
                                <a:lnTo>
                                  <a:pt x="385763" y="3975"/>
                                </a:lnTo>
                                <a:lnTo>
                                  <a:pt x="7315" y="3975"/>
                                </a:lnTo>
                                <a:cubicBezTo>
                                  <a:pt x="5474" y="3975"/>
                                  <a:pt x="3975" y="5461"/>
                                  <a:pt x="3975" y="7303"/>
                                </a:cubicBezTo>
                                <a:lnTo>
                                  <a:pt x="3975" y="145885"/>
                                </a:lnTo>
                                <a:cubicBezTo>
                                  <a:pt x="3975" y="147727"/>
                                  <a:pt x="5474" y="149251"/>
                                  <a:pt x="7315" y="149251"/>
                                </a:cubicBezTo>
                                <a:lnTo>
                                  <a:pt x="385763" y="149251"/>
                                </a:lnTo>
                                <a:lnTo>
                                  <a:pt x="385763" y="151917"/>
                                </a:lnTo>
                                <a:lnTo>
                                  <a:pt x="4176" y="151917"/>
                                </a:lnTo>
                                <a:lnTo>
                                  <a:pt x="2143" y="151070"/>
                                </a:lnTo>
                                <a:cubicBezTo>
                                  <a:pt x="819" y="149739"/>
                                  <a:pt x="0" y="147904"/>
                                  <a:pt x="0" y="145885"/>
                                </a:cubicBezTo>
                                <a:lnTo>
                                  <a:pt x="0" y="7303"/>
                                </a:lnTo>
                                <a:cubicBezTo>
                                  <a:pt x="0" y="3264"/>
                                  <a:pt x="3277" y="0"/>
                                  <a:pt x="7315" y="0"/>
                                </a:cubicBezTo>
                                <a:close/>
                              </a:path>
                            </a:pathLst>
                          </a:custGeom>
                          <a:ln w="0" cap="flat">
                            <a:miter lim="127000"/>
                          </a:ln>
                        </wps:spPr>
                        <wps:style>
                          <a:lnRef idx="0">
                            <a:srgbClr val="000000">
                              <a:alpha val="0"/>
                            </a:srgbClr>
                          </a:lnRef>
                          <a:fillRef idx="1">
                            <a:srgbClr val="6C6D71"/>
                          </a:fillRef>
                          <a:effectRef idx="0">
                            <a:scrgbClr r="0" g="0" b="0"/>
                          </a:effectRef>
                          <a:fontRef idx="none"/>
                        </wps:style>
                        <wps:bodyPr/>
                      </wps:wsp>
                      <wps:wsp>
                        <wps:cNvPr id="23926" name="Shape 23926"/>
                        <wps:cNvSpPr/>
                        <wps:spPr>
                          <a:xfrm>
                            <a:off x="5830404" y="460794"/>
                            <a:ext cx="385356" cy="151917"/>
                          </a:xfrm>
                          <a:custGeom>
                            <a:avLst/>
                            <a:gdLst/>
                            <a:ahLst/>
                            <a:cxnLst/>
                            <a:rect l="0" t="0" r="0" b="0"/>
                            <a:pathLst>
                              <a:path w="385356" h="151917">
                                <a:moveTo>
                                  <a:pt x="0" y="0"/>
                                </a:moveTo>
                                <a:lnTo>
                                  <a:pt x="378447" y="0"/>
                                </a:lnTo>
                                <a:cubicBezTo>
                                  <a:pt x="380461" y="0"/>
                                  <a:pt x="382283" y="816"/>
                                  <a:pt x="383602" y="2137"/>
                                </a:cubicBezTo>
                                <a:lnTo>
                                  <a:pt x="385356" y="6382"/>
                                </a:lnTo>
                                <a:lnTo>
                                  <a:pt x="385356" y="146809"/>
                                </a:lnTo>
                                <a:lnTo>
                                  <a:pt x="383602" y="151070"/>
                                </a:lnTo>
                                <a:lnTo>
                                  <a:pt x="381576" y="151917"/>
                                </a:lnTo>
                                <a:lnTo>
                                  <a:pt x="0" y="151917"/>
                                </a:lnTo>
                                <a:lnTo>
                                  <a:pt x="0" y="149251"/>
                                </a:lnTo>
                                <a:lnTo>
                                  <a:pt x="378447" y="149251"/>
                                </a:lnTo>
                                <a:cubicBezTo>
                                  <a:pt x="380276" y="149251"/>
                                  <a:pt x="381788" y="147727"/>
                                  <a:pt x="381788" y="145885"/>
                                </a:cubicBezTo>
                                <a:lnTo>
                                  <a:pt x="381788" y="7303"/>
                                </a:lnTo>
                                <a:cubicBezTo>
                                  <a:pt x="381788" y="5461"/>
                                  <a:pt x="380276" y="3975"/>
                                  <a:pt x="378447" y="3975"/>
                                </a:cubicBezTo>
                                <a:lnTo>
                                  <a:pt x="0" y="3975"/>
                                </a:lnTo>
                                <a:lnTo>
                                  <a:pt x="0" y="0"/>
                                </a:lnTo>
                                <a:close/>
                              </a:path>
                            </a:pathLst>
                          </a:custGeom>
                          <a:ln w="0" cap="flat">
                            <a:miter lim="127000"/>
                          </a:ln>
                        </wps:spPr>
                        <wps:style>
                          <a:lnRef idx="0">
                            <a:srgbClr val="000000">
                              <a:alpha val="0"/>
                            </a:srgbClr>
                          </a:lnRef>
                          <a:fillRef idx="1">
                            <a:srgbClr val="6C6D71"/>
                          </a:fillRef>
                          <a:effectRef idx="0">
                            <a:scrgbClr r="0" g="0" b="0"/>
                          </a:effectRef>
                          <a:fontRef idx="none"/>
                        </wps:style>
                        <wps:bodyPr/>
                      </wps:wsp>
                      <wps:wsp>
                        <wps:cNvPr id="23927" name="Shape 23927"/>
                        <wps:cNvSpPr/>
                        <wps:spPr>
                          <a:xfrm>
                            <a:off x="5502439" y="492518"/>
                            <a:ext cx="48298" cy="70841"/>
                          </a:xfrm>
                          <a:custGeom>
                            <a:avLst/>
                            <a:gdLst/>
                            <a:ahLst/>
                            <a:cxnLst/>
                            <a:rect l="0" t="0" r="0" b="0"/>
                            <a:pathLst>
                              <a:path w="48298" h="70841">
                                <a:moveTo>
                                  <a:pt x="0" y="0"/>
                                </a:moveTo>
                                <a:lnTo>
                                  <a:pt x="48298" y="0"/>
                                </a:lnTo>
                                <a:lnTo>
                                  <a:pt x="48298" y="38659"/>
                                </a:lnTo>
                                <a:lnTo>
                                  <a:pt x="0" y="70841"/>
                                </a:lnTo>
                                <a:lnTo>
                                  <a:pt x="0" y="0"/>
                                </a:lnTo>
                                <a:close/>
                              </a:path>
                            </a:pathLst>
                          </a:custGeom>
                          <a:ln w="0" cap="flat">
                            <a:miter lim="127000"/>
                          </a:ln>
                        </wps:spPr>
                        <wps:style>
                          <a:lnRef idx="0">
                            <a:srgbClr val="000000">
                              <a:alpha val="0"/>
                            </a:srgbClr>
                          </a:lnRef>
                          <a:fillRef idx="1">
                            <a:srgbClr val="D32F28"/>
                          </a:fillRef>
                          <a:effectRef idx="0">
                            <a:scrgbClr r="0" g="0" b="0"/>
                          </a:effectRef>
                          <a:fontRef idx="none"/>
                        </wps:style>
                        <wps:bodyPr/>
                      </wps:wsp>
                      <wps:wsp>
                        <wps:cNvPr id="23928" name="Shape 23928"/>
                        <wps:cNvSpPr/>
                        <wps:spPr>
                          <a:xfrm>
                            <a:off x="5502439" y="492518"/>
                            <a:ext cx="48298" cy="70841"/>
                          </a:xfrm>
                          <a:custGeom>
                            <a:avLst/>
                            <a:gdLst/>
                            <a:ahLst/>
                            <a:cxnLst/>
                            <a:rect l="0" t="0" r="0" b="0"/>
                            <a:pathLst>
                              <a:path w="48298" h="70841">
                                <a:moveTo>
                                  <a:pt x="0" y="0"/>
                                </a:moveTo>
                                <a:lnTo>
                                  <a:pt x="48298" y="0"/>
                                </a:lnTo>
                                <a:lnTo>
                                  <a:pt x="48298" y="70841"/>
                                </a:lnTo>
                                <a:lnTo>
                                  <a:pt x="0" y="38659"/>
                                </a:lnTo>
                                <a:lnTo>
                                  <a:pt x="0" y="0"/>
                                </a:lnTo>
                                <a:close/>
                              </a:path>
                            </a:pathLst>
                          </a:custGeom>
                          <a:ln w="0" cap="flat">
                            <a:miter lim="127000"/>
                          </a:ln>
                        </wps:spPr>
                        <wps:style>
                          <a:lnRef idx="0">
                            <a:srgbClr val="000000">
                              <a:alpha val="0"/>
                            </a:srgbClr>
                          </a:lnRef>
                          <a:fillRef idx="1">
                            <a:srgbClr val="EF3241"/>
                          </a:fillRef>
                          <a:effectRef idx="0">
                            <a:scrgbClr r="0" g="0" b="0"/>
                          </a:effectRef>
                          <a:fontRef idx="none"/>
                        </wps:style>
                        <wps:bodyPr/>
                      </wps:wsp>
                      <wps:wsp>
                        <wps:cNvPr id="23929" name="Shape 23929"/>
                        <wps:cNvSpPr/>
                        <wps:spPr>
                          <a:xfrm>
                            <a:off x="5473280" y="484112"/>
                            <a:ext cx="53295" cy="106601"/>
                          </a:xfrm>
                          <a:custGeom>
                            <a:avLst/>
                            <a:gdLst/>
                            <a:ahLst/>
                            <a:cxnLst/>
                            <a:rect l="0" t="0" r="0" b="0"/>
                            <a:pathLst>
                              <a:path w="53295" h="106601">
                                <a:moveTo>
                                  <a:pt x="53295" y="0"/>
                                </a:moveTo>
                                <a:lnTo>
                                  <a:pt x="53295" y="13056"/>
                                </a:lnTo>
                                <a:lnTo>
                                  <a:pt x="37637" y="16217"/>
                                </a:lnTo>
                                <a:cubicBezTo>
                                  <a:pt x="23192" y="22328"/>
                                  <a:pt x="13055" y="36632"/>
                                  <a:pt x="13055" y="53301"/>
                                </a:cubicBezTo>
                                <a:cubicBezTo>
                                  <a:pt x="13055" y="69969"/>
                                  <a:pt x="23192" y="84266"/>
                                  <a:pt x="37637" y="90373"/>
                                </a:cubicBezTo>
                                <a:lnTo>
                                  <a:pt x="53295" y="93533"/>
                                </a:lnTo>
                                <a:lnTo>
                                  <a:pt x="53295" y="106601"/>
                                </a:lnTo>
                                <a:lnTo>
                                  <a:pt x="32554" y="102414"/>
                                </a:lnTo>
                                <a:cubicBezTo>
                                  <a:pt x="13423" y="94322"/>
                                  <a:pt x="0" y="75380"/>
                                  <a:pt x="0" y="53301"/>
                                </a:cubicBezTo>
                                <a:cubicBezTo>
                                  <a:pt x="0" y="31222"/>
                                  <a:pt x="13423" y="12279"/>
                                  <a:pt x="32554" y="4187"/>
                                </a:cubicBezTo>
                                <a:lnTo>
                                  <a:pt x="53295" y="0"/>
                                </a:lnTo>
                                <a:close/>
                              </a:path>
                            </a:pathLst>
                          </a:custGeom>
                          <a:ln w="0" cap="flat">
                            <a:miter lim="127000"/>
                          </a:ln>
                        </wps:spPr>
                        <wps:style>
                          <a:lnRef idx="0">
                            <a:srgbClr val="000000">
                              <a:alpha val="0"/>
                            </a:srgbClr>
                          </a:lnRef>
                          <a:fillRef idx="1">
                            <a:srgbClr val="3EB0C8"/>
                          </a:fillRef>
                          <a:effectRef idx="0">
                            <a:scrgbClr r="0" g="0" b="0"/>
                          </a:effectRef>
                          <a:fontRef idx="none"/>
                        </wps:style>
                        <wps:bodyPr/>
                      </wps:wsp>
                      <wps:wsp>
                        <wps:cNvPr id="23930" name="Shape 23930"/>
                        <wps:cNvSpPr/>
                        <wps:spPr>
                          <a:xfrm>
                            <a:off x="5526575" y="484111"/>
                            <a:ext cx="53296" cy="106604"/>
                          </a:xfrm>
                          <a:custGeom>
                            <a:avLst/>
                            <a:gdLst/>
                            <a:ahLst/>
                            <a:cxnLst/>
                            <a:rect l="0" t="0" r="0" b="0"/>
                            <a:pathLst>
                              <a:path w="53296" h="106604">
                                <a:moveTo>
                                  <a:pt x="7" y="0"/>
                                </a:moveTo>
                                <a:cubicBezTo>
                                  <a:pt x="29445" y="0"/>
                                  <a:pt x="53296" y="23863"/>
                                  <a:pt x="53296" y="53302"/>
                                </a:cubicBezTo>
                                <a:cubicBezTo>
                                  <a:pt x="53296" y="82740"/>
                                  <a:pt x="29445" y="106604"/>
                                  <a:pt x="7" y="106604"/>
                                </a:cubicBezTo>
                                <a:lnTo>
                                  <a:pt x="0" y="106602"/>
                                </a:lnTo>
                                <a:lnTo>
                                  <a:pt x="0" y="93534"/>
                                </a:lnTo>
                                <a:lnTo>
                                  <a:pt x="7" y="93535"/>
                                </a:lnTo>
                                <a:cubicBezTo>
                                  <a:pt x="22232" y="93535"/>
                                  <a:pt x="40240" y="75527"/>
                                  <a:pt x="40240" y="53302"/>
                                </a:cubicBezTo>
                                <a:cubicBezTo>
                                  <a:pt x="40240" y="31077"/>
                                  <a:pt x="22232" y="13056"/>
                                  <a:pt x="7" y="13056"/>
                                </a:cubicBezTo>
                                <a:lnTo>
                                  <a:pt x="0" y="13057"/>
                                </a:lnTo>
                                <a:lnTo>
                                  <a:pt x="0" y="1"/>
                                </a:lnTo>
                                <a:lnTo>
                                  <a:pt x="7" y="0"/>
                                </a:lnTo>
                                <a:close/>
                              </a:path>
                            </a:pathLst>
                          </a:custGeom>
                          <a:ln w="0" cap="flat">
                            <a:miter lim="127000"/>
                          </a:ln>
                        </wps:spPr>
                        <wps:style>
                          <a:lnRef idx="0">
                            <a:srgbClr val="000000">
                              <a:alpha val="0"/>
                            </a:srgbClr>
                          </a:lnRef>
                          <a:fillRef idx="1">
                            <a:srgbClr val="3EB0C8"/>
                          </a:fillRef>
                          <a:effectRef idx="0">
                            <a:scrgbClr r="0" g="0" b="0"/>
                          </a:effectRef>
                          <a:fontRef idx="none"/>
                        </wps:style>
                        <wps:bodyPr/>
                      </wps:wsp>
                      <wps:wsp>
                        <wps:cNvPr id="23931" name="Shape 23931"/>
                        <wps:cNvSpPr/>
                        <wps:spPr>
                          <a:xfrm>
                            <a:off x="5466015" y="515404"/>
                            <a:ext cx="101321" cy="80200"/>
                          </a:xfrm>
                          <a:custGeom>
                            <a:avLst/>
                            <a:gdLst/>
                            <a:ahLst/>
                            <a:cxnLst/>
                            <a:rect l="0" t="0" r="0" b="0"/>
                            <a:pathLst>
                              <a:path w="101321" h="80200">
                                <a:moveTo>
                                  <a:pt x="12065" y="0"/>
                                </a:moveTo>
                                <a:lnTo>
                                  <a:pt x="23254" y="7023"/>
                                </a:lnTo>
                                <a:cubicBezTo>
                                  <a:pt x="17069" y="22504"/>
                                  <a:pt x="21057" y="40183"/>
                                  <a:pt x="33300" y="51499"/>
                                </a:cubicBezTo>
                                <a:cubicBezTo>
                                  <a:pt x="49606" y="66573"/>
                                  <a:pt x="75044" y="65583"/>
                                  <a:pt x="90119" y="49276"/>
                                </a:cubicBezTo>
                                <a:lnTo>
                                  <a:pt x="101321" y="56324"/>
                                </a:lnTo>
                                <a:cubicBezTo>
                                  <a:pt x="85954" y="74435"/>
                                  <a:pt x="60490" y="80200"/>
                                  <a:pt x="38837" y="70460"/>
                                </a:cubicBezTo>
                                <a:cubicBezTo>
                                  <a:pt x="11989" y="58395"/>
                                  <a:pt x="0" y="26848"/>
                                  <a:pt x="12065" y="0"/>
                                </a:cubicBezTo>
                                <a:close/>
                              </a:path>
                            </a:pathLst>
                          </a:custGeom>
                          <a:ln w="0" cap="flat">
                            <a:miter lim="127000"/>
                          </a:ln>
                        </wps:spPr>
                        <wps:style>
                          <a:lnRef idx="0">
                            <a:srgbClr val="000000">
                              <a:alpha val="0"/>
                            </a:srgbClr>
                          </a:lnRef>
                          <a:fillRef idx="1">
                            <a:srgbClr val="FFC828"/>
                          </a:fillRef>
                          <a:effectRef idx="0">
                            <a:scrgbClr r="0" g="0" b="0"/>
                          </a:effectRef>
                          <a:fontRef idx="none"/>
                        </wps:style>
                        <wps:bodyPr/>
                      </wps:wsp>
                      <wps:wsp>
                        <wps:cNvPr id="23932" name="Shape 23932"/>
                        <wps:cNvSpPr/>
                        <wps:spPr>
                          <a:xfrm>
                            <a:off x="5622682" y="510895"/>
                            <a:ext cx="43752" cy="50635"/>
                          </a:xfrm>
                          <a:custGeom>
                            <a:avLst/>
                            <a:gdLst/>
                            <a:ahLst/>
                            <a:cxnLst/>
                            <a:rect l="0" t="0" r="0" b="0"/>
                            <a:pathLst>
                              <a:path w="43752" h="50635">
                                <a:moveTo>
                                  <a:pt x="23152" y="0"/>
                                </a:moveTo>
                                <a:cubicBezTo>
                                  <a:pt x="34061" y="51"/>
                                  <a:pt x="42659" y="6096"/>
                                  <a:pt x="43675" y="16510"/>
                                </a:cubicBezTo>
                                <a:lnTo>
                                  <a:pt x="35204" y="16510"/>
                                </a:lnTo>
                                <a:cubicBezTo>
                                  <a:pt x="33795" y="10960"/>
                                  <a:pt x="30188" y="6896"/>
                                  <a:pt x="23152" y="6896"/>
                                </a:cubicBezTo>
                                <a:cubicBezTo>
                                  <a:pt x="12789" y="6896"/>
                                  <a:pt x="8458" y="16040"/>
                                  <a:pt x="8458" y="25311"/>
                                </a:cubicBezTo>
                                <a:cubicBezTo>
                                  <a:pt x="8458" y="34595"/>
                                  <a:pt x="12789" y="43764"/>
                                  <a:pt x="23152" y="43764"/>
                                </a:cubicBezTo>
                                <a:cubicBezTo>
                                  <a:pt x="30671" y="43764"/>
                                  <a:pt x="34798" y="38113"/>
                                  <a:pt x="35471" y="31090"/>
                                </a:cubicBezTo>
                                <a:lnTo>
                                  <a:pt x="43752" y="31090"/>
                                </a:lnTo>
                                <a:cubicBezTo>
                                  <a:pt x="43053" y="42659"/>
                                  <a:pt x="34861" y="50635"/>
                                  <a:pt x="23152" y="50635"/>
                                </a:cubicBezTo>
                                <a:cubicBezTo>
                                  <a:pt x="8649" y="50635"/>
                                  <a:pt x="0" y="39141"/>
                                  <a:pt x="0" y="25311"/>
                                </a:cubicBezTo>
                                <a:cubicBezTo>
                                  <a:pt x="0" y="11506"/>
                                  <a:pt x="8649" y="0"/>
                                  <a:pt x="23152" y="0"/>
                                </a:cubicBez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33" name="Shape 23933"/>
                        <wps:cNvSpPr/>
                        <wps:spPr>
                          <a:xfrm>
                            <a:off x="5671984" y="512038"/>
                            <a:ext cx="30747" cy="48362"/>
                          </a:xfrm>
                          <a:custGeom>
                            <a:avLst/>
                            <a:gdLst/>
                            <a:ahLst/>
                            <a:cxnLst/>
                            <a:rect l="0" t="0" r="0" b="0"/>
                            <a:pathLst>
                              <a:path w="30747" h="48362">
                                <a:moveTo>
                                  <a:pt x="0" y="0"/>
                                </a:moveTo>
                                <a:lnTo>
                                  <a:pt x="7722" y="0"/>
                                </a:lnTo>
                                <a:lnTo>
                                  <a:pt x="7722" y="17945"/>
                                </a:lnTo>
                                <a:lnTo>
                                  <a:pt x="7861" y="17945"/>
                                </a:lnTo>
                                <a:cubicBezTo>
                                  <a:pt x="9754" y="14757"/>
                                  <a:pt x="13741" y="12395"/>
                                  <a:pt x="18352" y="12395"/>
                                </a:cubicBezTo>
                                <a:cubicBezTo>
                                  <a:pt x="25933" y="12395"/>
                                  <a:pt x="30747" y="16459"/>
                                  <a:pt x="30747" y="24308"/>
                                </a:cubicBezTo>
                                <a:lnTo>
                                  <a:pt x="30747" y="48362"/>
                                </a:lnTo>
                                <a:lnTo>
                                  <a:pt x="23025" y="48362"/>
                                </a:lnTo>
                                <a:lnTo>
                                  <a:pt x="23025" y="26340"/>
                                </a:lnTo>
                                <a:cubicBezTo>
                                  <a:pt x="22885" y="20866"/>
                                  <a:pt x="20726" y="18491"/>
                                  <a:pt x="16192" y="18491"/>
                                </a:cubicBezTo>
                                <a:cubicBezTo>
                                  <a:pt x="11036" y="18491"/>
                                  <a:pt x="7722" y="22555"/>
                                  <a:pt x="7722" y="27699"/>
                                </a:cubicBezTo>
                                <a:lnTo>
                                  <a:pt x="7722" y="48362"/>
                                </a:lnTo>
                                <a:lnTo>
                                  <a:pt x="0" y="48362"/>
                                </a:lnTo>
                                <a:lnTo>
                                  <a:pt x="0"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34" name="Shape 23934"/>
                        <wps:cNvSpPr/>
                        <wps:spPr>
                          <a:xfrm>
                            <a:off x="5707925" y="524524"/>
                            <a:ext cx="16726" cy="36655"/>
                          </a:xfrm>
                          <a:custGeom>
                            <a:avLst/>
                            <a:gdLst/>
                            <a:ahLst/>
                            <a:cxnLst/>
                            <a:rect l="0" t="0" r="0" b="0"/>
                            <a:pathLst>
                              <a:path w="16726" h="36655">
                                <a:moveTo>
                                  <a:pt x="16726" y="0"/>
                                </a:moveTo>
                                <a:lnTo>
                                  <a:pt x="16726" y="6089"/>
                                </a:lnTo>
                                <a:lnTo>
                                  <a:pt x="10397" y="8690"/>
                                </a:lnTo>
                                <a:cubicBezTo>
                                  <a:pt x="8788" y="10358"/>
                                  <a:pt x="7823" y="12679"/>
                                  <a:pt x="7722" y="15289"/>
                                </a:cubicBezTo>
                                <a:lnTo>
                                  <a:pt x="16726" y="15289"/>
                                </a:lnTo>
                                <a:lnTo>
                                  <a:pt x="16726" y="20369"/>
                                </a:lnTo>
                                <a:lnTo>
                                  <a:pt x="7722" y="20369"/>
                                </a:lnTo>
                                <a:cubicBezTo>
                                  <a:pt x="7722" y="23112"/>
                                  <a:pt x="8468" y="25700"/>
                                  <a:pt x="10015" y="27602"/>
                                </a:cubicBezTo>
                                <a:lnTo>
                                  <a:pt x="16726" y="30547"/>
                                </a:lnTo>
                                <a:lnTo>
                                  <a:pt x="16726" y="36655"/>
                                </a:lnTo>
                                <a:lnTo>
                                  <a:pt x="4454" y="31642"/>
                                </a:lnTo>
                                <a:cubicBezTo>
                                  <a:pt x="1543" y="28383"/>
                                  <a:pt x="0" y="23779"/>
                                  <a:pt x="0" y="18401"/>
                                </a:cubicBezTo>
                                <a:cubicBezTo>
                                  <a:pt x="0" y="13422"/>
                                  <a:pt x="1625" y="8799"/>
                                  <a:pt x="4554" y="5421"/>
                                </a:cubicBezTo>
                                <a:lnTo>
                                  <a:pt x="16726"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35" name="Shape 23935"/>
                        <wps:cNvSpPr/>
                        <wps:spPr>
                          <a:xfrm>
                            <a:off x="5724650" y="549402"/>
                            <a:ext cx="16256" cy="11938"/>
                          </a:xfrm>
                          <a:custGeom>
                            <a:avLst/>
                            <a:gdLst/>
                            <a:ahLst/>
                            <a:cxnLst/>
                            <a:rect l="0" t="0" r="0" b="0"/>
                            <a:pathLst>
                              <a:path w="16256" h="11938">
                                <a:moveTo>
                                  <a:pt x="8941" y="0"/>
                                </a:moveTo>
                                <a:lnTo>
                                  <a:pt x="16256" y="0"/>
                                </a:lnTo>
                                <a:cubicBezTo>
                                  <a:pt x="14555" y="7683"/>
                                  <a:pt x="8065" y="11938"/>
                                  <a:pt x="394" y="11938"/>
                                </a:cubicBezTo>
                                <a:lnTo>
                                  <a:pt x="0" y="11777"/>
                                </a:lnTo>
                                <a:lnTo>
                                  <a:pt x="0" y="5669"/>
                                </a:lnTo>
                                <a:lnTo>
                                  <a:pt x="394" y="5842"/>
                                </a:lnTo>
                                <a:cubicBezTo>
                                  <a:pt x="4890" y="5842"/>
                                  <a:pt x="7595" y="3874"/>
                                  <a:pt x="8941" y="0"/>
                                </a:cubicBez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36" name="Shape 23936"/>
                        <wps:cNvSpPr/>
                        <wps:spPr>
                          <a:xfrm>
                            <a:off x="5724650" y="524433"/>
                            <a:ext cx="18021" cy="20460"/>
                          </a:xfrm>
                          <a:custGeom>
                            <a:avLst/>
                            <a:gdLst/>
                            <a:ahLst/>
                            <a:cxnLst/>
                            <a:rect l="0" t="0" r="0" b="0"/>
                            <a:pathLst>
                              <a:path w="18021" h="20460">
                                <a:moveTo>
                                  <a:pt x="203" y="0"/>
                                </a:moveTo>
                                <a:cubicBezTo>
                                  <a:pt x="11252" y="0"/>
                                  <a:pt x="18021" y="9944"/>
                                  <a:pt x="16726" y="20460"/>
                                </a:cubicBezTo>
                                <a:lnTo>
                                  <a:pt x="0" y="20460"/>
                                </a:lnTo>
                                <a:lnTo>
                                  <a:pt x="0" y="15380"/>
                                </a:lnTo>
                                <a:lnTo>
                                  <a:pt x="9004" y="15380"/>
                                </a:lnTo>
                                <a:cubicBezTo>
                                  <a:pt x="8725" y="10503"/>
                                  <a:pt x="5423" y="6096"/>
                                  <a:pt x="203" y="6096"/>
                                </a:cubicBezTo>
                                <a:lnTo>
                                  <a:pt x="0" y="6180"/>
                                </a:lnTo>
                                <a:lnTo>
                                  <a:pt x="0" y="91"/>
                                </a:lnTo>
                                <a:lnTo>
                                  <a:pt x="203"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37" name="Shape 23937"/>
                        <wps:cNvSpPr/>
                        <wps:spPr>
                          <a:xfrm>
                            <a:off x="5744945" y="524421"/>
                            <a:ext cx="33045" cy="36919"/>
                          </a:xfrm>
                          <a:custGeom>
                            <a:avLst/>
                            <a:gdLst/>
                            <a:ahLst/>
                            <a:cxnLst/>
                            <a:rect l="0" t="0" r="0" b="0"/>
                            <a:pathLst>
                              <a:path w="33045" h="36919">
                                <a:moveTo>
                                  <a:pt x="17272" y="0"/>
                                </a:moveTo>
                                <a:cubicBezTo>
                                  <a:pt x="25400" y="0"/>
                                  <a:pt x="32309" y="4077"/>
                                  <a:pt x="33045" y="12675"/>
                                </a:cubicBezTo>
                                <a:lnTo>
                                  <a:pt x="25336" y="12675"/>
                                </a:lnTo>
                                <a:cubicBezTo>
                                  <a:pt x="24740" y="8420"/>
                                  <a:pt x="21615" y="6096"/>
                                  <a:pt x="17335" y="6096"/>
                                </a:cubicBezTo>
                                <a:cubicBezTo>
                                  <a:pt x="13348" y="6096"/>
                                  <a:pt x="7721" y="8204"/>
                                  <a:pt x="7721" y="18834"/>
                                </a:cubicBezTo>
                                <a:cubicBezTo>
                                  <a:pt x="7721" y="24651"/>
                                  <a:pt x="10299" y="30823"/>
                                  <a:pt x="17005" y="30823"/>
                                </a:cubicBezTo>
                                <a:cubicBezTo>
                                  <a:pt x="21475" y="30823"/>
                                  <a:pt x="24587" y="27851"/>
                                  <a:pt x="25336" y="22835"/>
                                </a:cubicBezTo>
                                <a:lnTo>
                                  <a:pt x="33045" y="22835"/>
                                </a:lnTo>
                                <a:cubicBezTo>
                                  <a:pt x="31635" y="31902"/>
                                  <a:pt x="26009" y="36919"/>
                                  <a:pt x="17005" y="36919"/>
                                </a:cubicBezTo>
                                <a:cubicBezTo>
                                  <a:pt x="6020" y="36919"/>
                                  <a:pt x="0" y="29121"/>
                                  <a:pt x="0" y="18834"/>
                                </a:cubicBezTo>
                                <a:cubicBezTo>
                                  <a:pt x="0" y="8280"/>
                                  <a:pt x="5753" y="0"/>
                                  <a:pt x="17272" y="0"/>
                                </a:cubicBez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38" name="Shape 23938"/>
                        <wps:cNvSpPr/>
                        <wps:spPr>
                          <a:xfrm>
                            <a:off x="5783363" y="512038"/>
                            <a:ext cx="32448" cy="48362"/>
                          </a:xfrm>
                          <a:custGeom>
                            <a:avLst/>
                            <a:gdLst/>
                            <a:ahLst/>
                            <a:cxnLst/>
                            <a:rect l="0" t="0" r="0" b="0"/>
                            <a:pathLst>
                              <a:path w="32448" h="48362">
                                <a:moveTo>
                                  <a:pt x="0" y="0"/>
                                </a:moveTo>
                                <a:lnTo>
                                  <a:pt x="7721" y="0"/>
                                </a:lnTo>
                                <a:lnTo>
                                  <a:pt x="7721" y="27483"/>
                                </a:lnTo>
                                <a:lnTo>
                                  <a:pt x="21679" y="13348"/>
                                </a:lnTo>
                                <a:lnTo>
                                  <a:pt x="31153" y="13348"/>
                                </a:lnTo>
                                <a:lnTo>
                                  <a:pt x="17755" y="26200"/>
                                </a:lnTo>
                                <a:lnTo>
                                  <a:pt x="32448" y="48362"/>
                                </a:lnTo>
                                <a:lnTo>
                                  <a:pt x="23038" y="48362"/>
                                </a:lnTo>
                                <a:lnTo>
                                  <a:pt x="12319" y="31356"/>
                                </a:lnTo>
                                <a:lnTo>
                                  <a:pt x="7721" y="35827"/>
                                </a:lnTo>
                                <a:lnTo>
                                  <a:pt x="7721" y="48362"/>
                                </a:lnTo>
                                <a:lnTo>
                                  <a:pt x="0" y="48362"/>
                                </a:lnTo>
                                <a:lnTo>
                                  <a:pt x="0"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39" name="Shape 23939"/>
                        <wps:cNvSpPr/>
                        <wps:spPr>
                          <a:xfrm>
                            <a:off x="5834887" y="512038"/>
                            <a:ext cx="20879" cy="48362"/>
                          </a:xfrm>
                          <a:custGeom>
                            <a:avLst/>
                            <a:gdLst/>
                            <a:ahLst/>
                            <a:cxnLst/>
                            <a:rect l="0" t="0" r="0" b="0"/>
                            <a:pathLst>
                              <a:path w="20879" h="48362">
                                <a:moveTo>
                                  <a:pt x="15456" y="0"/>
                                </a:moveTo>
                                <a:cubicBezTo>
                                  <a:pt x="17894" y="0"/>
                                  <a:pt x="19647" y="127"/>
                                  <a:pt x="20879" y="470"/>
                                </a:cubicBezTo>
                                <a:lnTo>
                                  <a:pt x="20879" y="6502"/>
                                </a:lnTo>
                                <a:cubicBezTo>
                                  <a:pt x="19863" y="6223"/>
                                  <a:pt x="18834" y="6096"/>
                                  <a:pt x="17272" y="6096"/>
                                </a:cubicBezTo>
                                <a:cubicBezTo>
                                  <a:pt x="15177" y="6096"/>
                                  <a:pt x="13500" y="6833"/>
                                  <a:pt x="13500" y="9754"/>
                                </a:cubicBezTo>
                                <a:lnTo>
                                  <a:pt x="13500" y="13348"/>
                                </a:lnTo>
                                <a:lnTo>
                                  <a:pt x="20053" y="13348"/>
                                </a:lnTo>
                                <a:lnTo>
                                  <a:pt x="20053" y="19101"/>
                                </a:lnTo>
                                <a:lnTo>
                                  <a:pt x="13500" y="19101"/>
                                </a:lnTo>
                                <a:lnTo>
                                  <a:pt x="13500" y="48362"/>
                                </a:lnTo>
                                <a:lnTo>
                                  <a:pt x="5779" y="48362"/>
                                </a:lnTo>
                                <a:lnTo>
                                  <a:pt x="5779" y="19101"/>
                                </a:lnTo>
                                <a:lnTo>
                                  <a:pt x="0" y="19101"/>
                                </a:lnTo>
                                <a:lnTo>
                                  <a:pt x="0" y="13348"/>
                                </a:lnTo>
                                <a:lnTo>
                                  <a:pt x="5779" y="13348"/>
                                </a:lnTo>
                                <a:lnTo>
                                  <a:pt x="5779" y="10439"/>
                                </a:lnTo>
                                <a:cubicBezTo>
                                  <a:pt x="5779" y="1499"/>
                                  <a:pt x="10440" y="0"/>
                                  <a:pt x="15456" y="0"/>
                                </a:cubicBez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40" name="Shape 23940"/>
                        <wps:cNvSpPr/>
                        <wps:spPr>
                          <a:xfrm>
                            <a:off x="5856413" y="524433"/>
                            <a:ext cx="17653" cy="36906"/>
                          </a:xfrm>
                          <a:custGeom>
                            <a:avLst/>
                            <a:gdLst/>
                            <a:ahLst/>
                            <a:cxnLst/>
                            <a:rect l="0" t="0" r="0" b="0"/>
                            <a:pathLst>
                              <a:path w="17653" h="36906">
                                <a:moveTo>
                                  <a:pt x="17653" y="0"/>
                                </a:moveTo>
                                <a:lnTo>
                                  <a:pt x="17653" y="6096"/>
                                </a:lnTo>
                                <a:cubicBezTo>
                                  <a:pt x="10744" y="6096"/>
                                  <a:pt x="7696" y="12382"/>
                                  <a:pt x="7696" y="18415"/>
                                </a:cubicBezTo>
                                <a:cubicBezTo>
                                  <a:pt x="7696" y="24498"/>
                                  <a:pt x="10744" y="30823"/>
                                  <a:pt x="17653" y="30823"/>
                                </a:cubicBezTo>
                                <a:lnTo>
                                  <a:pt x="17653" y="36906"/>
                                </a:lnTo>
                                <a:cubicBezTo>
                                  <a:pt x="6414" y="36906"/>
                                  <a:pt x="0" y="29197"/>
                                  <a:pt x="0" y="18415"/>
                                </a:cubicBezTo>
                                <a:cubicBezTo>
                                  <a:pt x="0" y="7734"/>
                                  <a:pt x="6414" y="0"/>
                                  <a:pt x="17653" y="0"/>
                                </a:cubicBez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41" name="Shape 23941"/>
                        <wps:cNvSpPr/>
                        <wps:spPr>
                          <a:xfrm>
                            <a:off x="5874066" y="524433"/>
                            <a:ext cx="17678" cy="36906"/>
                          </a:xfrm>
                          <a:custGeom>
                            <a:avLst/>
                            <a:gdLst/>
                            <a:ahLst/>
                            <a:cxnLst/>
                            <a:rect l="0" t="0" r="0" b="0"/>
                            <a:pathLst>
                              <a:path w="17678" h="36906">
                                <a:moveTo>
                                  <a:pt x="0" y="0"/>
                                </a:moveTo>
                                <a:cubicBezTo>
                                  <a:pt x="11226" y="0"/>
                                  <a:pt x="17678" y="7734"/>
                                  <a:pt x="17678" y="18415"/>
                                </a:cubicBezTo>
                                <a:cubicBezTo>
                                  <a:pt x="17678" y="29197"/>
                                  <a:pt x="11226" y="36906"/>
                                  <a:pt x="0" y="36906"/>
                                </a:cubicBezTo>
                                <a:lnTo>
                                  <a:pt x="0" y="30823"/>
                                </a:lnTo>
                                <a:cubicBezTo>
                                  <a:pt x="6921" y="30823"/>
                                  <a:pt x="9957" y="24498"/>
                                  <a:pt x="9957" y="18415"/>
                                </a:cubicBezTo>
                                <a:cubicBezTo>
                                  <a:pt x="9957" y="12382"/>
                                  <a:pt x="6921" y="6096"/>
                                  <a:pt x="0" y="6096"/>
                                </a:cubicBezTo>
                                <a:lnTo>
                                  <a:pt x="0"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42" name="Shape 23942"/>
                        <wps:cNvSpPr/>
                        <wps:spPr>
                          <a:xfrm>
                            <a:off x="5897066" y="524433"/>
                            <a:ext cx="20510" cy="35966"/>
                          </a:xfrm>
                          <a:custGeom>
                            <a:avLst/>
                            <a:gdLst/>
                            <a:ahLst/>
                            <a:cxnLst/>
                            <a:rect l="0" t="0" r="0" b="0"/>
                            <a:pathLst>
                              <a:path w="20510" h="35966">
                                <a:moveTo>
                                  <a:pt x="17602" y="0"/>
                                </a:moveTo>
                                <a:cubicBezTo>
                                  <a:pt x="19368" y="0"/>
                                  <a:pt x="19838" y="140"/>
                                  <a:pt x="20510" y="203"/>
                                </a:cubicBezTo>
                                <a:lnTo>
                                  <a:pt x="20510" y="7658"/>
                                </a:lnTo>
                                <a:cubicBezTo>
                                  <a:pt x="19418" y="7518"/>
                                  <a:pt x="18288" y="7302"/>
                                  <a:pt x="17196" y="7302"/>
                                </a:cubicBezTo>
                                <a:cubicBezTo>
                                  <a:pt x="11926" y="7302"/>
                                  <a:pt x="7721" y="11582"/>
                                  <a:pt x="7721" y="19291"/>
                                </a:cubicBezTo>
                                <a:lnTo>
                                  <a:pt x="7721" y="35966"/>
                                </a:lnTo>
                                <a:lnTo>
                                  <a:pt x="0" y="35966"/>
                                </a:lnTo>
                                <a:lnTo>
                                  <a:pt x="0" y="952"/>
                                </a:lnTo>
                                <a:lnTo>
                                  <a:pt x="7239" y="952"/>
                                </a:lnTo>
                                <a:lnTo>
                                  <a:pt x="7239" y="7734"/>
                                </a:lnTo>
                                <a:lnTo>
                                  <a:pt x="7404" y="7734"/>
                                </a:lnTo>
                                <a:cubicBezTo>
                                  <a:pt x="8255" y="4000"/>
                                  <a:pt x="12865" y="0"/>
                                  <a:pt x="17602" y="0"/>
                                </a:cubicBez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43" name="Shape 23943"/>
                        <wps:cNvSpPr/>
                        <wps:spPr>
                          <a:xfrm>
                            <a:off x="5939751" y="525385"/>
                            <a:ext cx="30734" cy="35954"/>
                          </a:xfrm>
                          <a:custGeom>
                            <a:avLst/>
                            <a:gdLst/>
                            <a:ahLst/>
                            <a:cxnLst/>
                            <a:rect l="0" t="0" r="0" b="0"/>
                            <a:pathLst>
                              <a:path w="30734" h="35954">
                                <a:moveTo>
                                  <a:pt x="0" y="0"/>
                                </a:moveTo>
                                <a:lnTo>
                                  <a:pt x="7721" y="0"/>
                                </a:lnTo>
                                <a:lnTo>
                                  <a:pt x="7721" y="21463"/>
                                </a:lnTo>
                                <a:cubicBezTo>
                                  <a:pt x="7721" y="27635"/>
                                  <a:pt x="10223" y="29870"/>
                                  <a:pt x="14427" y="29870"/>
                                </a:cubicBezTo>
                                <a:cubicBezTo>
                                  <a:pt x="20853" y="29870"/>
                                  <a:pt x="23013" y="25743"/>
                                  <a:pt x="23013" y="20307"/>
                                </a:cubicBezTo>
                                <a:lnTo>
                                  <a:pt x="23013" y="0"/>
                                </a:lnTo>
                                <a:lnTo>
                                  <a:pt x="30734" y="0"/>
                                </a:lnTo>
                                <a:lnTo>
                                  <a:pt x="30734" y="35014"/>
                                </a:lnTo>
                                <a:lnTo>
                                  <a:pt x="23139" y="35014"/>
                                </a:lnTo>
                                <a:lnTo>
                                  <a:pt x="23139" y="30124"/>
                                </a:lnTo>
                                <a:lnTo>
                                  <a:pt x="23013" y="30124"/>
                                </a:lnTo>
                                <a:cubicBezTo>
                                  <a:pt x="21145" y="33655"/>
                                  <a:pt x="16916" y="35954"/>
                                  <a:pt x="13043" y="35954"/>
                                </a:cubicBezTo>
                                <a:cubicBezTo>
                                  <a:pt x="3924" y="35954"/>
                                  <a:pt x="0" y="31356"/>
                                  <a:pt x="0" y="22212"/>
                                </a:cubicBezTo>
                                <a:lnTo>
                                  <a:pt x="0"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44" name="Shape 23944"/>
                        <wps:cNvSpPr/>
                        <wps:spPr>
                          <a:xfrm>
                            <a:off x="5977609" y="525013"/>
                            <a:ext cx="17183" cy="48316"/>
                          </a:xfrm>
                          <a:custGeom>
                            <a:avLst/>
                            <a:gdLst/>
                            <a:ahLst/>
                            <a:cxnLst/>
                            <a:rect l="0" t="0" r="0" b="0"/>
                            <a:pathLst>
                              <a:path w="17183" h="48316">
                                <a:moveTo>
                                  <a:pt x="17183" y="0"/>
                                </a:moveTo>
                                <a:lnTo>
                                  <a:pt x="17183" y="5546"/>
                                </a:lnTo>
                                <a:lnTo>
                                  <a:pt x="9904" y="8923"/>
                                </a:lnTo>
                                <a:cubicBezTo>
                                  <a:pt x="8262" y="11092"/>
                                  <a:pt x="7430" y="14191"/>
                                  <a:pt x="7430" y="17912"/>
                                </a:cubicBezTo>
                                <a:cubicBezTo>
                                  <a:pt x="7430" y="21436"/>
                                  <a:pt x="8334" y="24519"/>
                                  <a:pt x="10014" y="26721"/>
                                </a:cubicBezTo>
                                <a:lnTo>
                                  <a:pt x="17183" y="30213"/>
                                </a:lnTo>
                                <a:lnTo>
                                  <a:pt x="17183" y="35210"/>
                                </a:lnTo>
                                <a:lnTo>
                                  <a:pt x="7836" y="30841"/>
                                </a:lnTo>
                                <a:lnTo>
                                  <a:pt x="7696" y="30841"/>
                                </a:lnTo>
                                <a:lnTo>
                                  <a:pt x="7696" y="48316"/>
                                </a:lnTo>
                                <a:lnTo>
                                  <a:pt x="0" y="48316"/>
                                </a:lnTo>
                                <a:lnTo>
                                  <a:pt x="0" y="373"/>
                                </a:lnTo>
                                <a:lnTo>
                                  <a:pt x="7315" y="373"/>
                                </a:lnTo>
                                <a:lnTo>
                                  <a:pt x="7315" y="5110"/>
                                </a:lnTo>
                                <a:lnTo>
                                  <a:pt x="7430" y="5110"/>
                                </a:lnTo>
                                <a:lnTo>
                                  <a:pt x="17183"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45" name="Shape 23945"/>
                        <wps:cNvSpPr/>
                        <wps:spPr>
                          <a:xfrm>
                            <a:off x="5994792" y="524433"/>
                            <a:ext cx="17476" cy="36906"/>
                          </a:xfrm>
                          <a:custGeom>
                            <a:avLst/>
                            <a:gdLst/>
                            <a:ahLst/>
                            <a:cxnLst/>
                            <a:rect l="0" t="0" r="0" b="0"/>
                            <a:pathLst>
                              <a:path w="17476" h="36906">
                                <a:moveTo>
                                  <a:pt x="1105" y="0"/>
                                </a:moveTo>
                                <a:cubicBezTo>
                                  <a:pt x="12154" y="0"/>
                                  <a:pt x="17476" y="8407"/>
                                  <a:pt x="17476" y="18631"/>
                                </a:cubicBezTo>
                                <a:cubicBezTo>
                                  <a:pt x="17476" y="28042"/>
                                  <a:pt x="12739" y="36906"/>
                                  <a:pt x="2388" y="36906"/>
                                </a:cubicBezTo>
                                <a:lnTo>
                                  <a:pt x="0" y="35790"/>
                                </a:lnTo>
                                <a:lnTo>
                                  <a:pt x="0" y="30792"/>
                                </a:lnTo>
                                <a:lnTo>
                                  <a:pt x="64" y="30823"/>
                                </a:lnTo>
                                <a:cubicBezTo>
                                  <a:pt x="7113" y="30823"/>
                                  <a:pt x="9754" y="24574"/>
                                  <a:pt x="9754" y="18491"/>
                                </a:cubicBezTo>
                                <a:cubicBezTo>
                                  <a:pt x="9754" y="12116"/>
                                  <a:pt x="6439" y="6096"/>
                                  <a:pt x="64" y="6096"/>
                                </a:cubicBezTo>
                                <a:lnTo>
                                  <a:pt x="0" y="6125"/>
                                </a:lnTo>
                                <a:lnTo>
                                  <a:pt x="0" y="579"/>
                                </a:lnTo>
                                <a:lnTo>
                                  <a:pt x="1105"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46" name="Shape 23946"/>
                        <wps:cNvSpPr/>
                        <wps:spPr>
                          <a:xfrm>
                            <a:off x="6016065" y="524433"/>
                            <a:ext cx="17481" cy="36906"/>
                          </a:xfrm>
                          <a:custGeom>
                            <a:avLst/>
                            <a:gdLst/>
                            <a:ahLst/>
                            <a:cxnLst/>
                            <a:rect l="0" t="0" r="0" b="0"/>
                            <a:pathLst>
                              <a:path w="17481" h="36906">
                                <a:moveTo>
                                  <a:pt x="15189" y="0"/>
                                </a:moveTo>
                                <a:lnTo>
                                  <a:pt x="17481" y="1081"/>
                                </a:lnTo>
                                <a:lnTo>
                                  <a:pt x="17481" y="6126"/>
                                </a:lnTo>
                                <a:lnTo>
                                  <a:pt x="9920" y="10096"/>
                                </a:lnTo>
                                <a:cubicBezTo>
                                  <a:pt x="8369" y="12491"/>
                                  <a:pt x="7721" y="15672"/>
                                  <a:pt x="7721" y="18821"/>
                                </a:cubicBezTo>
                                <a:cubicBezTo>
                                  <a:pt x="7721" y="24854"/>
                                  <a:pt x="10681" y="30823"/>
                                  <a:pt x="17425" y="30823"/>
                                </a:cubicBezTo>
                                <a:lnTo>
                                  <a:pt x="17481" y="30793"/>
                                </a:lnTo>
                                <a:lnTo>
                                  <a:pt x="17481" y="36331"/>
                                </a:lnTo>
                                <a:lnTo>
                                  <a:pt x="16383" y="36906"/>
                                </a:lnTo>
                                <a:cubicBezTo>
                                  <a:pt x="5359" y="36906"/>
                                  <a:pt x="0" y="28727"/>
                                  <a:pt x="0" y="18224"/>
                                </a:cubicBezTo>
                                <a:cubicBezTo>
                                  <a:pt x="0" y="5550"/>
                                  <a:pt x="7506" y="0"/>
                                  <a:pt x="15189" y="0"/>
                                </a:cubicBez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47" name="Shape 23947"/>
                        <wps:cNvSpPr/>
                        <wps:spPr>
                          <a:xfrm>
                            <a:off x="6033546" y="512038"/>
                            <a:ext cx="17215" cy="48726"/>
                          </a:xfrm>
                          <a:custGeom>
                            <a:avLst/>
                            <a:gdLst/>
                            <a:ahLst/>
                            <a:cxnLst/>
                            <a:rect l="0" t="0" r="0" b="0"/>
                            <a:pathLst>
                              <a:path w="17215" h="48726">
                                <a:moveTo>
                                  <a:pt x="9468" y="0"/>
                                </a:moveTo>
                                <a:lnTo>
                                  <a:pt x="17215" y="0"/>
                                </a:lnTo>
                                <a:lnTo>
                                  <a:pt x="17215" y="48362"/>
                                </a:lnTo>
                                <a:lnTo>
                                  <a:pt x="9887" y="48362"/>
                                </a:lnTo>
                                <a:lnTo>
                                  <a:pt x="9887" y="43612"/>
                                </a:lnTo>
                                <a:lnTo>
                                  <a:pt x="9761" y="43612"/>
                                </a:lnTo>
                                <a:lnTo>
                                  <a:pt x="0" y="48726"/>
                                </a:lnTo>
                                <a:lnTo>
                                  <a:pt x="0" y="43189"/>
                                </a:lnTo>
                                <a:lnTo>
                                  <a:pt x="7438" y="39300"/>
                                </a:lnTo>
                                <a:cubicBezTo>
                                  <a:pt x="9030" y="36960"/>
                                  <a:pt x="9761" y="33858"/>
                                  <a:pt x="9761" y="30810"/>
                                </a:cubicBezTo>
                                <a:cubicBezTo>
                                  <a:pt x="9761" y="23101"/>
                                  <a:pt x="5989" y="18491"/>
                                  <a:pt x="57" y="18491"/>
                                </a:cubicBezTo>
                                <a:lnTo>
                                  <a:pt x="0" y="18521"/>
                                </a:lnTo>
                                <a:lnTo>
                                  <a:pt x="0" y="13476"/>
                                </a:lnTo>
                                <a:lnTo>
                                  <a:pt x="9341" y="17882"/>
                                </a:lnTo>
                                <a:lnTo>
                                  <a:pt x="9468" y="17882"/>
                                </a:lnTo>
                                <a:lnTo>
                                  <a:pt x="9468"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48" name="Shape 23948"/>
                        <wps:cNvSpPr/>
                        <wps:spPr>
                          <a:xfrm>
                            <a:off x="6056083" y="539874"/>
                            <a:ext cx="15615" cy="21453"/>
                          </a:xfrm>
                          <a:custGeom>
                            <a:avLst/>
                            <a:gdLst/>
                            <a:ahLst/>
                            <a:cxnLst/>
                            <a:rect l="0" t="0" r="0" b="0"/>
                            <a:pathLst>
                              <a:path w="15615" h="21453">
                                <a:moveTo>
                                  <a:pt x="15615" y="0"/>
                                </a:moveTo>
                                <a:lnTo>
                                  <a:pt x="15615" y="4727"/>
                                </a:lnTo>
                                <a:lnTo>
                                  <a:pt x="14021" y="5083"/>
                                </a:lnTo>
                                <a:cubicBezTo>
                                  <a:pt x="10719" y="5604"/>
                                  <a:pt x="7721" y="6823"/>
                                  <a:pt x="7721" y="10899"/>
                                </a:cubicBezTo>
                                <a:cubicBezTo>
                                  <a:pt x="7721" y="14354"/>
                                  <a:pt x="12141" y="15370"/>
                                  <a:pt x="14833" y="15370"/>
                                </a:cubicBezTo>
                                <a:lnTo>
                                  <a:pt x="15615" y="15162"/>
                                </a:lnTo>
                                <a:lnTo>
                                  <a:pt x="15615" y="20187"/>
                                </a:lnTo>
                                <a:lnTo>
                                  <a:pt x="12002" y="21453"/>
                                </a:lnTo>
                                <a:cubicBezTo>
                                  <a:pt x="5715" y="21453"/>
                                  <a:pt x="0" y="18088"/>
                                  <a:pt x="0" y="11242"/>
                                </a:cubicBezTo>
                                <a:cubicBezTo>
                                  <a:pt x="0" y="2492"/>
                                  <a:pt x="6997" y="1082"/>
                                  <a:pt x="13500" y="333"/>
                                </a:cubicBezTo>
                                <a:lnTo>
                                  <a:pt x="15615"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49" name="Shape 23949"/>
                        <wps:cNvSpPr/>
                        <wps:spPr>
                          <a:xfrm>
                            <a:off x="6057366" y="524787"/>
                            <a:ext cx="14332" cy="11292"/>
                          </a:xfrm>
                          <a:custGeom>
                            <a:avLst/>
                            <a:gdLst/>
                            <a:ahLst/>
                            <a:cxnLst/>
                            <a:rect l="0" t="0" r="0" b="0"/>
                            <a:pathLst>
                              <a:path w="14332" h="11292">
                                <a:moveTo>
                                  <a:pt x="14332" y="0"/>
                                </a:moveTo>
                                <a:lnTo>
                                  <a:pt x="14332" y="6530"/>
                                </a:lnTo>
                                <a:lnTo>
                                  <a:pt x="7721" y="11292"/>
                                </a:lnTo>
                                <a:lnTo>
                                  <a:pt x="0" y="11292"/>
                                </a:lnTo>
                                <a:cubicBezTo>
                                  <a:pt x="273" y="6784"/>
                                  <a:pt x="2327" y="3869"/>
                                  <a:pt x="5276" y="2082"/>
                                </a:cubicBezTo>
                                <a:lnTo>
                                  <a:pt x="14332"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50" name="Shape 23950"/>
                        <wps:cNvSpPr/>
                        <wps:spPr>
                          <a:xfrm>
                            <a:off x="6071697" y="524421"/>
                            <a:ext cx="19348" cy="36906"/>
                          </a:xfrm>
                          <a:custGeom>
                            <a:avLst/>
                            <a:gdLst/>
                            <a:ahLst/>
                            <a:cxnLst/>
                            <a:rect l="0" t="0" r="0" b="0"/>
                            <a:pathLst>
                              <a:path w="19348" h="36906">
                                <a:moveTo>
                                  <a:pt x="1594" y="0"/>
                                </a:moveTo>
                                <a:cubicBezTo>
                                  <a:pt x="8439" y="0"/>
                                  <a:pt x="15615" y="2781"/>
                                  <a:pt x="15615" y="10173"/>
                                </a:cubicBezTo>
                                <a:lnTo>
                                  <a:pt x="15615" y="28181"/>
                                </a:lnTo>
                                <a:cubicBezTo>
                                  <a:pt x="15615" y="30086"/>
                                  <a:pt x="15996" y="30823"/>
                                  <a:pt x="17456" y="30823"/>
                                </a:cubicBezTo>
                                <a:cubicBezTo>
                                  <a:pt x="17938" y="30823"/>
                                  <a:pt x="18523" y="30823"/>
                                  <a:pt x="19348" y="30683"/>
                                </a:cubicBezTo>
                                <a:lnTo>
                                  <a:pt x="19348" y="36043"/>
                                </a:lnTo>
                                <a:cubicBezTo>
                                  <a:pt x="18167" y="36436"/>
                                  <a:pt x="15754" y="36906"/>
                                  <a:pt x="14484" y="36906"/>
                                </a:cubicBezTo>
                                <a:cubicBezTo>
                                  <a:pt x="11360" y="36906"/>
                                  <a:pt x="9125" y="35839"/>
                                  <a:pt x="8490" y="32664"/>
                                </a:cubicBezTo>
                                <a:lnTo>
                                  <a:pt x="0" y="35640"/>
                                </a:lnTo>
                                <a:lnTo>
                                  <a:pt x="0" y="30615"/>
                                </a:lnTo>
                                <a:lnTo>
                                  <a:pt x="4832" y="29331"/>
                                </a:lnTo>
                                <a:cubicBezTo>
                                  <a:pt x="6576" y="28280"/>
                                  <a:pt x="7893" y="26619"/>
                                  <a:pt x="7893" y="24181"/>
                                </a:cubicBezTo>
                                <a:lnTo>
                                  <a:pt x="7893" y="18415"/>
                                </a:lnTo>
                                <a:lnTo>
                                  <a:pt x="0" y="20180"/>
                                </a:lnTo>
                                <a:lnTo>
                                  <a:pt x="0" y="15453"/>
                                </a:lnTo>
                                <a:lnTo>
                                  <a:pt x="5194" y="14635"/>
                                </a:lnTo>
                                <a:cubicBezTo>
                                  <a:pt x="7118" y="14094"/>
                                  <a:pt x="8350" y="13113"/>
                                  <a:pt x="8350" y="10846"/>
                                </a:cubicBezTo>
                                <a:cubicBezTo>
                                  <a:pt x="8350" y="6845"/>
                                  <a:pt x="4261" y="6096"/>
                                  <a:pt x="1111" y="6096"/>
                                </a:cubicBezTo>
                                <a:lnTo>
                                  <a:pt x="0" y="6896"/>
                                </a:lnTo>
                                <a:lnTo>
                                  <a:pt x="0" y="366"/>
                                </a:lnTo>
                                <a:lnTo>
                                  <a:pt x="1594"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51" name="Shape 23951"/>
                        <wps:cNvSpPr/>
                        <wps:spPr>
                          <a:xfrm>
                            <a:off x="6090906" y="514883"/>
                            <a:ext cx="20510" cy="45860"/>
                          </a:xfrm>
                          <a:custGeom>
                            <a:avLst/>
                            <a:gdLst/>
                            <a:ahLst/>
                            <a:cxnLst/>
                            <a:rect l="0" t="0" r="0" b="0"/>
                            <a:pathLst>
                              <a:path w="20510" h="45860">
                                <a:moveTo>
                                  <a:pt x="5829" y="0"/>
                                </a:moveTo>
                                <a:lnTo>
                                  <a:pt x="13513" y="0"/>
                                </a:lnTo>
                                <a:lnTo>
                                  <a:pt x="13513" y="10503"/>
                                </a:lnTo>
                                <a:lnTo>
                                  <a:pt x="20510" y="10503"/>
                                </a:lnTo>
                                <a:lnTo>
                                  <a:pt x="20510" y="16256"/>
                                </a:lnTo>
                                <a:lnTo>
                                  <a:pt x="13513" y="16256"/>
                                </a:lnTo>
                                <a:lnTo>
                                  <a:pt x="13513" y="34950"/>
                                </a:lnTo>
                                <a:cubicBezTo>
                                  <a:pt x="13513" y="38138"/>
                                  <a:pt x="13818" y="39776"/>
                                  <a:pt x="17285" y="39776"/>
                                </a:cubicBezTo>
                                <a:cubicBezTo>
                                  <a:pt x="18338" y="39776"/>
                                  <a:pt x="19418" y="39776"/>
                                  <a:pt x="20510" y="39484"/>
                                </a:cubicBezTo>
                                <a:lnTo>
                                  <a:pt x="20510" y="45453"/>
                                </a:lnTo>
                                <a:cubicBezTo>
                                  <a:pt x="18821" y="45593"/>
                                  <a:pt x="17196" y="45860"/>
                                  <a:pt x="15481" y="45860"/>
                                </a:cubicBezTo>
                                <a:cubicBezTo>
                                  <a:pt x="7468" y="45860"/>
                                  <a:pt x="5956" y="42748"/>
                                  <a:pt x="5829" y="36906"/>
                                </a:cubicBezTo>
                                <a:lnTo>
                                  <a:pt x="5829" y="16256"/>
                                </a:lnTo>
                                <a:lnTo>
                                  <a:pt x="0" y="16256"/>
                                </a:lnTo>
                                <a:lnTo>
                                  <a:pt x="0" y="10503"/>
                                </a:lnTo>
                                <a:lnTo>
                                  <a:pt x="5829" y="10503"/>
                                </a:lnTo>
                                <a:lnTo>
                                  <a:pt x="5829"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52" name="Shape 23952"/>
                        <wps:cNvSpPr/>
                        <wps:spPr>
                          <a:xfrm>
                            <a:off x="6113258" y="524517"/>
                            <a:ext cx="16714" cy="36656"/>
                          </a:xfrm>
                          <a:custGeom>
                            <a:avLst/>
                            <a:gdLst/>
                            <a:ahLst/>
                            <a:cxnLst/>
                            <a:rect l="0" t="0" r="0" b="0"/>
                            <a:pathLst>
                              <a:path w="16714" h="36656">
                                <a:moveTo>
                                  <a:pt x="16714" y="0"/>
                                </a:moveTo>
                                <a:lnTo>
                                  <a:pt x="16714" y="6089"/>
                                </a:lnTo>
                                <a:lnTo>
                                  <a:pt x="10373" y="8696"/>
                                </a:lnTo>
                                <a:cubicBezTo>
                                  <a:pt x="8769" y="10364"/>
                                  <a:pt x="7810" y="12685"/>
                                  <a:pt x="7709" y="15295"/>
                                </a:cubicBezTo>
                                <a:lnTo>
                                  <a:pt x="16714" y="15295"/>
                                </a:lnTo>
                                <a:lnTo>
                                  <a:pt x="16714" y="20375"/>
                                </a:lnTo>
                                <a:lnTo>
                                  <a:pt x="7709" y="20375"/>
                                </a:lnTo>
                                <a:cubicBezTo>
                                  <a:pt x="7709" y="23118"/>
                                  <a:pt x="8448" y="25706"/>
                                  <a:pt x="9995" y="27608"/>
                                </a:cubicBezTo>
                                <a:lnTo>
                                  <a:pt x="16714" y="30548"/>
                                </a:lnTo>
                                <a:lnTo>
                                  <a:pt x="16714" y="36656"/>
                                </a:lnTo>
                                <a:lnTo>
                                  <a:pt x="4440" y="31648"/>
                                </a:lnTo>
                                <a:cubicBezTo>
                                  <a:pt x="1533" y="28389"/>
                                  <a:pt x="0" y="23785"/>
                                  <a:pt x="0" y="18407"/>
                                </a:cubicBezTo>
                                <a:cubicBezTo>
                                  <a:pt x="0" y="13428"/>
                                  <a:pt x="1619" y="8805"/>
                                  <a:pt x="4542" y="5427"/>
                                </a:cubicBezTo>
                                <a:lnTo>
                                  <a:pt x="16714"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53" name="Shape 23953"/>
                        <wps:cNvSpPr/>
                        <wps:spPr>
                          <a:xfrm>
                            <a:off x="6129971" y="549401"/>
                            <a:ext cx="16242" cy="11938"/>
                          </a:xfrm>
                          <a:custGeom>
                            <a:avLst/>
                            <a:gdLst/>
                            <a:ahLst/>
                            <a:cxnLst/>
                            <a:rect l="0" t="0" r="0" b="0"/>
                            <a:pathLst>
                              <a:path w="16242" h="11938">
                                <a:moveTo>
                                  <a:pt x="8927" y="0"/>
                                </a:moveTo>
                                <a:lnTo>
                                  <a:pt x="16242" y="0"/>
                                </a:lnTo>
                                <a:cubicBezTo>
                                  <a:pt x="14567" y="7683"/>
                                  <a:pt x="8064" y="11938"/>
                                  <a:pt x="406" y="11938"/>
                                </a:cubicBezTo>
                                <a:lnTo>
                                  <a:pt x="0" y="11772"/>
                                </a:lnTo>
                                <a:lnTo>
                                  <a:pt x="0" y="5664"/>
                                </a:lnTo>
                                <a:lnTo>
                                  <a:pt x="406" y="5842"/>
                                </a:lnTo>
                                <a:cubicBezTo>
                                  <a:pt x="4876" y="5842"/>
                                  <a:pt x="7569" y="3874"/>
                                  <a:pt x="8927" y="0"/>
                                </a:cubicBez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54" name="Shape 23954"/>
                        <wps:cNvSpPr/>
                        <wps:spPr>
                          <a:xfrm>
                            <a:off x="6129971" y="524433"/>
                            <a:ext cx="17995" cy="20460"/>
                          </a:xfrm>
                          <a:custGeom>
                            <a:avLst/>
                            <a:gdLst/>
                            <a:ahLst/>
                            <a:cxnLst/>
                            <a:rect l="0" t="0" r="0" b="0"/>
                            <a:pathLst>
                              <a:path w="17995" h="20460">
                                <a:moveTo>
                                  <a:pt x="190" y="0"/>
                                </a:moveTo>
                                <a:cubicBezTo>
                                  <a:pt x="11239" y="0"/>
                                  <a:pt x="17995" y="9944"/>
                                  <a:pt x="16700" y="20460"/>
                                </a:cubicBezTo>
                                <a:lnTo>
                                  <a:pt x="0" y="20460"/>
                                </a:lnTo>
                                <a:lnTo>
                                  <a:pt x="0" y="15380"/>
                                </a:lnTo>
                                <a:lnTo>
                                  <a:pt x="9004" y="15380"/>
                                </a:lnTo>
                                <a:cubicBezTo>
                                  <a:pt x="8712" y="10503"/>
                                  <a:pt x="5410" y="6096"/>
                                  <a:pt x="190" y="6096"/>
                                </a:cubicBezTo>
                                <a:lnTo>
                                  <a:pt x="0" y="6174"/>
                                </a:lnTo>
                                <a:lnTo>
                                  <a:pt x="0" y="85"/>
                                </a:lnTo>
                                <a:lnTo>
                                  <a:pt x="190" y="0"/>
                                </a:ln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s:wsp>
                        <wps:cNvPr id="23955" name="Shape 23955"/>
                        <wps:cNvSpPr/>
                        <wps:spPr>
                          <a:xfrm>
                            <a:off x="6149809" y="524433"/>
                            <a:ext cx="31166" cy="36906"/>
                          </a:xfrm>
                          <a:custGeom>
                            <a:avLst/>
                            <a:gdLst/>
                            <a:ahLst/>
                            <a:cxnLst/>
                            <a:rect l="0" t="0" r="0" b="0"/>
                            <a:pathLst>
                              <a:path w="31166" h="36906">
                                <a:moveTo>
                                  <a:pt x="15367" y="0"/>
                                </a:moveTo>
                                <a:cubicBezTo>
                                  <a:pt x="22555" y="0"/>
                                  <a:pt x="29032" y="2972"/>
                                  <a:pt x="30010" y="10770"/>
                                </a:cubicBezTo>
                                <a:lnTo>
                                  <a:pt x="21933" y="10770"/>
                                </a:lnTo>
                                <a:cubicBezTo>
                                  <a:pt x="21247" y="7112"/>
                                  <a:pt x="18211" y="6096"/>
                                  <a:pt x="14833" y="6096"/>
                                </a:cubicBezTo>
                                <a:cubicBezTo>
                                  <a:pt x="12598" y="6096"/>
                                  <a:pt x="8471" y="6629"/>
                                  <a:pt x="8471" y="9677"/>
                                </a:cubicBezTo>
                                <a:cubicBezTo>
                                  <a:pt x="8471" y="13475"/>
                                  <a:pt x="14147" y="14021"/>
                                  <a:pt x="19824" y="15304"/>
                                </a:cubicBezTo>
                                <a:cubicBezTo>
                                  <a:pt x="25450" y="16586"/>
                                  <a:pt x="31166" y="18631"/>
                                  <a:pt x="31166" y="25527"/>
                                </a:cubicBezTo>
                                <a:cubicBezTo>
                                  <a:pt x="31166" y="33858"/>
                                  <a:pt x="22745" y="36906"/>
                                  <a:pt x="15494" y="36906"/>
                                </a:cubicBezTo>
                                <a:cubicBezTo>
                                  <a:pt x="6693" y="36906"/>
                                  <a:pt x="126" y="32982"/>
                                  <a:pt x="0" y="24714"/>
                                </a:cubicBezTo>
                                <a:lnTo>
                                  <a:pt x="7721" y="24714"/>
                                </a:lnTo>
                                <a:cubicBezTo>
                                  <a:pt x="8115" y="29197"/>
                                  <a:pt x="11519" y="30810"/>
                                  <a:pt x="15646" y="30810"/>
                                </a:cubicBezTo>
                                <a:cubicBezTo>
                                  <a:pt x="18567" y="30810"/>
                                  <a:pt x="23647" y="30226"/>
                                  <a:pt x="23431" y="26213"/>
                                </a:cubicBezTo>
                                <a:cubicBezTo>
                                  <a:pt x="23215" y="22136"/>
                                  <a:pt x="17589" y="21666"/>
                                  <a:pt x="11976" y="20396"/>
                                </a:cubicBezTo>
                                <a:cubicBezTo>
                                  <a:pt x="6286" y="19152"/>
                                  <a:pt x="736" y="17132"/>
                                  <a:pt x="736" y="10020"/>
                                </a:cubicBezTo>
                                <a:cubicBezTo>
                                  <a:pt x="736" y="2362"/>
                                  <a:pt x="9017" y="0"/>
                                  <a:pt x="15367" y="0"/>
                                </a:cubicBezTo>
                                <a:close/>
                              </a:path>
                            </a:pathLst>
                          </a:custGeom>
                          <a:ln w="0" cap="flat">
                            <a:miter lim="127000"/>
                          </a:ln>
                        </wps:spPr>
                        <wps:style>
                          <a:lnRef idx="0">
                            <a:srgbClr val="000000">
                              <a:alpha val="0"/>
                            </a:srgbClr>
                          </a:lnRef>
                          <a:fillRef idx="1">
                            <a:srgbClr val="57575A"/>
                          </a:fillRef>
                          <a:effectRef idx="0">
                            <a:scrgbClr r="0" g="0" b="0"/>
                          </a:effectRef>
                          <a:fontRef idx="none"/>
                        </wps:style>
                        <wps:bodyPr/>
                      </wps:wsp>
                    </wpg:wgp>
                  </a:graphicData>
                </a:graphic>
              </wp:inline>
            </w:drawing>
          </mc:Choice>
          <mc:Fallback>
            <w:pict>
              <v:group id="Group 214719" o:spid="_x0000_s1930" style="width:489.5pt;height:48.25pt;mso-position-horizontal-relative:char;mso-position-vertical-relative:line" coordsize="62164,6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">
                <v:shape id="Shape 230918" o:spid="_x0000_s1931" style="position:absolute;top:3801;width:62164;height:122;visibility:visible;mso-wrap-style:square;v-text-anchor:top" coordsize="6216472,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M1sUA&#10;AADfAAAADwAAAGRycy9kb3ducmV2LnhtbERPy2rCQBTdF/oPwy10U3SSCKKpo7SKKGSlBsHdJXPz&#10;oJk7ITNq+vfOQnB5OO/FajCtuFHvGssK4nEEgriwuuFKQX7ajmYgnEfW2FomBf/kYLV8f1tgqu2d&#10;D3Q7+kqEEHYpKqi971IpXVGTQTe2HXHgStsb9AH2ldQ93kO4aWUSRVNpsOHQUGNH65qKv+PVKMg2&#10;v5e8jPd58pWV2938TJlur0p9fgw/3yA8Df4lfrr3WkEyieZxGBz+hC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ozWxQAAAN8AAAAPAAAAAAAAAAAAAAAAAJgCAABkcnMv&#10;ZG93bnJldi54bWxQSwUGAAAAAAQABAD1AAAAigMAAAAA&#10;" path="m,l6216472,r,12243l,12243,,e" fillcolor="#841f27" strokecolor="#841f27" strokeweight="0">
                  <v:stroke endcap="round"/>
                  <v:path arrowok="t" textboxrect="0,0,6216472,12243"/>
                </v:shape>
                <v:rect id="Rectangle 23841" o:spid="_x0000_s1932" style="position:absolute;top:1222;width:13629;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IfccA&#10;AADeAAAADwAAAGRycy9kb3ducmV2LnhtbESPT2vCQBTE74LfYXmCN92oRWLqKmIreqx/wPb2yL4m&#10;wezbkF1N6qd3C4LHYWZ+w8yXrSnFjWpXWFYwGkYgiFOrC84UnI6bQQzCeWSNpWVS8EcOlotuZ46J&#10;tg3v6XbwmQgQdgkqyL2vEildmpNBN7QVcfB+bW3QB1lnUtfYBLgp5TiKptJgwWEhx4rWOaWXw9Uo&#10;2MbV6ntn701Wfv5sz1/n2cdx5pXq99rVOwhPrX+Fn+2dVjCexG8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SH3HAAAA3gAAAA8AAAAAAAAAAAAAAAAAmAIAAGRy&#10;cy9kb3ducmV2LnhtbFBLBQYAAAAABAAEAPUAAACMAwAAAAA=&#10;" filled="f" stroked="f">
                  <v:textbox inset="0,0,0,0">
                    <w:txbxContent>
                      <w:p w:rsidR="00EE13F6" w:rsidRDefault="002E5BC4">
                        <w:r>
                          <w:rPr>
                            <w:w w:val="94"/>
                            <w:sz w:val="15"/>
                          </w:rPr>
                          <w:t>APPLIED</w:t>
                        </w:r>
                        <w:r>
                          <w:rPr>
                            <w:spacing w:val="16"/>
                            <w:w w:val="94"/>
                            <w:sz w:val="15"/>
                          </w:rPr>
                          <w:t xml:space="preserve"> </w:t>
                        </w:r>
                        <w:r>
                          <w:rPr>
                            <w:w w:val="94"/>
                            <w:sz w:val="15"/>
                          </w:rPr>
                          <w:t>ECONOMICS,</w:t>
                        </w:r>
                        <w:r>
                          <w:rPr>
                            <w:spacing w:val="16"/>
                            <w:w w:val="94"/>
                            <w:sz w:val="15"/>
                          </w:rPr>
                          <w:t xml:space="preserve"> </w:t>
                        </w:r>
                        <w:r>
                          <w:rPr>
                            <w:w w:val="94"/>
                            <w:sz w:val="15"/>
                          </w:rPr>
                          <w:t>2017</w:t>
                        </w:r>
                      </w:p>
                    </w:txbxContent>
                  </v:textbox>
                </v:rect>
                <v:shape id="Shape 23842" o:spid="_x0000_s1933" style="position:absolute;left:53953;top:346;width:331;height:1172;visibility:visible;mso-wrap-style:square;v-text-anchor:top" coordsize="33122,1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2NcgA&#10;AADeAAAADwAAAGRycy9kb3ducmV2LnhtbESPQWvCQBSE7wX/w/KE3urGWFqNrtJaCvZSqhHU2yP7&#10;TLbNvk2zW43/vlsoeBxm5htmtuhsLU7UeuNYwXCQgCAunDZcKtjmr3djED4ga6wdk4ILeVjMezcz&#10;zLQ785pOm1CKCGGfoYIqhCaT0hcVWfQD1xBH7+haiyHKtpS6xXOE21qmSfIgLRqOCxU2tKyo+Nr8&#10;WAUfO/NoL/v3Z8onq+9Dal7oLf9U6rbfPU1BBOrCNfzfXmkF6Wh8n8L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QfY1yAAAAN4AAAAPAAAAAAAAAAAAAAAAAJgCAABk&#10;cnMvZG93bnJldi54bWxQSwUGAAAAAAQABAD1AAAAjQMAAAAA&#10;" path="m,l33122,r,12688l30112,11709r-13894,l16218,56883r9208,l33122,55319r,13274l16218,68593r,48526l,117119,,xe" fillcolor="#221d1d" stroked="f" strokeweight="0">
                  <v:stroke miterlimit="83231f" joinstyle="miter"/>
                  <v:path arrowok="t" textboxrect="0,0,33122,117119"/>
                </v:shape>
                <v:shape id="Shape 23843" o:spid="_x0000_s1934" style="position:absolute;left:54284;top:346;width:439;height:1192;visibility:visible;mso-wrap-style:square;v-text-anchor:top" coordsize="43840,1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v4r4A&#10;AADeAAAADwAAAGRycy9kb3ducmV2LnhtbERPywrCMBC8C/5DWMGbpj6QWo0iVUHw5OMDlmZti82m&#10;NFHr3xtBkDkN82KW69ZU4kmNKy0rGA0jEMSZ1SXnCq6X/SAG4TyyxsoyKXiTg/Wq21liou2LT/Q8&#10;+1yEEnYJKii8rxMpXVaQQTe0NXHQbrYx6ANtcqkbfIVyU8lxFM2kwZLDQoE1pQVl9/PDKKhxe4jT&#10;aCulTXf749xMRwFK9XvtZgHCU+v/5l/6oBWMJ/F0At874Qr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NL+K+AAAA3gAAAA8AAAAAAAAAAAAAAAAAmAIAAGRycy9kb3ducmV2&#10;LnhtbFBLBQYAAAAABAAEAPUAAACDAwAAAAA=&#10;" path="m,l330,c19406,,34290,9868,34290,30112v,17234,-8357,26936,-19571,34137l43840,114110r-16395,5016l330,68593r-330,l,55319r4897,-995c14732,49532,16904,39024,16904,31623v,-7195,-2261,-12173,-5880,-15353l,12688,,xe" fillcolor="#221d1d" stroked="f" strokeweight="0">
                  <v:stroke miterlimit="83231f" joinstyle="miter"/>
                  <v:path arrowok="t" textboxrect="0,0,43840,119126"/>
                </v:shape>
                <v:shape id="Shape 23844" o:spid="_x0000_s1935" style="position:absolute;left:54776;top:661;width:413;height:877;visibility:visible;mso-wrap-style:square;v-text-anchor:top" coordsize="41243,87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xfcYA&#10;AADeAAAADwAAAGRycy9kb3ducmV2LnhtbESPQWsCMRSE74L/ITzBS9FsVYqsRpFCxYqXruL5uXnu&#10;Lm5etkmq6783QsHjMDPfMPNla2pxJecrywrehwkI4tzqigsFh/3XYArCB2SNtWVScCcPy0W3M8dU&#10;2xv/0DULhYgQ9ikqKENoUil9XpJBP7QNcfTO1hkMUbpCaoe3CDe1HCXJhzRYcVwosaHPkvJL9mcU&#10;vLltvTteTut2q5tTlf9mm+/DXal+r13NQARqwyv8395oBaPxdDKB5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pxfcYAAADeAAAADwAAAAAAAAAAAAAAAACYAgAAZHJz&#10;L2Rvd25yZXYueG1sUEsFBgAAAAAEAAQA9QAAAIsDAAAAAA==&#10;" path="m41161,r82,15l41243,10739r-82,-20c22416,10719,16231,27775,16231,42837v,15735,5359,34138,24930,34138l41243,76954r,10710l41161,87681c16548,87681,,68771,,42837,,15735,20079,,41161,xe" fillcolor="#221d1d" stroked="f" strokeweight="0">
                  <v:stroke miterlimit="83231f" joinstyle="miter"/>
                  <v:path arrowok="t" textboxrect="0,0,41243,87681"/>
                </v:shape>
                <v:shape id="Shape 23845" o:spid="_x0000_s1936" style="position:absolute;left:55189;top:661;width:412;height:877;visibility:visible;mso-wrap-style:square;v-text-anchor:top" coordsize="41244,87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8RMUA&#10;AADeAAAADwAAAGRycy9kb3ducmV2LnhtbESPT4vCMBTE7wv7HcJb8Lamq1aka5QiiF4W8Q94fTSv&#10;TbF5KU3U+u03guBxmJnfMPNlbxtxo87XjhX8DBMQxIXTNVcKTsf19wyED8gaG8ek4EEelovPjzlm&#10;2t15T7dDqESEsM9QgQmhzaT0hSGLfuha4uiVrrMYouwqqTu8R7ht5ChJptJizXHBYEsrQ8XlcLUK&#10;NtPdX7o65bo8y11ejo/mktq9UoOvPv8FEagP7/CrvdUKRuPZJIXnnX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TxExQAAAN4AAAAPAAAAAAAAAAAAAAAAAJgCAABkcnMv&#10;ZG93bnJldi54bWxQSwUGAAAAAAQABAD1AAAAigMAAAAA&#10;" path="m,l15269,2867c29856,8563,41244,22495,41244,42822v,19450,-9323,34949,-24427,41483l,87649,,76938,12170,73838c22005,67925,25013,54623,25013,42822v,-11297,-3486,-23715,-13202,-29218l,10723,,xe" fillcolor="#221d1d" stroked="f" strokeweight="0">
                  <v:stroke miterlimit="83231f" joinstyle="miter"/>
                  <v:path arrowok="t" textboxrect="0,0,41244,87649"/>
                </v:shape>
                <v:shape id="Shape 23846" o:spid="_x0000_s1937" style="position:absolute;left:55752;top:681;width:714;height:857;visibility:visible;mso-wrap-style:square;v-text-anchor:top" coordsize="71450,8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NxsUA&#10;AADeAAAADwAAAGRycy9kb3ducmV2LnhtbESPQWsCMRSE7wX/Q3iCl1Kz3Raxq1GkVrDeXNv7Y/Pc&#10;LCYvyya623/fCIUeh5lvhlmuB2fFjbrQeFbwPM1AEFdeN1wr+DrtnuYgQkTWaD2Tgh8KsF6NHpZY&#10;aN/zkW5lrEUq4VCgAhNjW0gZKkMOw9S3xMk7+85hTLKrpe6wT+XOyjzLZtJhw2nBYEvvhqpLeXUK&#10;8jf7WPbBfJjvbZN/+oPV8rpTajIeNgsQkYb4H/6j9zpxL/PXGdzvp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o3GxQAAAN4AAAAPAAAAAAAAAAAAAAAAAJgCAABkcnMv&#10;ZG93bnJldi54bWxQSwUGAAAAAAQABAD1AAAAigMAAAAA&#10;" path="m,l15049,r,50521c15049,66256,21755,74625,35293,74625v11557,,21082,-9538,21082,-25768l56375,,71450,r,83655l56553,83655r,-9703c48019,81318,40487,85661,29616,85661,10376,85661,,74955,,53873l,xe" fillcolor="#221d1d" stroked="f" strokeweight="0">
                  <v:stroke miterlimit="83231f" joinstyle="miter"/>
                  <v:path arrowok="t" textboxrect="0,0,71450,85661"/>
                </v:shape>
                <v:shape id="Shape 23847" o:spid="_x0000_s1938" style="position:absolute;left:56615;top:430;width:535;height:1108;visibility:visible;mso-wrap-style:square;v-text-anchor:top" coordsize="53530,1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d7sgA&#10;AADeAAAADwAAAGRycy9kb3ducmV2LnhtbESPQWvCQBSE74X+h+UVeqsbo1RJXaUWBBE8JIri7Zl9&#10;zQazb0N2G9N/3y0Uehxm5htmsRpsI3rqfO1YwXiUgCAuna65UnA8bF7mIHxA1tg4JgXf5GG1fHxY&#10;YKbdnXPqi1CJCGGfoQITQptJ6UtDFv3ItcTR+3SdxRBlV0nd4T3CbSPTJHmVFmuOCwZb+jBU3oov&#10;q4DOl9M63x33ebpPin69vZpTNVPq+Wl4fwMRaAj/4b/2VitIJ/PpDH7vx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FZ3uyAAAAN4AAAAPAAAAAAAAAAAAAAAAAJgCAABk&#10;cnMvZG93bnJldi54bWxQSwUGAAAAAAQABAD1AAAAjQMAAAAA&#10;" path="m26772,r,25095l48704,25095r,8700l26772,33795r,47358c26772,92850,29121,99886,38303,99886v5537,,8712,-1334,11557,-2845l53530,105410v-5181,3340,-11366,5347,-17055,5347c19736,110757,11722,101054,11722,83985r,-50190l,33795,,25095r11722,l11722,5017,26772,xe" fillcolor="#221d1d" stroked="f" strokeweight="0">
                  <v:stroke miterlimit="83231f" joinstyle="miter"/>
                  <v:path arrowok="t" textboxrect="0,0,53530,110757"/>
                </v:shape>
                <v:shape id="Shape 230925" o:spid="_x0000_s1939" style="position:absolute;left:57274;top:288;width:151;height:1230;visibility:visible;mso-wrap-style:square;v-text-anchor:top" coordsize="15062,12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nkMkA&#10;AADfAAAADwAAAGRycy9kb3ducmV2LnhtbESPUWvCQBCE3wv9D8cWfCn1rgmWNnpKEQoFRYwGfV1y&#10;axKa2wu5U9N/7wmFPg6z883ObDHYVlyo941jDa9jBYK4dKbhSkOx/3p5B+EDssHWMWn4JQ+L+ePD&#10;DDPjrpzTZRcqESHsM9RQh9BlUvqyJot+7Dri6J1cbzFE2VfS9HiNcNvKRKk3abHh2FBjR8uayp/d&#10;2cY3Dls1OXXpvlyvCrd6zg+b4zLRevQ0fE5BBBrC//Ff+ttoSFL1kUzgvidC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2rnkMkAAADfAAAADwAAAAAAAAAAAAAAAACYAgAA&#10;ZHJzL2Rvd25yZXYueG1sUEsFBgAAAAAEAAQA9QAAAI4DAAAAAA==&#10;" path="m,l15062,r,122974l,122974,,e" fillcolor="#221d1d" stroked="f" strokeweight="0">
                  <v:stroke miterlimit="83231f" joinstyle="miter"/>
                  <v:path arrowok="t" textboxrect="0,0,15062,122974"/>
                </v:shape>
                <v:shape id="Shape 23849" o:spid="_x0000_s1940" style="position:absolute;left:57599;top:665;width:374;height:863;visibility:visible;mso-wrap-style:square;v-text-anchor:top" coordsize="37402,8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jscA&#10;AADeAAAADwAAAGRycy9kb3ducmV2LnhtbESPW2vCQBSE3wv+h+UIvtWNF0IaXUUKgvhQ8ELs4yF7&#10;3KTNng3Zrab/3i0UfBxm5htmue5tI27U+dqxgsk4AUFcOl2zUXA+bV8zED4ga2wck4Jf8rBeDV6W&#10;mGt35wPdjsGICGGfo4IqhDaX0pcVWfRj1xJH7+o6iyHKzkjd4T3CbSOnSZJKizXHhQpbeq+o/D7+&#10;WAWX4sMcet6f08Js67TI8PNLolKjYb9ZgAjUh2f4v73TCqazbP4Gf3fi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v7o7HAAAA3gAAAA8AAAAAAAAAAAAAAAAAmAIAAGRy&#10;cy9kb3ducmV2LnhtbFBLBQYAAAAABAAEAPUAAACMAwAAAAA=&#10;" path="m37402,r,10762l29204,12563c20622,16830,16955,26367,16573,34396r20829,l37402,44442r-21832,c15446,56987,22095,68781,32414,73894r4988,1164l37402,86274,25563,84296c9702,78398,,63841,,41762,,20055,11673,7191,25488,2116l37402,xe" fillcolor="#221d1d" stroked="f" strokeweight="0">
                  <v:stroke miterlimit="83231f" joinstyle="miter"/>
                  <v:path arrowok="t" textboxrect="0,0,37402,86274"/>
                </v:shape>
                <v:shape id="Shape 23850" o:spid="_x0000_s1941" style="position:absolute;left:57973;top:1359;width:337;height:179;visibility:visible;mso-wrap-style:square;v-text-anchor:top" coordsize="33731,17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d7cYA&#10;AADeAAAADwAAAGRycy9kb3ducmV2LnhtbESPzYrCMBSF98K8Q7gDs9N0HNRSjSKKjCgurCK4u9Nc&#10;22JzU5qM1rc3C8Hl4fzxTWatqcSNGldaVvDdi0AQZ1aXnCs4HlbdGITzyBory6TgQQ5m04/OBBNt&#10;77ynW+pzEUbYJaig8L5OpHRZQQZdz9bEwbvYxqAPssmlbvAexk0l+1E0lAZLDg8F1rQoKLum/0bB&#10;Yje6pPUmtW55Ppljed3O179/Sn19tvMxCE+tf4df7bVW0P+JBwEg4AQU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Od7cYAAADeAAAADwAAAAAAAAAAAAAAAACYAgAAZHJz&#10;L2Rvd25yZXYueG1sUEsFBgAAAAAEAAQA9QAAAIsDAAAAAA==&#10;" path="m29363,r4368,8204c25019,14402,14643,17907,5944,17907l,16914,,5698,6439,7201c14148,7201,23508,4356,29363,xe" fillcolor="#221d1d" stroked="f" strokeweight="0">
                  <v:stroke miterlimit="83231f" joinstyle="miter"/>
                  <v:path arrowok="t" textboxrect="0,0,33731,17907"/>
                </v:shape>
                <v:shape id="Shape 23851" o:spid="_x0000_s1942" style="position:absolute;left:57973;top:661;width:362;height:448;visibility:visible;mso-wrap-style:square;v-text-anchor:top" coordsize="36220,4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RTcYA&#10;AADeAAAADwAAAGRycy9kb3ducmV2LnhtbESPX2vCMBTF3wf7DuEO9jbTKg6pRhHZoGzgNv+8X5pr&#10;U2xuSpLV+u2NMNjj4ZzzO5zFarCt6MmHxrGCfJSBIK6cbrhWcNi/v8xAhIissXVMCq4UYLV8fFhg&#10;od2Ff6jfxVokCIcCFZgYu0LKUBmyGEauI07eyXmLMUlfS+3xkuC2leMse5UWG04LBjvaGKrOu1+r&#10;4Jt9+enNW7v56vuP63Z9nPgyV+r5aVjPQUQa4n/4r11qBePJbJrD/U6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RTcYAAADeAAAADwAAAAAAAAAAAAAAAACYAgAAZHJz&#10;L2Rvd25yZXYueG1sUEsFBgAAAAAEAAQA9QAAAIsDAAAAAA==&#10;" path="m2261,c27686,,36220,22924,34557,44844l,44844,,34798r20828,c20828,21755,15316,10706,2083,10706l,11164,,402,2261,xe" fillcolor="#221d1d" stroked="f" strokeweight="0">
                  <v:stroke miterlimit="83231f" joinstyle="miter"/>
                  <v:path arrowok="t" textboxrect="0,0,36220,44844"/>
                </v:shape>
                <v:shape id="Shape 23852" o:spid="_x0000_s1943" style="position:absolute;left:58447;top:661;width:410;height:877;visibility:visible;mso-wrap-style:square;v-text-anchor:top" coordsize="41002,8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8gMcA&#10;AADeAAAADwAAAGRycy9kb3ducmV2LnhtbESPQWsCMRSE7wX/Q3iCF9GsayuyNYqIgngpVQ/29ti8&#10;7m7dvCxJ1PXfG0HocZiZb5jZojW1uJLzlWUFo2ECgji3uuJCwfGwGUxB+ICssbZMCu7kYTHvvM0w&#10;0/bG33Tdh0JECPsMFZQhNJmUPi/JoB/ahjh6v9YZDFG6QmqHtwg3tUyTZCINVhwXSmxoVVJ+3l+M&#10;Aj6d3dfh2Hej07JZv//9mPq+S5XqddvlJ4hAbfgPv9pbrSAdTz9SeN6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2fIDHAAAA3gAAAA8AAAAAAAAAAAAAAAAAmAIAAGRy&#10;cy9kb3ducmV2LnhtbFBLBQYAAAAABAAEAPUAAACMAwAAAAA=&#10;" path="m38646,r2356,477l41002,10747r-172,-41c23431,10706,16243,24435,16243,42164v,17907,7683,34798,23584,34798l41002,76664r,9940l36969,87668c14389,87668,,69596,,42824,,21082,15735,,38646,xe" fillcolor="#221d1d" stroked="f" strokeweight="0">
                  <v:stroke miterlimit="83231f" joinstyle="miter"/>
                  <v:path arrowok="t" textboxrect="0,0,41002,87668"/>
                </v:shape>
                <v:shape id="Shape 23853" o:spid="_x0000_s1944" style="position:absolute;left:58857;top:288;width:398;height:1239;visibility:visible;mso-wrap-style:square;v-text-anchor:top" coordsize="39833,12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WcgA&#10;AADeAAAADwAAAGRycy9kb3ducmV2LnhtbESPQWvCQBSE74X+h+UJvZS6MaGi0VVKaUE8FNQGr8/s&#10;MxvMvg3ZrUn/vVsoeBxm5htmuR5sI67U+dqxgsk4AUFcOl1zpeD78PkyA+EDssbGMSn4JQ/r1ePD&#10;EnPtet7RdR8qESHsc1RgQmhzKX1pyKIfu5Y4emfXWQxRdpXUHfYRbhuZJslUWqw5Lhhs6d1Qedn/&#10;WAW2zkyzO8w3z0V6nJwu26L/+iiUehoNbwsQgYZwD/+3N1pBms1eM/i7E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TxZyAAAAN4AAAAPAAAAAAAAAAAAAAAAAJgCAABk&#10;cnMvZG93bnJldi54bWxQSwUGAAAAAAQABAD1AAAAjQMAAAAA&#10;" path="m24758,l39833,r,122974l24758,122974r,-13221l24428,109753v-2927,4103,-6607,7909,-11273,10691l,123916r,-9940l10571,111292c20429,105574,24758,92399,24758,78473v,-11801,-4800,-23031,-14118,-27909l,48059,,37789r13365,2705c17989,42586,21837,45682,24428,49695r330,l24758,xe" fillcolor="#221d1d" stroked="f" strokeweight="0">
                  <v:stroke miterlimit="83231f" joinstyle="miter"/>
                  <v:path arrowok="t" textboxrect="0,0,39833,123916"/>
                </v:shape>
                <v:shape id="Shape 23854" o:spid="_x0000_s1945" style="position:absolute;left:59464;top:1754;width:372;height:182;visibility:visible;mso-wrap-style:square;v-text-anchor:top" coordsize="37142,1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BgsQA&#10;AADeAAAADwAAAGRycy9kb3ducmV2LnhtbESPQWvCQBSE7wX/w/IKvdVNrZU0ukoolXpN7MXbI/vM&#10;BrNvw+6q8d93BaHHYWa+YVab0fbiQj50jhW8TTMQxI3THbcKfvfb1xxEiMgae8ek4EYBNuvJ0woL&#10;7a5c0aWOrUgQDgUqMDEOhZShMWQxTN1AnLyj8xZjkr6V2uM1wW0vZ1m2kBY7TgsGB/oy1Jzqs1Ww&#10;/f70h5IM3xZlyKuf04iHulLq5XkslyAijfE//GjvtILZe/4xh/udd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wYLEAAAA3gAAAA8AAAAAAAAAAAAAAAAAmAIAAGRycy9k&#10;b3ducmV2LnhtbFBLBQYAAAAABAAEAPUAAACJAwAAAAA=&#10;" path="m4179,c14389,5855,23749,7531,34125,7531l37142,6306r,11514l34455,18237c22073,18237,9703,15888,,9868l4179,xe" fillcolor="#221d1d" stroked="f" strokeweight="0">
                  <v:stroke miterlimit="83231f" joinstyle="miter"/>
                  <v:path arrowok="t" textboxrect="0,0,37142,18237"/>
                </v:shape>
                <v:shape id="Shape 23855" o:spid="_x0000_s1946" style="position:absolute;left:59426;top:661;width:410;height:877;visibility:visible;mso-wrap-style:square;v-text-anchor:top" coordsize="41002,8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9McA&#10;AADeAAAADwAAAGRycy9kb3ducmV2LnhtbESPQWsCMRSE70L/Q3iFXqRmXbXIahQpFcSLVD3Y22Pz&#10;3N26eVmSqOu/N4LgcZiZb5jpvDW1uJDzlWUF/V4Cgji3uuJCwX63/ByD8AFZY22ZFNzIw3z21pli&#10;pu2Vf+myDYWIEPYZKihDaDIpfV6SQd+zDXH0jtYZDFG6QmqH1wg3tUyT5EsarDgulNjQd0n5aXs2&#10;Cvhwcpvdvuv6h0XzM/z/M/VtnSr18d4uJiACteEVfrZXWkE6GI9G8Lg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f5PTHAAAA3gAAAA8AAAAAAAAAAAAAAAAAmAIAAGRy&#10;cy9kb3ducmV2LnhtbFBLBQYAAAAABAAEAPUAAACMAwAAAAA=&#10;" path="m40005,r997,242l41002,10747r-172,-41c23431,10706,16243,24435,16243,42164v,17907,7683,34798,23584,34798l41002,76663r,10050l37478,87668c14401,87668,,69596,,42824,,21082,16065,,40005,xe" fillcolor="#221d1d" stroked="f" strokeweight="0">
                  <v:stroke miterlimit="83231f" joinstyle="miter"/>
                  <v:path arrowok="t" textboxrect="0,0,41002,87668"/>
                </v:shape>
                <v:shape id="Shape 23856" o:spid="_x0000_s1947" style="position:absolute;left:59836;top:663;width:398;height:1269;visibility:visible;mso-wrap-style:square;v-text-anchor:top" coordsize="39808,12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9OccA&#10;AADeAAAADwAAAGRycy9kb3ducmV2LnhtbESPT2vCQBTE74V+h+UJvdWNlgaJriItlh7agH8OHp/Z&#10;ZzaafRuya0y/fVcQPA4z8xtmtuhtLTpqfeVYwWiYgCAunK64VLDbrl4nIHxA1lg7JgV/5GExf36a&#10;YabdldfUbUIpIoR9hgpMCE0mpS8MWfRD1xBH7+haiyHKtpS6xWuE21qOkySVFiuOCwYb+jBUnDcX&#10;q+DnN+3zzuSfX/kJV3g85PvSX5R6GfTLKYhAfXiE7+1vrWD8NnlP4XYnX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6PTnHAAAA3gAAAA8AAAAAAAAAAAAAAAAAmAIAAGRy&#10;cy9kb3ducmV2LnhtbFBLBQYAAAAABAAEAPUAAACMAwAAAAA=&#10;" path="m,l13715,3333v4516,2321,8363,5708,10713,9976l24758,13309r,-11545l39808,1764r,80645c39808,106374,28613,119616,13484,124740l,126835,,115322r17333,-7040c22123,102780,24758,94538,24758,83578r,-11380l24428,72198v-2927,4103,-6610,7909,-11214,10691l,86470,,76421,10565,73737c20422,68019,24758,54844,24758,40918v,-11801,-4800,-23031,-14118,-27909l,10504,,xe" fillcolor="#221d1d" stroked="f" strokeweight="0">
                  <v:stroke miterlimit="83231f" joinstyle="miter"/>
                  <v:path arrowok="t" textboxrect="0,0,39808,126835"/>
                </v:shape>
                <v:shape id="Shape 23857" o:spid="_x0000_s1948" style="position:absolute;left:60405;top:665;width:374;height:863;visibility:visible;mso-wrap-style:square;v-text-anchor:top" coordsize="37395,8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pf8YA&#10;AADeAAAADwAAAGRycy9kb3ducmV2LnhtbESPQWvCQBSE74X+h+UVequbWqyauopVgj0JSfT+yL4m&#10;odm3MbtN0n/fFQSPw8x8w6w2o2lET52rLSt4nUQgiAuray4VnPLkZQHCeWSNjWVS8EcONuvHhxXG&#10;2g6cUp/5UgQIuxgVVN63sZSuqMigm9iWOHjftjPog+xKqTscAtw0chpF79JgzWGhwpZ2FRU/2a8J&#10;lItO++j8iUtnjod9UtTHLN8p9fw0bj9AeBr9PXxrf2kF07fFbA7XO+E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opf8YAAADeAAAADwAAAAAAAAAAAAAAAACYAgAAZHJz&#10;L2Rvd25yZXYueG1sUEsFBgAAAAAEAAQA9QAAAIsDAAAAAA==&#10;" path="m37395,r,10764l29197,12564c20610,16831,16945,26368,16573,34397r20822,l37395,44443r-21838,c15433,56988,22082,68782,32400,73895r4995,1166l37395,86276,25551,84297c9694,78399,,63842,,41763,,20056,11673,7192,25481,2117l37395,xe" fillcolor="#221d1d" stroked="f" strokeweight="0">
                  <v:stroke miterlimit="83231f" joinstyle="miter"/>
                  <v:path arrowok="t" textboxrect="0,0,37395,86276"/>
                </v:shape>
                <v:shape id="Shape 23858" o:spid="_x0000_s1949" style="position:absolute;left:60779;top:1359;width:337;height:179;visibility:visible;mso-wrap-style:square;v-text-anchor:top" coordsize="33712,17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UOMQA&#10;AADeAAAADwAAAGRycy9kb3ducmV2LnhtbERPz2vCMBS+D/wfwhO8zVTdpHamRYRBT4JVZMdH89aW&#10;NS81yWr33y+HwY4f3+99MZlejOR8Z1nBapmAIK6t7rhRcL28P6cgfEDW2FsmBT/kochnT3vMtH3w&#10;mcYqNCKGsM9QQRvCkEnp65YM+qUdiCP3aZ3BEKFrpHb4iOGml+sk2UqDHceGFgc6tlR/Vd9Ggfs4&#10;HXe3Ku3vcqrC7nR+WV3rUqnFfDq8gQg0hX/xn7vUCtab9DXujXfiF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FDjEAAAA3gAAAA8AAAAAAAAAAAAAAAAAmAIAAGRycy9k&#10;b3ducmV2LnhtbFBLBQYAAAAABAAEAPUAAACJAwAAAAA=&#10;" path="m29356,r4356,8204c25012,14402,14649,17907,5937,17907l,16915,,5700,6432,7201c14141,7201,23501,4356,29356,xe" fillcolor="#221d1d" stroked="f" strokeweight="0">
                  <v:stroke miterlimit="83231f" joinstyle="miter"/>
                  <v:path arrowok="t" textboxrect="0,0,33712,17907"/>
                </v:shape>
                <v:shape id="Shape 23859" o:spid="_x0000_s1950" style="position:absolute;left:60779;top:661;width:362;height:448;visibility:visible;mso-wrap-style:square;v-text-anchor:top" coordsize="36226,4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w1ccA&#10;AADeAAAADwAAAGRycy9kb3ducmV2LnhtbESP0WrCQBRE3wv+w3IF3+rGlEqMrmKLBW0fiqsfcMle&#10;k2D2bppdNf69Wyj0cZiZM8xi1dtGXKnztWMFk3ECgrhwpuZSwfHw8ZyB8AHZYOOYFNzJw2o5eFpg&#10;btyN93TVoRQRwj5HBVUIbS6lLyqy6MeuJY7eyXUWQ5RdKU2Htwi3jUyTZCot1hwXKmzpvaLirC9W&#10;gUk/v5p087PTGt++i+nmPtlmWqnRsF/PQQTqw3/4r701CtKX7HUGv3fi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b8NXHAAAA3gAAAA8AAAAAAAAAAAAAAAAAmAIAAGRy&#10;cy9kb3ducmV2LnhtbFBLBQYAAAAABAAEAPUAAACMAwAAAAA=&#10;" path="m2254,c27692,,36226,22924,34550,44844l,44844,,34798r20821,c20821,21755,15297,10706,2089,10706l,11165,,401,2254,xe" fillcolor="#221d1d" stroked="f" strokeweight="0">
                  <v:stroke miterlimit="83231f" joinstyle="miter"/>
                  <v:path arrowok="t" textboxrect="0,0,36226,44844"/>
                </v:shape>
                <v:shape id="Shape 23860" o:spid="_x0000_s1951" style="position:absolute;left:53946;top:2116;width:462;height:592;visibility:visible;mso-wrap-style:square;v-text-anchor:top" coordsize="46152,5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7sQA&#10;AADeAAAADwAAAGRycy9kb3ducmV2LnhtbESPy2rCQBSG9wXfYTiCuzrRSgypo5RCoYIuvDzAaeaY&#10;CWbOhMw0l7d3FoLLn//Gt9kNthYdtb5yrGAxT0AQF05XXCq4Xn7eMxA+IGusHZOCkTzstpO3Deba&#10;9Xyi7hxKEUfY56jAhNDkUvrCkEU/dw1x9G6utRiibEupW+zjuK3lMklSabHi+GCwoW9Dxf38bxUc&#10;9tpLc2xO4Sazv26djqu0H5WaTYevTxCBhvAKP9u/WsHyI0sjQMSJKC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9u7EAAAA3gAAAA8AAAAAAAAAAAAAAAAAmAIAAGRycy9k&#10;b3ducmV2LnhtbFBLBQYAAAAABAAEAPUAAACJAwAAAAA=&#10;" path="m,l46152,r,5918l27127,5918r,53277l18936,59195r,-53277l,5918,,xe" fillcolor="#221d1d" stroked="f" strokeweight="0">
                  <v:stroke miterlimit="83231f" joinstyle="miter"/>
                  <v:path arrowok="t" textboxrect="0,0,46152,59195"/>
                </v:shape>
                <v:shape id="Shape 23861" o:spid="_x0000_s1952" style="position:absolute;left:54365;top:2436;width:166;height:282;visibility:visible;mso-wrap-style:square;v-text-anchor:top" coordsize="16618,2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72cgA&#10;AADeAAAADwAAAGRycy9kb3ducmV2LnhtbESPT2vCQBTE74LfYXmFXkQ3puKf1FXEInjwUhX1+Mw+&#10;k2D2bchuTfz23YLQ4zAzv2Hmy9aU4kG1KywrGA4iEMSp1QVnCo6HTX8KwnlkjaVlUvAkB8tFtzPH&#10;RNuGv+mx95kIEHYJKsi9rxIpXZqTQTewFXHwbrY26IOsM6lrbALclDKOorE0WHBYyLGidU7pff9j&#10;FOyaw9co2pxm297oPLld7DV+Xq5Kvb+1q08Qnlr/H361t1pB/DEdD+HvTr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THvZyAAAAN4AAAAPAAAAAAAAAAAAAAAAAJgCAABk&#10;cnMvZG93bnJldi54bWxQSwUGAAAAAAQABAD1AAAAjQMAAAAA&#10;" path="m16618,r,5212l10435,8519c8731,10244,7861,12380,7861,15047v,4394,3036,7176,6096,7176l16618,20577r,5128l12002,28141c4902,28141,,23074,,15123,,7770,6248,3122,15049,493l16618,xe" fillcolor="#221d1d" stroked="f" strokeweight="0">
                  <v:stroke miterlimit="83231f" joinstyle="miter"/>
                  <v:path arrowok="t" textboxrect="0,0,16618,28141"/>
                </v:shape>
                <v:shape id="Shape 23862" o:spid="_x0000_s1953" style="position:absolute;left:54393;top:2277;width:138;height:93;visibility:visible;mso-wrap-style:square;v-text-anchor:top" coordsize="13837,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bcYA&#10;AADeAAAADwAAAGRycy9kb3ducmV2LnhtbESPQWvCQBSE7wX/w/KE3urGFKykrqLVgLdStT0/sq/Z&#10;aPZtml1j8u+7hYLHYWa+YRar3taio9ZXjhVMJwkI4sLpiksFp2P+NAfhA7LG2jEpGMjDajl6WGCm&#10;3Y0/qDuEUkQI+wwVmBCaTEpfGLLoJ64hjt63ay2GKNtS6hZvEW5rmSbJTFqsOC4YbOjNUHE5XK2C&#10;z01a03lYvw9DbtzL9qvLdz9Sqcdxv34FEagP9/B/e68VpM/zWQp/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a/bcYAAADeAAAADwAAAAAAAAAAAAAAAACYAgAAZHJz&#10;L2Rvd25yZXYueG1sUEsFBgAAAAAEAAQA9QAAAIsDAAAAAA==&#10;" path="m13837,r,4832l2959,9318,,5508,13837,xe" fillcolor="#221d1d" stroked="f" strokeweight="0">
                  <v:stroke miterlimit="83231f" joinstyle="miter"/>
                  <v:path arrowok="t" textboxrect="0,0,13837,9318"/>
                </v:shape>
                <v:shape id="Shape 23863" o:spid="_x0000_s1954" style="position:absolute;left:54531;top:2275;width:181;height:433;visibility:visible;mso-wrap-style:square;v-text-anchor:top" coordsize="18129,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9FcYA&#10;AADeAAAADwAAAGRycy9kb3ducmV2LnhtbESPQWvCQBSE70L/w/KE3nRjBJXoKqWoLQiCUdrrM/vM&#10;hmbfhuxW03/fFQSPw8x8wyxWna3FlVpfOVYwGiYgiAunKy4VnI6bwQyED8gaa8ek4I88rJYvvQVm&#10;2t34QNc8lCJC2GeowITQZFL6wpBFP3QNcfQurrUYomxLqVu8RbitZZokE2mx4rhgsKF3Q8VP/msV&#10;TA/nzXaPH/W6Ksz5Oy+/dkeZKvXa797mIAJ14Rl+tD+1gnQ8m4zhf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o9FcYAAADeAAAADwAAAAAAAAAAAAAAAACYAgAAZHJz&#10;L2Rvd25yZXYueG1sUEsFBgAAAAAEAAQA9QAAAIsDAAAAAA==&#10;" path="m615,c6965,,16275,2032,16275,14376r,18606c16275,36208,16694,40259,18129,43307r-8281,c8832,41529,8655,38824,8655,36106l5950,38735,,41874,,36746,5407,33403c7689,30083,9169,25114,8655,18517l1390,20638,,21381,,16169,8655,13449c8324,8293,4337,4991,209,4991l,5077,,245,615,xe" fillcolor="#221d1d" stroked="f" strokeweight="0">
                  <v:stroke miterlimit="83231f" joinstyle="miter"/>
                  <v:path arrowok="t" textboxrect="0,0,18129,43307"/>
                </v:shape>
                <v:shape id="Shape 23864" o:spid="_x0000_s1955" style="position:absolute;left:54748;top:2276;width:420;height:643;visibility:visible;mso-wrap-style:square;v-text-anchor:top" coordsize="42037,6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fMgA&#10;AADeAAAADwAAAGRycy9kb3ducmV2LnhtbESPQWvCQBSE7wX/w/IEb3VT04pNXUUErUV6UFt6fc2+&#10;JsHs27C7MfHfdwtCj8PMfMPMl72pxYWcrywreBgnIIhzqysuFHycNvczED4ga6wtk4IreVguBndz&#10;zLTt+ECXYyhEhLDPUEEZQpNJ6fOSDPqxbYij92OdwRClK6R22EW4qeUkSabSYMVxocSG1iXl52Nr&#10;FOzbtjs8f0u2zdPru3s7fW0/01Sp0bBfvYAI1If/8K290wom6Wz6CH934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4J8yAAAAN4AAAAPAAAAAAAAAAAAAAAAAJgCAABk&#10;cnMvZG93bnJldi54bWxQSwUGAAAAAAQABAD1AAAAjQMAAAAA&#10;" path="m8966,v4318,10744,8725,21565,12929,34341l22073,34341c26467,21565,30874,10744,35344,r6693,1613l20307,50571c16332,59525,11087,64262,3810,64262l,64262,,58865r2959,c8204,58865,11925,57506,17932,40754l1359,2121,8966,xe" fillcolor="#221d1d" stroked="f" strokeweight="0">
                  <v:stroke miterlimit="83231f" joinstyle="miter"/>
                  <v:path arrowok="t" textboxrect="0,0,42037,64262"/>
                </v:shape>
                <v:shape id="Shape 230926" o:spid="_x0000_s1956" style="position:absolute;left:55235;top:2086;width:92;height:622;visibility:visible;mso-wrap-style:square;v-text-anchor:top" coordsize="9144,6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aQMUA&#10;AADfAAAADwAAAGRycy9kb3ducmV2LnhtbESPT2sCMRTE7wW/Q3hCL6KJaxFdjSLSgnirf+6PzXN3&#10;cfOyJlG3374pCD0OM/MbZrnubCMe5EPtWMN4pEAQF87UXGo4Hb+GMxAhIhtsHJOGHwqwXvXelpgb&#10;9+RvehxiKRKEQ44aqhjbXMpQVGQxjFxLnLyL8xZjkr6UxuMzwW0jM6Wm0mLNaaHClrYVFdfD3Wq4&#10;BJq4D4q0d/7zfBsc1aDdnbR+73ebBYhIXfwPv9o7oyGbqHk2hb8/6Qv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hpAxQAAAN8AAAAPAAAAAAAAAAAAAAAAAJgCAABkcnMv&#10;ZG93bnJldi54bWxQSwUGAAAAAAQABAD1AAAAigMAAAAA&#10;" path="m,l9144,r,62154l,62154,,e" fillcolor="#221d1d" stroked="f" strokeweight="0">
                  <v:stroke miterlimit="83231f" joinstyle="miter"/>
                  <v:path arrowok="t" textboxrect="0,0,9144,62154"/>
                </v:shape>
                <v:shape id="Shape 23866" o:spid="_x0000_s1957" style="position:absolute;left:55408;top:2275;width:208;height:443;visibility:visible;mso-wrap-style:square;v-text-anchor:top" coordsize="20847,4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eccA&#10;AADeAAAADwAAAGRycy9kb3ducmV2LnhtbESPQWuDQBSE74X+h+UVemvWRpDEZCNF2iKGHpL00tvD&#10;fVGp+1bcjdp/nw0Eehxm5htmm82mEyMNrrWs4HURgSCurG65VvB9+nhZgXAeWWNnmRT8kYNs9/iw&#10;xVTbiQ80Hn0tAoRdigoa7/tUSlc1ZNAtbE8cvLMdDPogh1rqAacAN51cRlEiDbYcFhrsKW+o+j1e&#10;jILuqz607z/rz31eXuIiXvtSS63U89P8tgHhafb/4Xu70AqW8SpJ4HYnXAG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kPnnHAAAA3gAAAA8AAAAAAAAAAAAAAAAAmAIAAGRy&#10;cy9kb3ducmV2LnhtbFBLBQYAAAAABAAEAPUAAACMAwAAAAA=&#10;" path="m20803,r44,18l20847,5434r-44,-24c11341,5410,8204,14034,8204,21654v,7950,2705,17246,12599,17246l20847,38875r,5416l20803,44310c8382,44310,,34760,,21654,,7950,10147,,20803,xe" fillcolor="#221d1d" stroked="f" strokeweight="0">
                  <v:stroke miterlimit="83231f" joinstyle="miter"/>
                  <v:path arrowok="t" textboxrect="0,0,20847,44310"/>
                </v:shape>
                <v:shape id="Shape 23867" o:spid="_x0000_s1958" style="position:absolute;left:55616;top:2275;width:209;height:443;visibility:visible;mso-wrap-style:square;v-text-anchor:top" coordsize="20860,4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AcgA&#10;AADeAAAADwAAAGRycy9kb3ducmV2LnhtbESPQWvCQBSE7wX/w/KE3upGbVWiq5RiqZdWjAoeH9ln&#10;Epp9G3ZXk/rr3UKhx2FmvmEWq87U4krOV5YVDAcJCOLc6ooLBYf9+9MMhA/IGmvLpOCHPKyWvYcF&#10;ptq2vKNrFgoRIexTVFCG0KRS+rwkg35gG+Lona0zGKJ0hdQO2wg3tRwlyUQarDgulNjQW0n5d3Yx&#10;Cp43a7Nu8+NLtru42+fXabw9dx9KPfa71zmIQF34D/+1N1rBaDybTOH3Trw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z8ByAAAAN4AAAAPAAAAAAAAAAAAAAAAAJgCAABk&#10;cnMvZG93bnJldi54bWxQSwUGAAAAAAQABAD1AAAAjQMAAAAA&#10;" path="m,l14408,5670v3892,3701,6452,9114,6452,15966c20860,28189,18767,33853,15108,37879l,44274,,38858,10042,33241v1924,-3318,2601,-7630,2601,-11605c12643,17826,11862,13765,9885,10657l,5416,,xe" fillcolor="#221d1d" stroked="f" strokeweight="0">
                  <v:stroke miterlimit="83231f" joinstyle="miter"/>
                  <v:path arrowok="t" textboxrect="0,0,20860,44274"/>
                </v:shape>
                <v:shape id="Shape 23868" o:spid="_x0000_s1959" style="position:absolute;left:55921;top:2275;width:239;height:433;visibility:visible;mso-wrap-style:square;v-text-anchor:top" coordsize="23863,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wsEA&#10;AADeAAAADwAAAGRycy9kb3ducmV2LnhtbERPy6rCMBDdC/5DGMGdplYQqUZR4YIX3PgAt0Mzfdhm&#10;Upuo9e/NQnB5OO/lujO1eFLrSssKJuMIBHFqdcm5gsv5bzQH4TyyxtoyKXiTg/Wq31tiou2Lj/Q8&#10;+VyEEHYJKii8bxIpXVqQQTe2DXHgMtsa9AG2udQtvkK4qWUcRTNpsOTQUGBDu4LS6vQwCtLHock2&#10;+0O1reT1evu/7+LsUio1HHSbBQhPnf+Jv+69VhBP57OwN9wJV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35MLBAAAA3gAAAA8AAAAAAAAAAAAAAAAAmAIAAGRycy9kb3du&#10;cmV2LnhtbFBLBQYAAAAABAAEAPUAAACGAwAAAAA=&#10;" path="m16828,v1879,,4661,1359,7035,4140l20396,9055c18542,8115,16675,7277,14719,7277v-3886,,-7086,3886,-7086,13284l7633,43307,,43307,,1016r7455,l7455,6261,10503,3048c12268,1270,15075,,16828,xe" fillcolor="#221d1d" stroked="f" strokeweight="0">
                  <v:stroke miterlimit="83231f" joinstyle="miter"/>
                  <v:path arrowok="t" textboxrect="0,0,23863,43307"/>
                </v:shape>
                <v:shape id="Shape 23869" o:spid="_x0000_s1960" style="position:absolute;left:57129;top:2116;width:292;height:592;visibility:visible;mso-wrap-style:square;v-text-anchor:top" coordsize="29172,5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GuMIA&#10;AADeAAAADwAAAGRycy9kb3ducmV2LnhtbESP0YrCMBRE3wX/IVxh3zRVUdquUUQQBJ9q/YBLc7cp&#10;Nje1iVr/frOw4OMwc2aYzW6wrXhS7xvHCuazBARx5XTDtYJreZymIHxA1tg6JgVv8rDbjkcbzLV7&#10;cUHPS6hFLGGfowITQpdL6StDFv3MdcTR+3G9xRBlX0vd4yuW21YukmQtLTYcFwx2dDBU3S4Pq0Cn&#10;2e08ZKvifS3PbWHKe8RRqa/JsP8GEWgIn/A/fdIKFst0ncHfnXgF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Ma4wgAAAN4AAAAPAAAAAAAAAAAAAAAAAJgCAABkcnMvZG93&#10;bnJldi54bWxQSwUGAAAAAAQABAD1AAAAhwMAAAAA&#10;" path="m,l29172,r,5918l8217,5918r,22492l28766,28410r,5918l8217,34328r,24867l,59195,,xe" fillcolor="#221d1d" stroked="f" strokeweight="0">
                  <v:stroke miterlimit="83231f" joinstyle="miter"/>
                  <v:path arrowok="t" textboxrect="0,0,29172,59195"/>
                </v:shape>
                <v:shape id="Shape 23870" o:spid="_x0000_s1961" style="position:absolute;left:57527;top:2275;width:239;height:433;visibility:visible;mso-wrap-style:square;v-text-anchor:top" coordsize="23850,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y8YA&#10;AADeAAAADwAAAGRycy9kb3ducmV2LnhtbESPzYrCMBSF94LvEK7gZtB0HBilGmWoCi4GwaoLd5fm&#10;2labm9JEbd9+shhweTh/fItVayrxpMaVlhV8jiMQxJnVJecKTsftaAbCeWSNlWVS0JGD1bLfW2Cs&#10;7YsP9Ex9LsIIuxgVFN7XsZQuK8igG9uaOHhX2xj0QTa51A2+wrip5CSKvqXBksNDgTUlBWX39GEU&#10;XD5++ZxcNrd03dF+v9klprOdUsNB+zMH4an17/B/e6cVTL5m0wAQcA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y8YAAADeAAAADwAAAAAAAAAAAAAAAACYAgAAZHJz&#10;L2Rvd25yZXYueG1sUEsFBgAAAAAEAAQA9QAAAIsDAAAAAA==&#10;" path="m16828,v1866,,4647,1359,7022,4140l20383,9055c18529,8115,16663,7277,14707,7277v-3887,,-7087,3886,-7087,13284l7620,43307,,43307,,1016r7442,l7442,6261,10490,3048c12268,1270,15062,,16828,xe" fillcolor="#221d1d" stroked="f" strokeweight="0">
                  <v:stroke miterlimit="83231f" joinstyle="miter"/>
                  <v:path arrowok="t" textboxrect="0,0,23850,43307"/>
                </v:shape>
                <v:shape id="Shape 23871" o:spid="_x0000_s1962" style="position:absolute;left:57793;top:2436;width:166;height:282;visibility:visible;mso-wrap-style:square;v-text-anchor:top" coordsize="16624,2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ARMQA&#10;AADeAAAADwAAAGRycy9kb3ducmV2LnhtbESPUWsCMRCE3wv+h7CCbzWngpWrUbQi9E2q/oDlsl7O&#10;XjZHsj2v/74pFPo4zMw3zHo7+Fb1FFMT2MBsWoAiroJtuDZwvRyfV6CSIFtsA5OBb0qw3Yye1lja&#10;8OAP6s9SqwzhVKIBJ9KVWqfKkcc0DR1x9m4hepQsY61txEeG+1bPi2KpPTacFxx29Oao+jx/eQMH&#10;t0iH/WUfq53UKKfbPfT2bsxkPOxeQQkN8h/+a79bA/PF6mUGv3fyF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AETEAAAA3gAAAA8AAAAAAAAAAAAAAAAAmAIAAGRycy9k&#10;b3ducmV2LnhtbFBLBQYAAAAABAAEAPUAAACJAwAAAAA=&#10;" path="m16624,r,5212l10437,8517c8731,10241,7862,12378,7862,15045v,4394,3047,7175,6095,7175l16624,20573r,5130l12002,28139c4915,28139,,23071,,15121,,7768,6261,3120,15063,491l16624,xe" fillcolor="#221d1d" stroked="f" strokeweight="0">
                  <v:stroke miterlimit="83231f" joinstyle="miter"/>
                  <v:path arrowok="t" textboxrect="0,0,16624,28139"/>
                </v:shape>
                <v:shape id="Shape 23872" o:spid="_x0000_s1963" style="position:absolute;left:57821;top:2277;width:138;height:93;visibility:visible;mso-wrap-style:square;v-text-anchor:top" coordsize="13829,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LgcUA&#10;AADeAAAADwAAAGRycy9kb3ducmV2LnhtbESP0WoCMRRE3wv+Q7hC32rWLVRdjSKCti8iVT/gurnu&#10;LiY3SxJ1269vBKGPw8ycYWaLzhpxIx8axwqGgwwEcel0w5WC42H9NgYRIrJG45gU/FCAxbz3MsNC&#10;uzt/020fK5EgHApUUMfYFlKGsiaLYeBa4uSdnbcYk/SV1B7vCW6NzLPsQ1psOC3U2NKqpvKyv1oF&#10;p10uJ3pbfdrN5fTrz4lqzFap1363nIKI1MX/8LP9pRXk7+NRDo876Q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kuBxQAAAN4AAAAPAAAAAAAAAAAAAAAAAJgCAABkcnMv&#10;ZG93bnJldi54bWxQSwUGAAAAAAQABAD1AAAAigMAAAAA&#10;" path="m13829,r,4827l2959,9315,,5505,13829,xe" fillcolor="#221d1d" stroked="f" strokeweight="0">
                  <v:stroke miterlimit="83231f" joinstyle="miter"/>
                  <v:path arrowok="t" textboxrect="0,0,13829,9315"/>
                </v:shape>
                <v:shape id="Shape 23873" o:spid="_x0000_s1964" style="position:absolute;left:57959;top:2275;width:181;height:433;visibility:visible;mso-wrap-style:square;v-text-anchor:top" coordsize="18124,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y8cUA&#10;AADeAAAADwAAAGRycy9kb3ducmV2LnhtbESPQWvCQBSE7wX/w/KEXopujNCG6CoqFlo8mer9kX0m&#10;0ezbsLtq/PfdgtDjMDPfMPNlb1pxI+cbywom4wQEcWl1w5WCw8/nKAPhA7LG1jIpeJCH5WLwMsdc&#10;2zvv6VaESkQI+xwV1CF0uZS+rMmgH9uOOHon6wyGKF0ltcN7hJtWpknyLg02HBdq7GhTU3kprkbB&#10;eee2j2v6fXwrOKw3SG2V8kSp12G/moEI1If/8LP9pRWk0+xjCn934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jLxxQAAAN4AAAAPAAAAAAAAAAAAAAAAAJgCAABkcnMv&#10;ZG93bnJldi54bWxQSwUGAAAAAAQABAD1AAAAigMAAAAA&#10;" path="m623,c6960,,16282,2032,16282,14376r,18606c16282,36208,16701,40259,18124,43307r-8281,c8840,41529,8662,38824,8662,36106l5957,38735,,41874,,36744,5407,33403c7690,30083,9170,25114,8662,18517l1398,20638,,21384,,16172,8662,13449c8332,8293,4344,4991,204,4991l,5075,,248,623,xe" fillcolor="#221d1d" stroked="f" strokeweight="0">
                  <v:stroke miterlimit="83231f" joinstyle="miter"/>
                  <v:path arrowok="t" textboxrect="0,0,18124,43307"/>
                </v:shape>
                <v:shape id="Shape 23874" o:spid="_x0000_s1965" style="position:absolute;left:58244;top:2275;width:370;height:433;visibility:visible;mso-wrap-style:square;v-text-anchor:top" coordsize="36957,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4MMYA&#10;AADeAAAADwAAAGRycy9kb3ducmV2LnhtbESPQWvCQBSE7wX/w/KE3uqmKjbEbEQEodRTtRSPr9ln&#10;kpp9G3Y3Jv33bqHQ4zAz3zD5ZjStuJHzjWUFz7MEBHFpdcOVgo/T/ikF4QOyxtYyKfghD5ti8pBj&#10;pu3A73Q7hkpECPsMFdQhdJmUvqzJoJ/Zjjh6F+sMhihdJbXDIcJNK+dJspIGG44LNXa0q6m8Hnuj&#10;YNUv2sO2P1+/z8Mbkft0h7H7UupxOm7XIAKN4T/8137VCuaL9GUJv3fiFZ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G4MMYAAADeAAAADwAAAAAAAAAAAAAAAACYAgAAZHJz&#10;L2Rvd25yZXYueG1sUEsFBgAAAAAEAAQA9QAAAIsDAAAAAA==&#10;" path="m21996,v9716,,14961,5410,14961,16078l36957,43307r-7608,l29349,17678c29349,9728,25959,5575,19114,5575,13132,5575,7620,9728,7620,17843r,25464l,43307,,1016r7544,l7544,6261c11519,2032,17602,,21996,xe" fillcolor="#221d1d" stroked="f" strokeweight="0">
                  <v:stroke miterlimit="83231f" joinstyle="miter"/>
                  <v:path arrowok="t" textboxrect="0,0,36957,43307"/>
                </v:shape>
                <v:shape id="Shape 23875" o:spid="_x0000_s1966" style="position:absolute;left:58710;top:2275;width:354;height:443;visibility:visible;mso-wrap-style:square;v-text-anchor:top" coordsize="35357,4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5t8cA&#10;AADeAAAADwAAAGRycy9kb3ducmV2LnhtbESPW2vCQBCF3wv9D8sU+qYbL60SXUULSim+1Av4OGTH&#10;JJidDbtrEv+9WxD6eDhzvjNnvuxMJRpyvrSsYNBPQBBnVpecKzgeNr0pCB+QNVaWScGdPCwXry9z&#10;TLVt+ZeafchFhLBPUUERQp1K6bOCDPq+rYmjd7HOYIjS5VI7bCPcVHKYJJ/SYMmxocCavgrKrvub&#10;iW+MdXParbc/4bYZyfZ8n4xzckq9v3WrGYhAXfg/fqa/tYLhaDr5gL85kQF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ubfHAAAA3gAAAA8AAAAAAAAAAAAAAAAAmAIAAGRy&#10;cy9kb3ducmV2LnhtbFBLBQYAAAAABAAEAPUAAACMAwAAAAA=&#10;" path="m22923,v4293,,8192,1092,11329,3467l31712,7772c29273,6591,26124,5575,22999,5575v-6933,,-14795,4560,-14795,16079c8204,30442,12688,38722,22923,38722v3633,,7011,-927,10313,-3035l35357,39916v-4153,2959,-9144,4394,-12776,4394c2540,44310,,27902,,22073,,11494,7036,,22923,xe" fillcolor="#221d1d" stroked="f" strokeweight="0">
                  <v:stroke miterlimit="83231f" joinstyle="miter"/>
                  <v:path arrowok="t" textboxrect="0,0,35357,44310"/>
                </v:shape>
                <v:shape id="Shape 230927" o:spid="_x0000_s1967" style="position:absolute;left:59146;top:2285;width:91;height:423;visibility:visible;mso-wrap-style:square;v-text-anchor:top" coordsize="9144,4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0WsgA&#10;AADfAAAADwAAAGRycy9kb3ducmV2LnhtbESPQWsCMRSE74X+h/AKvUjNNkqtq1FKoVa8FO3S82Pz&#10;zK7dvCybVNd/bwShx2FmvmHmy9414khdqD1reB5mIIhLb2q2Gorvj6dXECEiG2w8k4YzBVgu7u/m&#10;mBt/4i0dd9GKBOGQo4YqxjaXMpQVOQxD3xInb+87hzHJzkrT4SnBXSNVlr1IhzWnhQpbeq+o/N39&#10;OQ3+M57VV3tY2Y0tioEa/4xKu9L68aF/m4GI1Mf/8K29NhrUKJuqCVz/pC8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lLRayAAAAN8AAAAPAAAAAAAAAAAAAAAAAJgCAABk&#10;cnMvZG93bnJldi54bWxQSwUGAAAAAAQABAD1AAAAjQMAAAAA&#10;" path="m,l9144,r,42278l,42278,,e" fillcolor="#221d1d" stroked="f" strokeweight="0">
                  <v:stroke miterlimit="83231f" joinstyle="miter"/>
                  <v:path arrowok="t" textboxrect="0,0,9144,42278"/>
                </v:shape>
                <v:shape id="Shape 23877" o:spid="_x0000_s1968" style="position:absolute;left:59136;top:2100;width:96;height:97;visibility:visible;mso-wrap-style:square;v-text-anchor:top" coordsize="9652,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sR8cA&#10;AADeAAAADwAAAGRycy9kb3ducmV2LnhtbESPwW7CMBBE75X4B2uReisOVC1pikEoggqODXDgto23&#10;SUS8Tm0Xwt9jpEo9jmbmjWa26E0rzuR8Y1nBeJSAIC6tbrhSsN+tn1IQPiBrbC2Tgit5WMwHDzPM&#10;tL3wJ52LUIkIYZ+hgjqELpPSlzUZ9CPbEUfv2zqDIUpXSe3wEuGmlZMkeZUGG44LNXaU11Seil+j&#10;4M2ujFsdTu5nu+62X3l6/MiLF6Ueh/3yHUSgPvyH/9obrWDynE6ncL8Tr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bEfHAAAA3gAAAA8AAAAAAAAAAAAAAAAAmAIAAGRy&#10;cy9kb3ducmV2LnhtbFBLBQYAAAAABAAEAPUAAACMAwAAAAA=&#10;" path="m4826,c7874,,9652,2375,9652,4483v,2286,-1105,5156,-4826,5156c1105,9639,,6769,,4483,,2375,1778,,4826,xe" fillcolor="#221d1d" stroked="f" strokeweight="0">
                  <v:stroke miterlimit="83231f" joinstyle="miter"/>
                  <v:path arrowok="t" textboxrect="0,0,9652,9639"/>
                </v:shape>
                <v:shape id="Shape 23878" o:spid="_x0000_s1969" style="position:absolute;left:59305;top:2275;width:278;height:443;visibility:visible;mso-wrap-style:square;v-text-anchor:top" coordsize="27813,4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wsIA&#10;AADeAAAADwAAAGRycy9kb3ducmV2LnhtbERPS26DMBDdV+odrKnUXTHQqEU0DspXjdRVaQ8wwhNA&#10;wWOCHSC3jxeVunx6/2Uxm06MNLjWsoIkikEQV1a3XCv4/Tm8ZCCcR9bYWSYFN3JQrB4flphrO/E3&#10;jaWvRQhhl6OCxvs+l9JVDRl0ke2JA3eyg0Ef4FBLPeAUwk0n0zh+kwZbDg0N9rRtqDqXV6Ngc6yS&#10;MvnakVwk/SX+3LeU+ZtSz0/z+gOEp9n/i//cR60gfc3ew95wJ1w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7HCwgAAAN4AAAAPAAAAAAAAAAAAAAAAAJgCAABkcnMvZG93&#10;bnJldi54bWxQSwUGAAAAAAQABAD1AAAAhwMAAAAA&#10;" path="m16649,v4154,,8205,1689,10401,3886l24092,7772c21056,5740,18593,5067,16319,5067v-2718,,-6185,1270,-6185,4826c10134,13437,14033,15215,18859,18860v5410,4140,8954,7607,8954,13512c27813,39497,20803,44298,13017,44298,8191,44298,2781,42189,,38976l3708,34671v2464,2286,5753,4216,9144,4216c16408,38887,20027,37033,20027,32893v,-4902,-4394,-7023,-8343,-9893c6845,19533,2616,16650,2616,10909,2616,4216,9207,,16649,xe" fillcolor="#221d1d" stroked="f" strokeweight="0">
                  <v:stroke miterlimit="83231f" joinstyle="miter"/>
                  <v:path arrowok="t" textboxrect="0,0,27813,44298"/>
                </v:shape>
                <v:shape id="Shape 23879" o:spid="_x0000_s1970" style="position:absolute;left:59845;top:2106;width:523;height:612;visibility:visible;mso-wrap-style:square;v-text-anchor:top" coordsize="52336,6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fecgA&#10;AADeAAAADwAAAGRycy9kb3ducmV2LnhtbESPzW7CMBCE75X6DtZW4lYcgmghYFALQvQCEj8Xbku8&#10;JIF4HcUGAk+PK1XqcTQ73+yMJo0pxZVqV1hW0GlHIIhTqwvOFOy28/c+COeRNZaWScGdHEzGry8j&#10;TLS98ZquG5+JAGGXoILc+yqR0qU5GXRtWxEH72hrgz7IOpO6xluAm1LGUfQhDRYcGnKsaJpTet5c&#10;THhjOV9QkR6iLPbldvV96s0eZq9U6635GoLw1Pj/47/0j1YQd/ufA/idExggx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195yAAAAN4AAAAPAAAAAAAAAAAAAAAAAJgCAABk&#10;cnMvZG93bnJldi54bWxQSwUGAAAAAAQABAD1AAAAjQMAAAAA&#10;" path="m32982,v8610,,15392,2781,18935,5740l48539,10655c44983,8192,39573,5906,33070,5906,17678,5906,9042,16396,9042,30264v,14973,10236,25032,23076,25032c37134,55296,40856,54788,44145,53188r,-20041l52336,33147r,24092c46583,59271,39408,61214,31890,61214,10833,61214,,46672,,30442,,15469,11671,,32982,xe" fillcolor="#221d1d" stroked="f" strokeweight="0">
                  <v:stroke miterlimit="83231f" joinstyle="miter"/>
                  <v:path arrowok="t" textboxrect="0,0,52336,61214"/>
                </v:shape>
                <v:shape id="Shape 23880" o:spid="_x0000_s1971" style="position:absolute;left:60492;top:2275;width:238;height:433;visibility:visible;mso-wrap-style:square;v-text-anchor:top" coordsize="23851,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tWMUA&#10;AADeAAAADwAAAGRycy9kb3ducmV2LnhtbESPzWrCQBSF9wXfYbiF7uqkFjRGJ0GDhbaLQGPdXzK3&#10;SWjmTpgZNb69syh0eTh/fNtiMoO4kPO9ZQUv8wQEcWN1z62C7+PbcwrCB2SNg2VScCMPRT572GKm&#10;7ZW/6FKHVsQR9hkq6EIYMyl905FBP7cjcfR+rDMYonSt1A6vcdwMcpEkS2mw5/jQ4UhlR81vfTYK&#10;1vvPYXU4VdWxXPHerZsb1h+lUk+P024DItAU/sN/7XetYPGaphEg4kQU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1YxQAAAN4AAAAPAAAAAAAAAAAAAAAAAJgCAABkcnMv&#10;ZG93bnJldi54bWxQSwUGAAAAAAQABAD1AAAAigMAAAAA&#10;" path="m16815,v1880,,4648,1359,7036,4140l20384,9055c18530,8115,16663,7277,14707,7277v-3886,,-7087,3886,-7087,13284l7620,43307,,43307,,1016r7430,l7430,6261,10491,3048c12256,1270,15063,,16815,xe" fillcolor="#221d1d" stroked="f" strokeweight="0">
                  <v:stroke miterlimit="83231f" joinstyle="miter"/>
                  <v:path arrowok="t" textboxrect="0,0,23851,43307"/>
                </v:shape>
                <v:shape id="Shape 23881" o:spid="_x0000_s1972" style="position:absolute;left:60757;top:2275;width:209;height:443;visibility:visible;mso-wrap-style:square;v-text-anchor:top" coordsize="20854,4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za8YA&#10;AADeAAAADwAAAGRycy9kb3ducmV2LnhtbESPT2sCMRTE7wW/Q3iCt5pV27rdGkWkBenNv3h83bxm&#10;FzcvSxJ1++1NodDjMDO/YWaLzjbiSj7UjhWMhhkI4tLpmo2C/e7jMQcRIrLGxjEp+KEAi3nvYYaF&#10;djfe0HUbjUgQDgUqqGJsCylDWZHFMHQtcfK+nbcYk/RGao+3BLeNHGfZi7RYc1qosKVVReV5e7EK&#10;nk4a65Xxz+9fdNidzfT4+cpHpQb9bvkGIlIX/8N/7bVWMJ7k+Qh+76Qr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kza8YAAADeAAAADwAAAAAAAAAAAAAAAACYAgAAZHJz&#10;L2Rvd25yZXYueG1sUEsFBgAAAAAEAAQA9QAAAIsDAAAAAA==&#10;" path="m20803,r51,20l20854,5437r-51,-27c11328,5410,8204,14034,8204,21654v,7950,2705,17246,12599,17246l20854,38872r,5417l20803,44310c8382,44310,,34760,,21654,,7950,10147,,20803,xe" fillcolor="#221d1d" stroked="f" strokeweight="0">
                  <v:stroke miterlimit="83231f" joinstyle="miter"/>
                  <v:path arrowok="t" textboxrect="0,0,20854,44310"/>
                </v:shape>
                <v:shape id="Shape 23882" o:spid="_x0000_s1973" style="position:absolute;left:60966;top:2275;width:208;height:443;visibility:visible;mso-wrap-style:square;v-text-anchor:top" coordsize="20841,4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cd8cA&#10;AADeAAAADwAAAGRycy9kb3ducmV2LnhtbESPQWsCMRSE7wX/Q3iCt5p1pWVZjSILpQo9tOpBb4/N&#10;M1ncvCybqNt/3xQKPQ4z8w2zXA+uFXfqQ+NZwWyagSCuvW7YKDge3p4LECEia2w9k4JvCrBejZ6W&#10;WGr/4C+676MRCcKhRAU2xq6UMtSWHIap74iTd/G9w5hkb6Tu8ZHgrpV5lr1Khw2nBYsdVZbq6/7m&#10;FHy+zI057S7V2R6OWdUNH++FDUpNxsNmASLSEP/Df+2tVpDPiyKH3zvp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3nHfHAAAA3gAAAA8AAAAAAAAAAAAAAAAAmAIAAGRy&#10;cy9kb3ducmV2LnhtbFBLBQYAAAAABAAEAPUAAACMAwAAAAA=&#10;" path="m,l14391,5668v3890,3700,6450,9114,6450,15965c20841,28187,18748,33851,15091,37877l,44269,,38851,10042,33238v1928,-3318,2607,-7630,2607,-11605c12649,17823,11864,13763,9885,10654l,5417,,xe" fillcolor="#221d1d" stroked="f" strokeweight="0">
                  <v:stroke miterlimit="83231f" joinstyle="miter"/>
                  <v:path arrowok="t" textboxrect="0,0,20841,44269"/>
                </v:shape>
                <v:shape id="Shape 23883" o:spid="_x0000_s1974" style="position:absolute;left:61267;top:2285;width:361;height:433;visibility:visible;mso-wrap-style:square;v-text-anchor:top" coordsize="36119,4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gaMUA&#10;AADeAAAADwAAAGRycy9kb3ducmV2LnhtbESPQWvCQBSE7wX/w/IK3uqmBkoSXUUFQXozCl4f2dck&#10;NPs27q6a+uu7guBxmJlvmPlyMJ24kvOtZQWfkwQEcWV1y7WC42H7kYHwAVljZ5kU/JGH5WL0NsdC&#10;2xvv6VqGWkQI+wIVNCH0hZS+asign9ieOHo/1hkMUbpaaoe3CDednCbJlzTYclxosKdNQ9VveTEK&#10;XH7a52l5X5m8dtvvs13ffbJWavw+rGYgAg3hFX62d1rBNM2yFB534hW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BoxQAAAN4AAAAPAAAAAAAAAAAAAAAAAJgCAABkcnMv&#10;ZG93bnJldi54bWxQSwUGAAAAAAQABAD1AAAAigMAAAAA&#10;" path="m,l7620,r,25540c7620,33490,10998,37706,17843,37706v5842,,10655,-4813,10655,-13017l28498,r7621,l36119,42278r-7532,l28587,37376v-4305,3721,-8115,5918,-13614,5918c5245,43294,,37871,,27229l,xe" fillcolor="#221d1d" stroked="f" strokeweight="0">
                  <v:stroke miterlimit="83231f" joinstyle="miter"/>
                  <v:path arrowok="t" textboxrect="0,0,36119,43294"/>
                </v:shape>
                <v:shape id="Shape 23884" o:spid="_x0000_s1975" style="position:absolute;left:61753;top:2283;width:202;height:636;visibility:visible;mso-wrap-style:square;v-text-anchor:top" coordsize="20124,63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fWccA&#10;AADeAAAADwAAAGRycy9kb3ducmV2LnhtbESPzWrDMBCE74W8g9hAb41spzTGjRxKIJBT0/zR6yJt&#10;bVNr5VpK7Lx9VSjkOMzMN8xyNdpWXKn3jWMF6SwBQaydabhScDpunnIQPiAbbB2Tght5WJWThyUW&#10;xg28p+shVCJC2BeooA6hK6T0uiaLfuY64uh9ud5iiLKvpOlxiHDbyixJXqTFhuNCjR2ta9Lfh4tV&#10;MH7qHzsf2sVun52r9eL9vNEfqVKP0/HtFUSgMdzD/+2tUZDN8/wZ/u7EKy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3X1nHAAAA3gAAAA8AAAAAAAAAAAAAAAAAmAIAAGRy&#10;cy9kb3ducmV2LnhtbFBLBQYAAAAABAAEAPUAAACMAwAAAAA=&#10;" path="m20124,r,4925l11014,9271c8772,12306,7607,16706,7607,22167v,4052,927,8024,3039,10983l20124,37733r,5395l7772,36874r-165,l7607,63595,,63595,,184r7607,l7607,6775r165,l20124,xe" fillcolor="#221d1d" stroked="f" strokeweight="0">
                  <v:stroke miterlimit="83231f" joinstyle="miter"/>
                  <v:path arrowok="t" textboxrect="0,0,20124,63595"/>
                </v:shape>
                <v:shape id="Shape 23885" o:spid="_x0000_s1976" style="position:absolute;left:61955;top:2275;width:202;height:443;visibility:visible;mso-wrap-style:square;v-text-anchor:top" coordsize="20250,4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4wOcYA&#10;AADeAAAADwAAAGRycy9kb3ducmV2LnhtbESPzYrCQBCE78K+w9ALXsI6WcUYoqO4QsCL4N/em0yb&#10;BDM9ITNq9u13BMFjUV1fdS1WvWnEnTpXW1bwPYpBEBdW11wqOJ/yrxSE88gaG8uk4I8crJYfgwVm&#10;2j74QPejL0WAsMtQQeV9m0npiooMupFtiYN3sZ1BH2RXSt3hI8BNI8dxnEiDNYeGClvaVFRcjzcT&#10;3mjz2en2k0TRmvdpdN39xluTKzX87NdzEJ56/z5+pbdawXiSplN4zgkM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4wOcYAAADeAAAADwAAAAAAAAAAAAAAAACYAgAAZHJz&#10;L2Rvd25yZXYueG1sUEsFBgAAAAAEAAQA9QAAAIsDAAAAAA==&#10;" path="m1517,c9765,,14567,3699,17305,8158r2945,10971l20250,22327,15360,37408c11903,41656,6890,44297,667,44297l,43960,,38565r667,323c9810,38888,12516,28664,12516,20968,12516,13284,8617,5397,755,5397l,5757,,832,1517,xe" fillcolor="#221d1d" stroked="f" strokeweight="0">
                  <v:stroke miterlimit="83231f" joinstyle="miter"/>
                  <v:path arrowok="t" textboxrect="0,0,20250,44297"/>
                </v:shape>
                <v:shape id="Shape 23886" o:spid="_x0000_s1977" style="position:absolute;left:56359;top:2106;width:226;height:612;visibility:visible;mso-wrap-style:square;v-text-anchor:top" coordsize="22593,6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rYsYA&#10;AADeAAAADwAAAGRycy9kb3ducmV2LnhtbESPQUvDQBSE74L/YXmCN7sxQg2xm6CFQg8ebPVgbs/s&#10;MxvMvg3Z1zT+e1cQPA4z8w2zqRc/qJmm2Ac2cLvKQBG3wfbcGXh73d0UoKIgWxwCk4FvilBXlxcb&#10;LG0484Hmo3QqQTiWaMCJjKXWsXXkMa7CSJy8zzB5lCSnTtsJzwnuB51n2Vp77DktOBxp66j9Op68&#10;gWd3arbNyyIi9x84u+HpPeQHY66vlscHUEKL/If/2ntrIL8rijX83klXQ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jrYsYAAADeAAAADwAAAAAAAAAAAAAAAACYAgAAZHJz&#10;L2Rvd25yZXYueG1sUEsFBgAAAAAEAAQA9QAAAIsDAAAAAA==&#10;" path="m20803,r1790,599l22593,6267,21577,5918v-5512,,-8293,3137,-8293,6846c13284,16154,15392,19279,21222,24600r1371,1279l22593,36074,16408,30518c11087,33477,8801,37884,8801,42786v,5411,4229,12853,13195,12853l22593,55482r,5388l21069,61214c2629,61214,,47181,,43548,,35776,5677,29693,12700,26467,9398,23330,4991,19279,4991,13195,4991,6248,11341,,20803,xe" fillcolor="#221d1d" stroked="f" strokeweight="0">
                  <v:stroke miterlimit="83231f" joinstyle="miter"/>
                  <v:path arrowok="t" textboxrect="0,0,22593,61214"/>
                </v:shape>
                <v:shape id="Shape 23887" o:spid="_x0000_s1978" style="position:absolute;left:56585;top:2364;width:350;height:354;visibility:visible;mso-wrap-style:square;v-text-anchor:top" coordsize="35090,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YCcgA&#10;AADeAAAADwAAAGRycy9kb3ducmV2LnhtbESP0WrCQBRE34X+w3KFvkjdNIpdoqtoQW0pSKt+wCV7&#10;TUKzd0N2q/Hvu4Lg4zAzZ5jZorO1OFPrK8caXocJCOLcmYoLDcfD+kWB8AHZYO2YNFzJw2L+1Jth&#10;ZtyFf+i8D4WIEPYZaihDaDIpfV6SRT90DXH0Tq61GKJsC2lavES4rWWaJBNpseK4UGJD7yXlv/s/&#10;q2E7/h7srqd0s1JqtUw2n9svtR5p/dzvllMQgbrwCN/bH0ZDOlLqDW534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UdgJyAAAAN4AAAAPAAAAAAAAAAAAAAAAAJgCAABk&#10;cnMvZG93bnJldi54bWxQSwUGAAAAAAQABAD1AAAAjQMAAAAA&#10;" path="m,l17590,16400v1663,-3366,1422,-8420,114,-12815l24283,3585v1041,4991,685,11303,-2134,16891l35090,31538r-7531,3797l17920,26458v-2280,2578,-5093,4797,-8360,6372l,34991,,29603,8112,27468v2473,-1362,4442,-3156,5680,-4883l,10195,,xe" fillcolor="#221d1d" stroked="f" strokeweight="0">
                  <v:stroke miterlimit="83231f" joinstyle="miter"/>
                  <v:path arrowok="t" textboxrect="0,0,35090,35335"/>
                </v:shape>
                <v:shape id="Shape 23888" o:spid="_x0000_s1979" style="position:absolute;left:56585;top:2112;width:103;height:81;visibility:visible;mso-wrap-style:square;v-text-anchor:top" coordsize="10313,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Vb8MA&#10;AADeAAAADwAAAGRycy9kb3ducmV2LnhtbERPXWvCMBR9H/gfwhX2NlMdSKlG0cJQ2BB0Q18vzbUt&#10;NjclyUz375cHwcfD+V6uB9OJOznfWlYwnWQgiCurW64V/Hx/vOUgfEDW2FkmBX/kYb0avSyx0Dby&#10;ke6nUIsUwr5ABU0IfSGlrxoy6Ce2J07c1TqDIUFXS+0wpnDTyVmWzaXBllNDgz2VDVW3069RcNiV&#10;269z/6kPMUQXr/vLJSt3Sr2Oh80CRKAhPMUP914rmL3nedqb7qQr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yVb8MAAADeAAAADwAAAAAAAAAAAAAAAACYAgAAZHJzL2Rv&#10;d25yZXYueG1sUEsFBgAAAAAEAAQA9QAAAIgDAAAAAA==&#10;" path="m,l10313,3452,7341,8189,,5668,,xe" fillcolor="#221d1d" stroked="f" strokeweight="0">
                  <v:stroke miterlimit="83231f" joinstyle="miter"/>
                  <v:path arrowok="t" textboxrect="0,0,10313,8189"/>
                </v:shape>
                <v:shape id="Shape 23889" o:spid="_x0000_s1980" style="position:absolute;left:51284;top:2771;width:232;height:274;visibility:visible;mso-wrap-style:square;v-text-anchor:top" coordsize="23184,2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Sq8cA&#10;AADeAAAADwAAAGRycy9kb3ducmV2LnhtbESP0WrCQBRE3wv+w3KFvtVNLZWYuoYoFEqe2ugHXLPX&#10;JJq9G7Jrkvbru4WCj8PMnGE26WRaMVDvGssKnhcRCOLS6oYrBcfD+1MMwnlkja1lUvBNDtLt7GGD&#10;ibYjf9FQ+EoECLsEFdTed4mUrqzJoFvYjjh4Z9sb9EH2ldQ9jgFuWrmMopU02HBYqLGjfU3ltbgZ&#10;Bbsol9fVK+OpOH/+dG1+GW7ZRanH+ZS9gfA0+Xv4v/2hFSxf4ngNf3fC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jkqvHAAAA3gAAAA8AAAAAAAAAAAAAAAAAmAIAAGRy&#10;cy9kb3ducmV2LnhtbFBLBQYAAAAABAAEAPUAAACMAwAAAAA=&#10;" path="m,l23184,r,25908l19583,25908r,-15291l8090,10617r,16829l,27446,,xe" fillcolor="#221d1d" stroked="f" strokeweight="0">
                  <v:stroke miterlimit="83231f" joinstyle="miter"/>
                  <v:path arrowok="t" textboxrect="0,0,23184,27446"/>
                </v:shape>
                <v:shape id="Shape 23890" o:spid="_x0000_s1981" style="position:absolute;left:51278;top:2394;width:238;height:347;visibility:visible;mso-wrap-style:square;v-text-anchor:top" coordsize="23781,3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5EcYA&#10;AADeAAAADwAAAGRycy9kb3ducmV2LnhtbESPy2rCQBSG94W+w3AKboqZqLW1qaOIwaIrqXaR5SFz&#10;csHMmZAZY3x7Z1Ho8ue/8S3Xg2lET52rLSuYRDEI4tzqmksFv+fdeAHCeWSNjWVScCcH69Xz0xIT&#10;bW/8Q/3JlyKMsEtQQeV9m0jp8ooMusi2xMErbGfQB9mVUnd4C+OmkdM4fpcGaw4PFba0rSi/nK5G&#10;gUy/M2plkR3StzJ9PX4c51ndKzV6GTZfIDwN/j/8195rBdPZ4jMABJyA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95EcYAAADeAAAADwAAAAAAAAAAAAAAAACYAgAAZHJz&#10;L2Rvd25yZXYueG1sUEsFBgAAAAAEAAQA9QAAAIsDAAAAAA==&#10;" path="m23114,r667,223l23781,10839r-667,-171c13996,10668,8839,14008,8839,19850v,1295,394,2921,1080,4280l17818,24130r,-5156l23781,18974r,15760l5423,34734c3125,31598,2439,30315,1423,27598l,19980r,-94l6474,5599c10564,2074,16345,,23114,xe" fillcolor="#221d1d" stroked="f" strokeweight="0">
                  <v:stroke miterlimit="83231f" joinstyle="miter"/>
                  <v:path arrowok="t" textboxrect="0,0,23781,34734"/>
                </v:shape>
                <v:shape id="Shape 23891" o:spid="_x0000_s1982" style="position:absolute;left:51284;top:2047;width:232;height:325;visibility:visible;mso-wrap-style:square;v-text-anchor:top" coordsize="23184,3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P9cYA&#10;AADeAAAADwAAAGRycy9kb3ducmV2LnhtbESP0WrCQBRE3wv+w3IF3+rGFMRGVxGLoD6UVv2AS/aa&#10;RLN34+6axL/vFgp9HGbmDLNY9aYWLTlfWVYwGScgiHOrKy4UnE/b1xkIH5A11pZJwZM8rJaDlwVm&#10;2nb8Te0xFCJC2GeooAyhyaT0eUkG/dg2xNG7WGcwROkKqR12EW5qmSbJVBqsOC6U2NCmpPx2fBgF&#10;7edunW6nhq+Hvau/OomP5OOu1GjYr+cgAvXhP/zX3mkF6dvsfQK/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TP9cYAAADeAAAADwAAAAAAAAAAAAAAAACYAgAAZHJz&#10;L2Rvd25yZXYueG1sUEsFBgAAAAAEAAQA9QAAAIsDAAAAAA==&#10;" path="m,l23184,r,10173l7823,10173r,2108c7823,16129,9118,18542,11836,20041v2795,1499,6261,2223,11227,2159l23184,22183r,10314l10152,29639c6429,27794,3505,25134,1841,21870,419,19190,,16980,,12345l,xe" fillcolor="#221d1d" stroked="f" strokeweight="0">
                  <v:stroke miterlimit="83231f" joinstyle="miter"/>
                  <v:path arrowok="t" textboxrect="0,0,23184,32497"/>
                </v:shape>
                <v:shape id="Shape 23892" o:spid="_x0000_s1983" style="position:absolute;left:51284;top:1741;width:232;height:281;visibility:visible;mso-wrap-style:square;v-text-anchor:top" coordsize="23184,2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zZMQA&#10;AADeAAAADwAAAGRycy9kb3ducmV2LnhtbERPTWvCQBC9F/wPywi91Y1pa5PUVbSgFDxINYcch+yY&#10;hGZnQ3aN6b/vCoUeH+97uR5NKwbqXWNZwXwWgSAurW64UpCfd08JCOeRNbaWScEPOVivJg9LzLS9&#10;8RcNJ1+JEMIuQwW1910mpStrMuhmtiMO3MX2Bn2AfSV1j7cQbloZR9FCGmw4NNTY0UdN5ffpahS4&#10;fZG+HfPXl+KwHVwYM792ZqfU43TcvIPwNPp/8Z/7UyuIn5M0hvudcA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M2TEAAAA3gAAAA8AAAAAAAAAAAAAAAAAmAIAAGRycy9k&#10;b3ducmV2LnhtbFBLBQYAAAAABAAEAPUAAACJAwAAAAA=&#10;" path="m152,l23184,r,26378l19583,26378r,-15303l8090,11075r,17068l,28143,152,xe" fillcolor="#221d1d" stroked="f" strokeweight="0">
                  <v:stroke miterlimit="83231f" joinstyle="miter"/>
                  <v:path arrowok="t" textboxrect="0,0,23184,28143"/>
                </v:shape>
                <v:shape id="Shape 23893" o:spid="_x0000_s1984" style="position:absolute;left:51285;top:1466;width:231;height:251;visibility:visible;mso-wrap-style:square;v-text-anchor:top" coordsize="23032,2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98cA&#10;AADeAAAADwAAAGRycy9kb3ducmV2LnhtbESP0WrCQBRE3wv+w3ILfSnNRi0hpq4hCKU+SU36Adfs&#10;NQlm74bsVuPfu0Khj8PMnGHW+WR6caHRdZYVzKMYBHFtdceNgp/q8y0F4Tyyxt4yKbiRg3wze1pj&#10;pu2VD3QpfSMChF2GClrvh0xKV7dk0EV2IA7eyY4GfZBjI/WI1wA3vVzEcSINdhwWWhxo21J9Ln+N&#10;Aj//fj9259f6UN6SakhOxde+apR6eZ6KDxCeJv8f/mvvtILFMl0t4XEnXAG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uPfHAAAA3gAAAA8AAAAAAAAAAAAAAAAAmAIAAGRy&#10;cy9kb3ducmV2LnhtbFBLBQYAAAAABAAEAPUAAACMAwAAAAA=&#10;" path="m,l23032,r,10605l8356,10605r,14490l,25095,,xe" fillcolor="#221d1d" stroked="f" strokeweight="0">
                  <v:stroke miterlimit="83231f" joinstyle="miter"/>
                  <v:path arrowok="t" textboxrect="0,0,23032,25095"/>
                </v:shape>
                <v:shape id="Shape 230928" o:spid="_x0000_s1985" style="position:absolute;left:51287;top:1246;width:229;height:106;visibility:visible;mso-wrap-style:square;v-text-anchor:top" coordsize="22892,1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bvuMUA&#10;AADfAAAADwAAAGRycy9kb3ducmV2LnhtbERPz2vCMBS+D/wfwhO8zdQOpuuMIsJQGR6sMnZ8Ns+2&#10;2LyUJLbdf78cBjt+fL+X68E0oiPna8sKZtMEBHFhdc2lgsv543kBwgdkjY1lUvBDHtar0dMSM217&#10;PlGXh1LEEPYZKqhCaDMpfVGRQT+1LXHkbtYZDBG6UmqHfQw3jUyT5FUarDk2VNjStqLinj+Mgq/r&#10;7fqZf897Oeeio8th547HnVKT8bB5BxFoCP/iP/deK0hfkrc0Do5/4he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u+4xQAAAN8AAAAPAAAAAAAAAAAAAAAAAJgCAABkcnMv&#10;ZG93bnJldi54bWxQSwUGAAAAAAQABAD1AAAAigMAAAAA&#10;" path="m,l22892,r,10604l,10604,,e" fillcolor="#221d1d" stroked="f" strokeweight="0">
                  <v:stroke miterlimit="83231f" joinstyle="miter"/>
                  <v:path arrowok="t" textboxrect="0,0,22892,10604"/>
                </v:shape>
                <v:shape id="Shape 23895" o:spid="_x0000_s1986" style="position:absolute;left:51278;top:812;width:238;height:318;visibility:visible;mso-wrap-style:square;v-text-anchor:top" coordsize="23781,31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UdMcA&#10;AADeAAAADwAAAGRycy9kb3ducmV2LnhtbESP3WrCQBSE7wu+w3IE7+qmBn+auooIpVUQNPoAh+zJ&#10;D82eTbOrxrd3BcHLYWa+YebLztTiQq2rLCv4GEYgiDOrKy4UnI7f7zMQziNrrC2Tghs5WC56b3NM&#10;tL3ygS6pL0SAsEtQQel9k0jpspIMuqFtiIOX29agD7ItpG7xGuCmlqMomkiDFYeFEhtal5T9pWej&#10;IN1tV7zfnuLqEOfd/md6y/83a6UG/W71BcJT51/hZ/tXKxjFs88x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gVHTHAAAA3gAAAA8AAAAAAAAAAAAAAAAAmAIAAGRy&#10;cy9kb3ducmV2LnhtbFBLBQYAAAAABAAEAPUAAACMAwAAAAA=&#10;" path="m18542,r5239,l23781,10402r-5023,c10808,10402,8560,11595,8560,15926v,4331,2248,5537,10198,5537l23781,21463r,10376l18542,31839v-5156,,-7200,-267,-9918,-1257c6591,29782,4890,28588,3531,26988l,15965r,-60l8624,1270c11418,204,13386,,18542,xe" fillcolor="#221d1d" stroked="f" strokeweight="0">
                  <v:stroke miterlimit="83231f" joinstyle="miter"/>
                  <v:path arrowok="t" textboxrect="0,0,23781,31839"/>
                </v:shape>
                <v:shape id="Shape 23896" o:spid="_x0000_s1987" style="position:absolute;left:51278;top:428;width:238;height:358;visibility:visible;mso-wrap-style:square;v-text-anchor:top" coordsize="23781,35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08gA&#10;AADeAAAADwAAAGRycy9kb3ducmV2LnhtbESPQWvCQBSE74L/YXmFXqRumoJo6ipiKShVsRo8P7LP&#10;JJh9G7Krpv56tyB4HGbmG2Y8bU0lLtS40rKC934EgjizuuRcQbr/fhuCcB5ZY2WZFPyRg+mk2xlj&#10;ou2Vf+my87kIEHYJKii8rxMpXVaQQde3NXHwjrYx6INscqkbvAa4qWQcRQNpsOSwUGBN84Ky0+5s&#10;FJxXve3mJ4vTr20vHS03sbmtjwelXl/a2ScIT61/hh/thVYQfwxHA/i/E66An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HTyAAAAN4AAAAPAAAAAAAAAAAAAAAAAJgCAABk&#10;cnMvZG93bnJldi54bWxQSwUGAAAAAAQABAD1AAAAjQMAAAAA&#10;" path="m23781,r,10560l12724,12322v-2446,1214,-3618,3062,-3618,5596c9106,20445,10278,22293,12724,23509r11057,1767l23781,35835,6530,30926,,17943r,-50l6530,4934,23781,xe" fillcolor="#221d1d" stroked="f" strokeweight="0">
                  <v:stroke miterlimit="83231f" joinstyle="miter"/>
                  <v:path arrowok="t" textboxrect="0,0,23781,35835"/>
                </v:shape>
                <v:shape id="Shape 23897" o:spid="_x0000_s1988" style="position:absolute;left:51284;top:110;width:232;height:321;visibility:visible;mso-wrap-style:square;v-text-anchor:top" coordsize="23184,3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CRsUA&#10;AADeAAAADwAAAGRycy9kb3ducmV2LnhtbESPwW7CMBBE75X4B2uReisOAZUQMKilKuqFA4QPWOIl&#10;iYjXkW0g/XtcqRLH0cy80SzXvWnFjZxvLCsYjxIQxKXVDVcKjsX3WwbCB2SNrWVS8Ese1qvByxJz&#10;be+8p9shVCJC2OeooA6hy6X0ZU0G/ch2xNE7W2cwROkqqR3eI9y0Mk2Sd2mw4bhQY0ebmsrL4WoU&#10;ZNOi+zptPlNdGB+2W3K78e6k1Ouw/1iACNSHZ/i//aMVpJNsPoO/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0JGxQAAAN4AAAAPAAAAAAAAAAAAAAAAAJgCAABkcnMv&#10;ZG93bnJldi54bWxQSwUGAAAAAAQABAD1AAAAigMAAAAA&#10;" path="m,l23184,r,22805l22580,22365v-1155,1638,-2578,2654,-5575,3873c15430,26924,13944,27394,8433,29159r-2845,952c2870,31000,2387,31140,749,31814l,32156,,21145r1841,-482l8712,18631v7341,-2109,9779,-3264,10465,-5030c19507,12712,20612,12243,20612,10605l,10605,,xe" fillcolor="#221d1d" stroked="f" strokeweight="0">
                  <v:stroke miterlimit="83231f" joinstyle="miter"/>
                  <v:path arrowok="t" textboxrect="0,0,23184,32156"/>
                </v:shape>
                <v:shape id="Shape 23898" o:spid="_x0000_s1989" style="position:absolute;left:51516;top:2771;width:98;height:259;visibility:visible;mso-wrap-style:square;v-text-anchor:top" coordsize="9830,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JWsQA&#10;AADeAAAADwAAAGRycy9kb3ducmV2LnhtbERPTWuDQBC9B/oflin0lqyxUBLjGmyh0EMuJuY+ulO1&#10;urPibqPtr+8eCjk+3nd6XMwgbjS5zrKC7SYCQVxb3XGjoLy8r3cgnEfWOFgmBT/k4Jg9rFJMtJ25&#10;oNvZNyKEsEtQQev9mEjp6pYMuo0diQP3aSeDPsCpkXrCOYSbQcZR9CINdhwaWhzpraW6P38bBV+/&#10;VR/vt6c8H2U5F/mpqK74qtTT45IfQHha/F387/7QCuLn3T7sDXfCF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4CVrEAAAA3gAAAA8AAAAAAAAAAAAAAAAAmAIAAGRycy9k&#10;b3ducmV2LnhtbFBLBQYAAAAABAAEAPUAAACJAwAAAAA=&#10;" path="m,l9830,r,10617l4489,10617r,15291l,25908,,xe" fillcolor="#221d1d" stroked="f" strokeweight="0">
                  <v:stroke miterlimit="83231f" joinstyle="miter"/>
                  <v:path arrowok="t" textboxrect="0,0,9830,25908"/>
                </v:shape>
                <v:shape id="Shape 230929" o:spid="_x0000_s1990" style="position:absolute;left:51516;top:2584;width:91;height:157;visibility:visible;mso-wrap-style:square;v-text-anchor:top" coordsize="9144,1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J6MgA&#10;AADfAAAADwAAAGRycy9kb3ducmV2LnhtbESPQWvCQBSE70L/w/IK3nRjlNZEVymCoIiH2kKvz+xr&#10;Es2+Ddk1Rn+9KxR6HGbmG2a+7EwlWmpcaVnBaBiBIM6sLjlX8P21HkxBOI+ssbJMCm7kYLl46c0x&#10;1fbKn9QefC4ChF2KCgrv61RKlxVk0A1tTRy8X9sY9EE2udQNXgPcVDKOojdpsOSwUGBNq4Ky8+Fi&#10;FPycTu3o6FbZdLK978/rXVK+3/ZK9V+7jxkIT53/D/+1N1pBPI6SOIHnn/AF5O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6MnoyAAAAN8AAAAPAAAAAAAAAAAAAAAAAJgCAABk&#10;cnMvZG93bnJldi54bWxQSwUGAAAAAAQABAD1AAAAjQMAAAAA&#10;" path="m,l9144,r,15760l,15760,,e" fillcolor="#221d1d" stroked="f" strokeweight="0">
                  <v:stroke miterlimit="83231f" joinstyle="miter"/>
                  <v:path arrowok="t" textboxrect="0,0,9144,15760"/>
                </v:shape>
                <v:shape id="Shape 23900" o:spid="_x0000_s1991" style="position:absolute;left:51516;top:2396;width:98;height:131;visibility:visible;mso-wrap-style:square;v-text-anchor:top" coordsize="9830,1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88UA&#10;AADeAAAADwAAAGRycy9kb3ducmV2LnhtbESPTWsCMRCG7wX/QxjBS9FsLbS6NYoUBIVe1IIeh824&#10;2bqZWTZR1/765lDw+PJ+8cwWna/VldpQCRt4GWWgiAuxFZcGvver4QRUiMgWa2EycKcAi3nvaYa5&#10;lRtv6bqLpUojHHI04GJscq1D4chjGElDnLyTtB5jkm2pbYu3NO5rPc6yN+2x4vTgsKFPR8V5d/EG&#10;no/dr/Xbs7ifjd1Xyy+pD+9izKDfLT9AReriI/zfXlsD49dplgASTkIB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8LzxQAAAN4AAAAPAAAAAAAAAAAAAAAAAJgCAABkcnMv&#10;ZG93bnJldi54bWxQSwUGAAAAAAQABAD1AAAAigMAAAAA&#10;" path="m,l9830,3280r,9854l,10617,,xe" fillcolor="#221d1d" stroked="f" strokeweight="0">
                  <v:stroke miterlimit="83231f" joinstyle="miter"/>
                  <v:path arrowok="t" textboxrect="0,0,9830,13134"/>
                </v:shape>
                <v:shape id="Shape 23901" o:spid="_x0000_s1992" style="position:absolute;left:51516;top:2253;width:98;height:119;visibility:visible;mso-wrap-style:square;v-text-anchor:top" coordsize="9830,1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Gr8cA&#10;AADeAAAADwAAAGRycy9kb3ducmV2LnhtbESP3WoCMRSE74W+QziF3mnWH0S3RpFCQQq1uha8PWyO&#10;u4ubkzVJdfXpTUHwcpiZb5jZojW1OJPzlWUF/V4Cgji3uuJCwe/uszsB4QOyxtoyKbiSh8X8pTPD&#10;VNsLb+mchUJECPsUFZQhNKmUPi/JoO/Zhjh6B+sMhihdIbXDS4SbWg6SZCwNVhwXSmzoo6T8mP0Z&#10;BT/mdlrvv6/On0b7zfi2/jK0RKXeXtvlO4hAbXiGH+2VVjAYTpM+/N+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Nxq/HAAAA3gAAAA8AAAAAAAAAAAAAAAAAmAIAAGRy&#10;cy9kb3ducmV2LnhtbFBLBQYAAAAABAAEAPUAAACMAwAAAAA=&#10;" path="m9830,r,8531l70,11884,,11869,,1555,9538,226,9830,xe" fillcolor="#221d1d" stroked="f" strokeweight="0">
                  <v:stroke miterlimit="83231f" joinstyle="miter"/>
                  <v:path arrowok="t" textboxrect="0,0,9830,11884"/>
                </v:shape>
                <v:shape id="Shape 230930" o:spid="_x0000_s1993" style="position:absolute;left:51516;top:2047;width:98;height:102;visibility:visible;mso-wrap-style:square;v-text-anchor:top" coordsize="9830,1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pNcYA&#10;AADfAAAADwAAAGRycy9kb3ducmV2LnhtbESP32rCMBTG7we+QzjC7maihaLVKFI22c2UOR/g0Bzb&#10;YnNSm1jrnn65GHj58f3jt9oMthE9db52rGE6USCIC2dqLjWcfj7e5iB8QDbYOCYND/KwWY9eVpgZ&#10;d+dv6o+hFHGEfYYaqhDaTEpfVGTRT1xLHL2z6yyGKLtSmg7vcdw2cqZUKi3WHB8qbCmvqLgcb1bD&#10;1/Z9fkjTX/VI8nzXX/e0Lxak9et42C5BBBrCM/zf/jQaZolaJJEg8kQW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3pNcYAAADfAAAADwAAAAAAAAAAAAAAAACYAgAAZHJz&#10;L2Rvd25yZXYueG1sUEsFBgAAAAAEAAQA9QAAAIsDAAAAAA==&#10;" path="m,l9830,r,10173l,10173,,e" fillcolor="#221d1d" stroked="f" strokeweight="0">
                  <v:stroke miterlimit="83231f" joinstyle="miter"/>
                  <v:path arrowok="t" textboxrect="0,0,9830,10173"/>
                </v:shape>
                <v:shape id="Shape 23903" o:spid="_x0000_s1994" style="position:absolute;left:51516;top:1741;width:98;height:264;visibility:visible;mso-wrap-style:square;v-text-anchor:top" coordsize="9830,2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tjMkA&#10;AADeAAAADwAAAGRycy9kb3ducmV2LnhtbESP3UoDMRSE7wXfIRzBm9Jm3Yq026ZFCtVVodifBzgk&#10;x93g5mS7ie327RtB8HKYmW+Y+bJ3jThRF6xnBQ+jDASx9sZypeCwXw8nIEJENth4JgUXCrBc3N7M&#10;sTD+zFs67WIlEoRDgQrqGNtCyqBrchhGviVO3pfvHMYku0qaDs8J7hqZZ9mTdGg5LdTY0qom/b37&#10;cQrMalN+lm8vWtt8MH183bwPPuxRqfu7/nkGIlIf/8N/7dIoyMfTbAy/d9IV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EtjMkAAADeAAAADwAAAAAAAAAAAAAAAACYAgAA&#10;ZHJzL2Rvd25yZXYueG1sUEsFBgAAAAAEAAQA9QAAAI4DAAAAAA==&#10;" path="m,l9830,r,11075l4489,11075r,15303l,26378,,xe" fillcolor="#221d1d" stroked="f" strokeweight="0">
                  <v:stroke miterlimit="83231f" joinstyle="miter"/>
                  <v:path arrowok="t" textboxrect="0,0,9830,26378"/>
                </v:shape>
                <v:shape id="Shape 230931" o:spid="_x0000_s1995" style="position:absolute;left:51516;top:1466;width:98;height:106;visibility:visible;mso-wrap-style:square;v-text-anchor:top" coordsize="9830,1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OvscA&#10;AADfAAAADwAAAGRycy9kb3ducmV2LnhtbESP3WrCQBSE7wu+w3KE3tVNFKVNXUUFpUJvuvoAh+zJ&#10;T5s9G7LbJL59VxB6OczMN8x6O9pG9NT52rGCdJaAIM6dqblUcL0cX15B+IBssHFMCm7kYbuZPK0x&#10;M27gL+p1KEWEsM9QQRVCm0np84os+plriaNXuM5iiLIrpelwiHDbyHmSrKTFmuNChS0dKsp/9K9V&#10;oPV3em6Gw3F10sVnvQxjX5i9Us/TcfcOItAY/sOP9odRMF8kb4sU7n/iF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YTr7HAAAA3wAAAA8AAAAAAAAAAAAAAAAAmAIAAGRy&#10;cy9kb3ducmV2LnhtbFBLBQYAAAAABAAEAPUAAACMAwAAAAA=&#10;" path="m,l9830,r,10605l,10605,,e" fillcolor="#221d1d" stroked="f" strokeweight="0">
                  <v:stroke miterlimit="83231f" joinstyle="miter"/>
                  <v:path arrowok="t" textboxrect="0,0,9830,10605"/>
                </v:shape>
                <v:shape id="Shape 230932" o:spid="_x0000_s1996" style="position:absolute;left:51516;top:1246;width:98;height:106;visibility:visible;mso-wrap-style:square;v-text-anchor:top" coordsize="9830,1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q5McA&#10;AADfAAAADwAAAGRycy9kb3ducmV2LnhtbESPzWrDMBCE74G+g9hCLqGR64TiupFNCQRCewhx+wBb&#10;a/1DrZWxFMd++6oQyHGYmW+YXT6ZTow0uNaygud1BIK4tLrlWsH31+EpAeE8ssbOMimYyUGePSx2&#10;mGp75TONha9FgLBLUUHjfZ9K6cqGDLq17YmDV9nBoA9yqKUe8BrgppNxFL1Igy2HhQZ72jdU/hYX&#10;o4DGeWsn+XFa2fknKeRnZdyxUmr5OL2/gfA0+Xv41j5qBfEmet3E8P8nf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OauTHAAAA3wAAAA8AAAAAAAAAAAAAAAAAmAIAAGRy&#10;cy9kb3ducmV2LnhtbFBLBQYAAAAABAAEAPUAAACMAwAAAAA=&#10;" path="m,l9830,r,10604l,10604,,e" fillcolor="#221d1d" stroked="f" strokeweight="0">
                  <v:stroke miterlimit="83231f" joinstyle="miter"/>
                  <v:path arrowok="t" textboxrect="0,0,9830,10604"/>
                </v:shape>
                <v:shape id="Shape 230933" o:spid="_x0000_s1997" style="position:absolute;left:51516;top:1027;width:98;height:103;visibility:visible;mso-wrap-style:square;v-text-anchor:top" coordsize="9830,1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mFMgA&#10;AADfAAAADwAAAGRycy9kb3ducmV2LnhtbESP3WrCQBSE7wu+w3IE73SjgdamriIWQQTBn+r1IXua&#10;BLNnw+42pj69WxB6OczMN8xs0ZlatOR8ZVnBeJSAIM6trrhQ8HVaD6cgfEDWWFsmBb/kYTHvvcww&#10;0/bGB2qPoRARwj5DBWUITSalz0sy6Ee2IY7et3UGQ5SukNrhLcJNLSdJ8ioNVhwXSmxoVVJ+Pf4Y&#10;BW6937Vpu91X9+0d31bn09JdPpUa9LvlB4hAXfgPP9sbrWCSJu9pCn9/4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hyYUyAAAAN8AAAAPAAAAAAAAAAAAAAAAAJgCAABk&#10;cnMvZG93bnJldi54bWxQSwUGAAAAAAQABAD1AAAAjQMAAAAA&#10;" path="m,l9830,r,10376l,10376,,e" fillcolor="#221d1d" stroked="f" strokeweight="0">
                  <v:stroke miterlimit="83231f" joinstyle="miter"/>
                  <v:path arrowok="t" textboxrect="0,0,9830,10376"/>
                </v:shape>
                <v:shape id="Shape 230934" o:spid="_x0000_s1998" style="position:absolute;left:51516;top:812;width:98;height:104;visibility:visible;mso-wrap-style:square;v-text-anchor:top" coordsize="9830,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YxcgA&#10;AADfAAAADwAAAGRycy9kb3ducmV2LnhtbESPQWsCMRSE74X+h/AK3mpWLbZdjVKEorXQolW8PjbP&#10;zeLmZU2ibv+9KQg9DjPzDTOetrYWZ/Khcqyg181AEBdOV1wq2Py8P76ACBFZY+2YFPxSgOnk/m6M&#10;uXYXXtF5HUuRIBxyVGBibHIpQ2HIYui6hjh5e+ctxiR9KbXHS4LbWvazbCgtVpwWDDY0M1Qc1ier&#10;oJl/fXzzdn7wu6Nffobh6nl2NEp1Htq3EYhIbfwP39oLraA/yF4HT/D3J30B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5jFyAAAAN8AAAAPAAAAAAAAAAAAAAAAAJgCAABk&#10;cnMvZG93bnJldi54bWxQSwUGAAAAAAQABAD1AAAAjQMAAAAA&#10;" path="m,l9830,r,10402l,10402,,e" fillcolor="#221d1d" stroked="f" strokeweight="0">
                  <v:stroke miterlimit="83231f" joinstyle="miter"/>
                  <v:path arrowok="t" textboxrect="0,0,9830,10402"/>
                </v:shape>
                <v:shape id="Shape 23908" o:spid="_x0000_s1999" style="position:absolute;left:51516;top:666;width:98;height:120;visibility:visible;mso-wrap-style:square;v-text-anchor:top" coordsize="9830,1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cVcIA&#10;AADeAAAADwAAAGRycy9kb3ducmV2LnhtbERPS2rDMBDdF3oHMYHsGjkOtKkbJZRCSb0pzecAgzWx&#10;TKyRsRTbuX1nUejy8f6b3eRbNVAfm8AGlosMFHEVbMO1gfPp82kNKiZki21gMnCnCLvt48MGCxtG&#10;PtBwTLWSEI4FGnApdYXWsXLkMS5CRyzcJfQek8C+1rbHUcJ9q/Mse9YeG5YGhx19OKqux5uXkrL8&#10;Sbf793q08aVc4rDP3WVvzHw2vb+BSjSlf/Gf+8sayFevmeyVO3IF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VxVwgAAAN4AAAAPAAAAAAAAAAAAAAAAAJgCAABkcnMvZG93&#10;bnJldi54bWxQSwUGAAAAAAQABAD1AAAAhwMAAAAA&#10;" path="m9830,r,9280l6,12052r-6,-2l,1490r209,34l9830,xe" fillcolor="#221d1d" stroked="f" strokeweight="0">
                  <v:stroke miterlimit="83231f" joinstyle="miter"/>
                  <v:path arrowok="t" textboxrect="0,0,9830,12052"/>
                </v:shape>
                <v:shape id="Shape 23909" o:spid="_x0000_s2000" style="position:absolute;left:51516;top:428;width:98;height:121;visibility:visible;mso-wrap-style:square;v-text-anchor:top" coordsize="9830,1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fdsYA&#10;AADeAAAADwAAAGRycy9kb3ducmV2LnhtbESPUWvCMBSF3wX/Q7gD32w6ZTK7RpHB0O3Jdf6AS3Nt&#10;gs1NaaLt9uuXwcDHwznnO5xyO7pW3KgP1rOCxywHQVx7bblRcPp6mz+DCBFZY+uZFHxTgO1mOimx&#10;0H7gT7pVsREJwqFABSbGrpAy1IYchsx3xMk7+95hTLJvpO5xSHDXykWer6RDy2nBYEevhupLdXUK&#10;fga5GvbueHq/Ph3C3nxYW4+VUrOHcfcCItIY7+H/9kErWCzX+Rr+7q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CfdsYAAADeAAAADwAAAAAAAAAAAAAAAACYAgAAZHJz&#10;L2Rvd25yZXYueG1sUEsFBgAAAAAEAAQA9QAAAIsDAAAAAA==&#10;" path="m6,l9830,2771r,9302l209,10528,,10561,,2,6,xe" fillcolor="#221d1d" stroked="f" strokeweight="0">
                  <v:stroke miterlimit="83231f" joinstyle="miter"/>
                  <v:path arrowok="t" textboxrect="0,0,9830,12073"/>
                </v:shape>
                <v:shape id="Shape 23910" o:spid="_x0000_s2001" style="position:absolute;left:51516;top:110;width:98;height:300;visibility:visible;mso-wrap-style:square;v-text-anchor:top" coordsize="9830,29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AaMUA&#10;AADeAAAADwAAAGRycy9kb3ducmV2LnhtbESPXWvCMBSG7wf7D+EMvJtpVYarRhFBkSEMP+b1sTk2&#10;xeakNNHWf79cCF6+vF8803lnK3GnxpeOFaT9BARx7nTJhYLjYfU5BuEDssbKMSl4kIf57P1tipl2&#10;Le/ovg+FiCPsM1RgQqgzKX1uyKLvu5o4ehfXWAxRNoXUDbZx3FZykCRf0mLJ8cFgTUtD+XV/swrO&#10;6eP4s/zTBq+jkW2Hv2sab09K9T66xQREoC68ws/2RisYDL/TCBBxIgr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4BoxQAAAN4AAAAPAAAAAAAAAAAAAAAAAJgCAABkcnMv&#10;ZG93bnJldi54bWxQSwUGAAAAAAQABAD1AAAAigMAAAAA&#10;" path="m,l9830,r,10605l4489,10605r,1638c4489,15030,4813,16863,5656,17998r4174,1533l9830,29986,,22805,,xe" fillcolor="#221d1d" stroked="f" strokeweight="0">
                  <v:stroke miterlimit="83231f" joinstyle="miter"/>
                  <v:path arrowok="t" textboxrect="0,0,9830,29986"/>
                </v:shape>
                <v:shape id="Shape 23911" o:spid="_x0000_s2002" style="position:absolute;left:51614;top:2771;width:134;height:271;visibility:visible;mso-wrap-style:square;v-text-anchor:top" coordsize="13430,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XIMgA&#10;AADeAAAADwAAAGRycy9kb3ducmV2LnhtbESPQWvCQBSE74X+h+UVequbKGhMXUUUwYuG2oL09pp9&#10;TYLZt2F3q9Ff3y0IPQ4z8w0zW/SmFWdyvrGsIB0kIIhLqxuuFHy8b14yED4ga2wtk4IreVjMHx9m&#10;mGt74Tc6H0IlIoR9jgrqELpcSl/WZNAPbEccvW/rDIYoXSW1w0uEm1YOk2QsDTYcF2rsaFVTeTr8&#10;GAWFzIrkC0en1fqz2N/ao+t2y4lSz0/98hVEoD78h+/trVYwHE3TF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2lcgyAAAAN4AAAAPAAAAAAAAAAAAAAAAAJgCAABk&#10;cnMvZG93bnJldi54bWxQSwUGAAAAAAQABAD1AAAAjQMAAAAA&#10;" path="m,l13430,r,27128l5340,27128r,-16511l,10617,,xe" fillcolor="#221d1d" stroked="f" strokeweight="0">
                  <v:stroke miterlimit="83231f" joinstyle="miter"/>
                  <v:path arrowok="t" textboxrect="0,0,13430,27128"/>
                </v:shape>
                <v:shape id="Shape 23912" o:spid="_x0000_s2003" style="position:absolute;left:51614;top:2429;width:140;height:297;visibility:visible;mso-wrap-style:square;v-text-anchor:top" coordsize="14015,2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9EMcA&#10;AADeAAAADwAAAGRycy9kb3ducmV2LnhtbESPQWvCQBSE70L/w/IKvenGFKWJriItldyqtjn09sy+&#10;JqHZtyG7TeK/7wqCx2FmvmHW29E0oqfO1ZYVzGcRCOLC6ppLBV+f79MXEM4ja2wsk4ILOdhuHiZr&#10;TLUd+Ej9yZciQNilqKDyvk2ldEVFBt3MtsTB+7GdQR9kV0rd4RDgppFxFC2lwZrDQoUtvVZU/J7+&#10;jILvj7dc5ge3248NyyE7L46LpFXq6XHcrUB4Gv09fGtnWkH8nMxjuN4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ZfRDHAAAA3gAAAA8AAAAAAAAAAAAAAAAAmAIAAGRy&#10;cy9kb3ducmV2LnhtbFBLBQYAAAAABAAEAPUAAACMAwAAAAA=&#10;" path="m,l6955,2321v4396,3629,7060,8693,7060,14434c14015,21454,12948,25251,10357,29670r-9512,c4185,25530,5480,22469,5480,18672v,-3638,-1448,-6515,-4169,-8482l,9854,,xe" fillcolor="#221d1d" stroked="f" strokeweight="0">
                  <v:stroke miterlimit="83231f" joinstyle="miter"/>
                  <v:path arrowok="t" textboxrect="0,0,14015,29670"/>
                </v:shape>
                <v:shape id="Shape 23913" o:spid="_x0000_s2004" style="position:absolute;left:51614;top:2047;width:134;height:292;visibility:visible;mso-wrap-style:square;v-text-anchor:top" coordsize="13430,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nJ8QA&#10;AADeAAAADwAAAGRycy9kb3ducmV2LnhtbESPQWsCMRSE70L/Q3iFXkSzKra6GsVKC17VBa+PzXOz&#10;uHkJm6jrvzeFgsdhZr5hluvONuJGbagdKxgNMxDEpdM1VwqK4+9gBiJEZI2NY1LwoADr1Vtvibl2&#10;d97T7RArkSAcclRgYvS5lKE0ZDEMnSdO3tm1FmOSbSV1i/cEt40cZ9mntFhzWjDoaWuovByuVsHP&#10;d78wqI9+O/UFl6c5fU03V6U+3rvNAkSkLr7C/+2dVjCezEcT+LuTr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rpyfEAAAA3gAAAA8AAAAAAAAAAAAAAAAAmAIAAGRycy9k&#10;b3ducmV2LnhtbFBLBQYAAAAABAAEAPUAAACJAwAAAAA=&#10;" path="m,l13430,r,11685c13430,15939,13214,17564,12402,19914v-813,2413,-2172,4559,-3937,6337l,29159,,20628,4794,16917v610,-1182,737,-2363,737,-4966l5531,10173,,10173,,xe" fillcolor="#221d1d" stroked="f" strokeweight="0">
                  <v:stroke miterlimit="83231f" joinstyle="miter"/>
                  <v:path arrowok="t" textboxrect="0,0,13430,29159"/>
                </v:shape>
                <v:shape id="Shape 23914" o:spid="_x0000_s2005" style="position:absolute;left:51614;top:1741;width:134;height:276;visibility:visible;mso-wrap-style:square;v-text-anchor:top" coordsize="13430,2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U4sgA&#10;AADeAAAADwAAAGRycy9kb3ducmV2LnhtbESPQWvCQBSE74L/YXlCb3VjlGKjq4hoKYiFxlA9PrLP&#10;JJh9G7Jbjf313ULB4zAz3zDzZWdqcaXWVZYVjIYRCOLc6ooLBdlh+zwF4TyyxtoyKbiTg+Wi35tj&#10;ou2NP+ma+kIECLsEFZTeN4mULi/JoBvahjh4Z9sa9EG2hdQt3gLc1DKOohdpsOKwUGJD65LyS/pt&#10;FJzX2c9xE5921ddbut8eKdvfPzKlngbdagbCU+cf4f/2u1YQj19HE/i7E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alTiyAAAAN4AAAAPAAAAAAAAAAAAAAAAAJgCAABk&#10;cnMvZG93bnJldi54bWxQSwUGAAAAAAQABAD1AAAAjQMAAAAA&#10;" path="m,l13405,r25,27598l5340,27598r,-16523l,11075,,xe" fillcolor="#221d1d" stroked="f" strokeweight="0">
                  <v:stroke miterlimit="83231f" joinstyle="miter"/>
                  <v:path arrowok="t" textboxrect="0,0,13430,27598"/>
                </v:shape>
                <v:shape id="Shape 230935" o:spid="_x0000_s2006" style="position:absolute;left:51614;top:1466;width:136;height:106;visibility:visible;mso-wrap-style:square;v-text-anchor:top" coordsize="13557,1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fWMUA&#10;AADfAAAADwAAAGRycy9kb3ducmV2LnhtbESPQWsCMRSE7wX/Q3iCt5p1xaKrUUQQ7LFWCr09N8/N&#10;4uZlTbK67a9vCoUeh5lvhlltetuIO/lQO1YwGWcgiEuna64UnN73z3MQISJrbByTgi8KsFkPnlZY&#10;aPfgN7ofYyVSCYcCFZgY20LKUBqyGMauJU7exXmLMUlfSe3xkcptI/Mse5EWa04LBlvaGSqvx84q&#10;yLvSfPL3a95V3sz7mfS3+HFWajTst0sQkfr4H/6jDzpx02wxncHvn/Q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V9YxQAAAN8AAAAPAAAAAAAAAAAAAAAAAJgCAABkcnMv&#10;ZG93bnJldi54bWxQSwUGAAAAAAQABAD1AAAAigMAAAAA&#10;" path="m,l13557,r,10605l,10605,,e" fillcolor="#221d1d" stroked="f" strokeweight="0">
                  <v:stroke miterlimit="83231f" joinstyle="miter"/>
                  <v:path arrowok="t" textboxrect="0,0,13557,10605"/>
                </v:shape>
                <v:shape id="Shape 23916" o:spid="_x0000_s2007" style="position:absolute;left:51614;top:1153;width:137;height:288;visibility:visible;mso-wrap-style:square;v-text-anchor:top" coordsize="13697,2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KzskA&#10;AADeAAAADwAAAGRycy9kb3ducmV2LnhtbESPT2vCQBTE74V+h+UVvBTdaCFodBURRfHS+g/09si+&#10;JqnZtzG7jem3dwuFHoeZ+Q0zmbWmFA3VrrCsoN+LQBCnVhecKTgeVt0hCOeRNZaWScEPOZhNn58m&#10;mGh75x01e5+JAGGXoILc+yqR0qU5GXQ9WxEH79PWBn2QdSZ1jfcAN6UcRFEsDRYcFnKsaJFTet1/&#10;GwXb19N8/XXbNdvr8PK+ipfnj7LZKNV5aedjEJ5a/x/+a2+0gsHbqB/D751wBe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7KzskAAADeAAAADwAAAAAAAAAAAAAAAACYAgAA&#10;ZHJzL2Rvd25yZXYueG1sUEsFBgAAAAAEAAQA9QAAAI4DAAAAAA==&#10;" path="m5595,r8102,l13697,28790r-8102,l5595,19926,,19926,,9322r5595,l5595,xe" fillcolor="#221d1d" stroked="f" strokeweight="0">
                  <v:stroke miterlimit="83231f" joinstyle="miter"/>
                  <v:path arrowok="t" textboxrect="0,0,13697,28790"/>
                </v:shape>
                <v:shape id="Shape 230936" o:spid="_x0000_s2008" style="position:absolute;left:51614;top:1027;width:134;height:103;visibility:visible;mso-wrap-style:square;v-text-anchor:top" coordsize="13430,1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DpcgA&#10;AADfAAAADwAAAGRycy9kb3ducmV2LnhtbESPT2vCQBTE74V+h+UJXopuVBCbukqxFAQ9+KcXb4/s&#10;SzY1+zZmV5N++64geBxm5jfMfNnZStyo8aVjBaNhAoI4c7rkQsHP8XswA+EDssbKMSn4Iw/LxevL&#10;HFPtWt7T7RAKESHsU1RgQqhTKX1myKIfupo4erlrLIYom0LqBtsIt5UcJ8lUWiw5LhisaWUoOx+u&#10;VsHbJd98tevt7rTymM9KQ87/XpXq97rPDxCBuvAMP9prrWA8Sd4nU7j/iV9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0OlyAAAAN8AAAAPAAAAAAAAAAAAAAAAAJgCAABk&#10;cnMvZG93bnJldi54bWxQSwUGAAAAAAQABAD1AAAAjQMAAAAA&#10;" path="m,l13430,r,10376l,10376,,e" fillcolor="#221d1d" stroked="f" strokeweight="0">
                  <v:stroke miterlimit="83231f" joinstyle="miter"/>
                  <v:path arrowok="t" textboxrect="0,0,13430,10376"/>
                </v:shape>
                <v:shape id="Shape 230937" o:spid="_x0000_s2009" style="position:absolute;left:51614;top:812;width:134;height:104;visibility:visible;mso-wrap-style:square;v-text-anchor:top" coordsize="13430,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IEMgA&#10;AADfAAAADwAAAGRycy9kb3ducmV2LnhtbESP0WrCQBRE3wX/YblC33TTCNWmrqLBglao1PYDLtnb&#10;bJrs3ZDdavx7t1DwcZiZM8xi1dtGnKnzlWMFj5MEBHHhdMWlgq/P1/EchA/IGhvHpOBKHlbL4WCB&#10;mXYX/qDzKZQiQthnqMCE0GZS+sKQRT9xLXH0vl1nMUTZlVJ3eIlw28g0SZ6kxYrjgsGWckNFffq1&#10;Cuy29HX1dt0ffnbb4yFPi8278Uo9jPr1C4hAfbiH/9s7rSCdJs/TGfz9i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YgQyAAAAN8AAAAPAAAAAAAAAAAAAAAAAJgCAABk&#10;cnMvZG93bnJldi54bWxQSwUGAAAAAAQABAD1AAAAjQMAAAAA&#10;" path="m,l13430,r,10402l,10402,,e" fillcolor="#221d1d" stroked="f" strokeweight="0">
                  <v:stroke miterlimit="83231f" joinstyle="miter"/>
                  <v:path arrowok="t" textboxrect="0,0,13430,10402"/>
                </v:shape>
                <v:shape id="Shape 23919" o:spid="_x0000_s2010" style="position:absolute;left:51614;top:456;width:140;height:303;visibility:visible;mso-wrap-style:square;v-text-anchor:top" coordsize="14015,3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108gA&#10;AADeAAAADwAAAGRycy9kb3ducmV2LnhtbESP3WrCQBSE7wt9h+UUvGs2KoSaZpUiCIqFEhVL7w7Z&#10;0yQ0ezZkNz++fbdQ8HKYmW+YbDOZRgzUudqygnkUgyAurK65VHA5755fQDiPrLGxTApu5GCzfnzI&#10;MNV25JyGky9FgLBLUUHlfZtK6YqKDLrItsTB+7adQR9kV0rd4RjgppGLOE6kwZrDQoUtbSsqfk69&#10;UVDHw/HrPZEfe/PZb/PreMiHc6vU7Gl6ewXhafL38H97rxUslqv5Cv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C/XTyAAAAN4AAAAPAAAAAAAAAAAAAAAAAJgCAABk&#10;cnMvZG93bnJldi54bWxQSwUGAAAAAAQABAD1AAAAjQMAAAAA&#10;" path="m,l7501,2116v4158,3123,6514,7603,6514,13032c14015,20577,11659,25057,7501,28180l,30296,,21016r1415,-224c3769,19593,4858,17745,4858,15148v,-2565,-1089,-4413,-3443,-5620l,9301,,xe" fillcolor="#221d1d" stroked="f" strokeweight="0">
                  <v:stroke miterlimit="83231f" joinstyle="miter"/>
                  <v:path arrowok="t" textboxrect="0,0,14015,30296"/>
                </v:shape>
                <v:shape id="Shape 23920" o:spid="_x0000_s2011" style="position:absolute;left:51614;top:110;width:134;height:301;visibility:visible;mso-wrap-style:square;v-text-anchor:top" coordsize="13430,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DfMMA&#10;AADeAAAADwAAAGRycy9kb3ducmV2LnhtbESPy2rDMBBF94X+g5hCd41cG0LjWjbBNNAukwa6HayJ&#10;7MQaGUvx4++rRaHLy31ximqxvZho9J1jBa+bBARx43THRsH5+/DyBsIHZI29Y1KwkoeqfHwoMNdu&#10;5iNNp2BEHGGfo4I2hCGX0jctWfQbNxBH7+JGiyHK0Ug94hzHbS/TJNlKix3HhxYHqltqbqe7VUD1&#10;lDXXzvzMRpppt37UX3W6KvX8tOzfQQRawn/4r/2pFaTZLo0AESei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xDfMMAAADeAAAADwAAAAAAAAAAAAAAAACYAgAAZHJzL2Rv&#10;d25yZXYueG1sUEsFBgAAAAAEAAQA9QAAAIgDAAAAAA==&#10;" path="m,l13430,r,12509c13430,19520,12884,22098,10776,25019,8388,28283,4642,30111,172,30111l,29986,,19531r108,40c4185,19571,5340,17945,5340,12167r,-1562l,10605,,xe" fillcolor="#221d1d" stroked="f" strokeweight="0">
                  <v:stroke miterlimit="83231f" joinstyle="miter"/>
                  <v:path arrowok="t" textboxrect="0,0,13430,30111"/>
                </v:shape>
                <v:shape id="Shape 23921" o:spid="_x0000_s2012" style="position:absolute;left:51946;width:1380;height:3039;visibility:visible;mso-wrap-style:square;v-text-anchor:top" coordsize="138036,30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jMxsYA&#10;AADeAAAADwAAAGRycy9kb3ducmV2LnhtbESPW2sCMRSE3wX/QzhC3zTrCkW3ZqUI2suD4AWfD5uz&#10;F9ycLEm6bvvrm0LBx2FmvmHWm8G0oifnG8sK5rMEBHFhdcOVgst5N12C8AFZY2uZFHyTh00+Hq0x&#10;0/bOR+pPoRIRwj5DBXUIXSalL2oy6Ge2I45eaZ3BEKWrpHZ4j3DTyjRJnqXBhuNCjR1taypupy8T&#10;KR+uXHwWB27N2/6n725pWO2uSj1NhtcXEIGG8Aj/t9+1gnSxSufwdyd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jMxsYAAADeAAAADwAAAAAAAAAAAAAAAACYAgAAZHJz&#10;L2Rvd25yZXYueG1sUEsFBgAAAAAEAAQA9QAAAIsDAAAAAA==&#10;" path="m44843,r38,l66756,3072v6942,2025,13394,5122,18943,9513c93751,17589,97117,25946,102095,32906v8839,17564,-5448,43840,12510,58572c115710,93383,115837,96647,114605,98513v-2439,3442,-5957,4140,-8611,7036c106553,109600,108648,116077,103657,118821v3277,1955,3531,5232,1563,7810c103365,127178,101092,128435,100546,130543v1346,4763,2336,10617,762,15621c95301,154991,84125,154749,74765,157099v-11405,2895,-28436,-1016,-32042,14059c41021,191694,61963,200913,75540,210997v31572,23813,58597,54979,62496,92952l63030,303949c66243,258952,38125,226923,5232,196926,,190830,1892,179819,3670,172720,14922,149516,41720,150685,61481,141477v6020,-4927,8674,-12115,6235,-19532c65227,119443,65938,114681,66954,111785v2883,-3747,-7582,-6782,-787,-10147c66015,96951,60084,93828,62256,89141v2971,-1168,4470,-4369,5460,-7023c58115,68440,40627,62192,44285,43052,39611,25171,21806,10719,3670,8686r-1562,l2108,7899c8299,5460,15232,3436,22495,2046l44843,xe" fillcolor="#221d1d" stroked="f" strokeweight="0">
                  <v:stroke miterlimit="83231f" joinstyle="miter"/>
                  <v:path arrowok="t" textboxrect="0,0,138036,303949"/>
                </v:shape>
                <v:rect id="Rectangle 23922" o:spid="_x0000_s2013" style="position:absolute;top:2366;width:23738;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8N8cA&#10;AADeAAAADwAAAGRycy9kb3ducmV2LnhtbESPQWvCQBSE74X+h+UVvNVNIxQTsxFpK3qspqDeHtln&#10;Epp9G7JbE/vru4LQ4zAz3zDZcjStuFDvGssKXqYRCOLS6oYrBV/F+nkOwnlkja1lUnAlB8v88SHD&#10;VNuBd3TZ+0oECLsUFdTed6mUrqzJoJvajjh4Z9sb9EH2ldQ9DgFuWhlH0as02HBYqLGjt5rK7/2P&#10;UbCZd6vj1v4OVftx2hw+D8l7kXilJk/jagHC0+j/w/f2ViuIZ0kc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jPDfHAAAA3gAAAA8AAAAAAAAAAAAAAAAAmAIAAGRy&#10;cy9kb3ducmV2LnhtbFBLBQYAAAAABAAEAPUAAACMAwAAAAA=&#10;" filled="f" stroked="f">
                  <v:textbox inset="0,0,0,0">
                    <w:txbxContent>
                      <w:p w:rsidR="00EE13F6" w:rsidRDefault="002E5BC4">
                        <w:r>
                          <w:rPr>
                            <w:w w:val="93"/>
                            <w:sz w:val="15"/>
                          </w:rPr>
                          <w:t>https://doi.org/10.1080/00036846.2017.1363864</w:t>
                        </w:r>
                      </w:p>
                    </w:txbxContent>
                  </v:textbox>
                </v:rect>
                <v:shape id="Picture 222042" o:spid="_x0000_s2014" type="#_x0000_t75" style="position:absolute;left:54439;top:4583;width:771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6/7FAAAA3wAAAA8AAABkcnMvZG93bnJldi54bWxEj0FLAzEUhO+C/yE8wZtNNoqUtWlZCoUq&#10;XmwLvT43r7uhm5clie36740geBxm5htmsZr8IC4UkwtsoJopEMRtsI47A4f95mEOImVki0NgMvBN&#10;CVbL25sF1jZc+YMuu9yJAuFUo4E+57GWMrU9eUyzMBIX7xSix1xk7KSNeC1wP0it1LP06Lgs9DjS&#10;uqf2vPvyBo5Wp+YzurfXTr030VG13T9WxtzfTc0LiExT/g//tbfWgNZaPWn4/VO+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sev+xQAAAN8AAAAPAAAAAAAAAAAAAAAA&#10;AJ8CAABkcnMvZG93bnJldi54bWxQSwUGAAAAAAQABAD3AAAAkQMAAAAA&#10;">
                  <v:imagedata r:id="rId295" o:title=""/>
                </v:shape>
                <v:shape id="Shape 23925" o:spid="_x0000_s2015" style="position:absolute;left:54446;top:4607;width:3858;height:1520;visibility:visible;mso-wrap-style:square;v-text-anchor:top" coordsize="385763,15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PHMcA&#10;AADeAAAADwAAAGRycy9kb3ducmV2LnhtbESPQWvCQBSE7wX/w/IK3ppNEyw1uooKQik91FQ8P7Ov&#10;SWj2bcyuJvrru4WCx2FmvmHmy8E04kKdqy0reI5iEMSF1TWXCvZf26dXEM4ja2wsk4IrOVguRg9z&#10;zLTteUeX3JciQNhlqKDyvs2kdEVFBl1kW+LgfdvOoA+yK6XusA9w08gkjl+kwZrDQoUtbSoqfvKz&#10;UfDRa0xvNv28DdPV4f2E+ea4zpUaPw6rGQhPg7+H/9tvWkGSTpMJ/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TxzHAAAA3gAAAA8AAAAAAAAAAAAAAAAAmAIAAGRy&#10;cy9kb3ducmV2LnhtbFBLBQYAAAAABAAEAPUAAACMAwAAAAA=&#10;" path="m7315,l385763,r,3975l7315,3975v-1841,,-3340,1486,-3340,3328l3975,145885v,1842,1499,3366,3340,3366l385763,149251r,2666l4176,151917r-2033,-847c819,149739,,147904,,145885l,7303c,3264,3277,,7315,xe" fillcolor="#6c6d71" stroked="f" strokeweight="0">
                  <v:stroke miterlimit="83231f" joinstyle="miter"/>
                  <v:path arrowok="t" textboxrect="0,0,385763,151917"/>
                </v:shape>
                <v:shape id="Shape 23926" o:spid="_x0000_s2016" style="position:absolute;left:58304;top:4607;width:3853;height:1520;visibility:visible;mso-wrap-style:square;v-text-anchor:top" coordsize="385356,15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48ckA&#10;AADeAAAADwAAAGRycy9kb3ducmV2LnhtbESPQWvCQBSE7wX/w/KEXqRuEkFsdJVWsNpCD1oPHh/Z&#10;ZxLMvk2zWxP99a4g9DjMzDfMbNGZSpypcaVlBfEwAkGcWV1yrmD/s3qZgHAeWWNlmRRcyMFi3nua&#10;Yapty1s673wuAoRdigoK7+tUSpcVZNANbU0cvKNtDPogm1zqBtsAN5VMomgsDZYcFgqsaVlQdtr9&#10;GQXf68/rvvoafOD777aNBqt4sjzESj33u7cpCE+d/w8/2hutIBm9JmO43wlX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f48ckAAADeAAAADwAAAAAAAAAAAAAAAACYAgAA&#10;ZHJzL2Rvd25yZXYueG1sUEsFBgAAAAAEAAQA9QAAAI4DAAAAAA==&#10;" path="m,l378447,v2014,,3836,816,5155,2137l385356,6382r,140427l383602,151070r-2026,847l,151917r,-2666l378447,149251v1829,,3341,-1524,3341,-3366l381788,7303v,-1842,-1512,-3328,-3341,-3328l,3975,,xe" fillcolor="#6c6d71" stroked="f" strokeweight="0">
                  <v:stroke miterlimit="83231f" joinstyle="miter"/>
                  <v:path arrowok="t" textboxrect="0,0,385356,151917"/>
                </v:shape>
                <v:shape id="Shape 23927" o:spid="_x0000_s2017" style="position:absolute;left:55024;top:4925;width:483;height:708;visibility:visible;mso-wrap-style:square;v-text-anchor:top" coordsize="48298,70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YY8YA&#10;AADeAAAADwAAAGRycy9kb3ducmV2LnhtbESPT4vCMBTE74LfITxhb2tqF1xbjeIuuCwKgn8u3h7N&#10;sy02L6WJ2n57Iwgeh5n5DTNbtKYSN2pcaVnBaBiBIM6sLjlXcDysPicgnEfWWFkmBR05WMz7vRmm&#10;2t55R7e9z0WAsEtRQeF9nUrpsoIMuqGtiYN3to1BH2STS93gPcBNJeMoGkuDJYeFAmv6LSi77K9G&#10;gYlGfzUmm25tk/W2O9nyZzPplPoYtMspCE+tf4df7X+tIP5K4m943g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PYY8YAAADeAAAADwAAAAAAAAAAAAAAAACYAgAAZHJz&#10;L2Rvd25yZXYueG1sUEsFBgAAAAAEAAQA9QAAAIsDAAAAAA==&#10;" path="m,l48298,r,38659l,70841,,xe" fillcolor="#d32f28" stroked="f" strokeweight="0">
                  <v:stroke miterlimit="83231f" joinstyle="miter"/>
                  <v:path arrowok="t" textboxrect="0,0,48298,70841"/>
                </v:shape>
                <v:shape id="Shape 23928" o:spid="_x0000_s2018" style="position:absolute;left:55024;top:4925;width:483;height:708;visibility:visible;mso-wrap-style:square;v-text-anchor:top" coordsize="48298,70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NsQA&#10;AADeAAAADwAAAGRycy9kb3ducmV2LnhtbERPTWvCQBC9F/wPyxR6KXVjBKnRVVQo7aVQU+l5yI5J&#10;aHY22V01/fedQ6HHx/teb0fXqSuF2Ho2MJtmoIgrb1uuDZw+X56eQcWEbLHzTAZ+KMJ2M7lbY2H9&#10;jY90LVOtJIRjgQaalPpC61g15DBOfU8s3NkHh0lgqLUNeJNw1+k8yxbaYcvS0GBPh4aq7/LipGRc&#10;DO+Xr/1Qzh/D6bgcPl53ZW3Mw/24W4FKNKZ/8Z/7zRrI58tc9soduQ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cfjbEAAAA3gAAAA8AAAAAAAAAAAAAAAAAmAIAAGRycy9k&#10;b3ducmV2LnhtbFBLBQYAAAAABAAEAPUAAACJAwAAAAA=&#10;" path="m,l48298,r,70841l,38659,,xe" fillcolor="#ef3241" stroked="f" strokeweight="0">
                  <v:stroke miterlimit="83231f" joinstyle="miter"/>
                  <v:path arrowok="t" textboxrect="0,0,48298,70841"/>
                </v:shape>
                <v:shape id="Shape 23929" o:spid="_x0000_s2019" style="position:absolute;left:54732;top:4841;width:533;height:1066;visibility:visible;mso-wrap-style:square;v-text-anchor:top" coordsize="53295,106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BYscA&#10;AADeAAAADwAAAGRycy9kb3ducmV2LnhtbESPQWvCQBSE7wX/w/KEXkrdNEJJUlcRqZBDQYzi+ZF9&#10;TVKzb0N2NWl/vSsUPA4z8w2zWI2mFVfqXWNZwdssAkFcWt1wpeB42L4mIJxH1thaJgW/5GC1nDwt&#10;MNN24D1dC1+JAGGXoYLa+y6T0pU1GXQz2xEH79v2Bn2QfSV1j0OAm1bGUfQuDTYcFmrsaFNTeS4u&#10;RsGQHjf7L0tRkxQ+z5PTz8vn7k+p5+m4/gDhafSP8H871wrieRqncL8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YwWLHAAAA3gAAAA8AAAAAAAAAAAAAAAAAmAIAAGRy&#10;cy9kb3ducmV2LnhtbFBLBQYAAAAABAAEAPUAAACMAwAAAAA=&#10;" path="m53295,r,13056l37637,16217c23192,22328,13055,36632,13055,53301v,16668,10137,30965,24582,37072l53295,93533r,13068l32554,102414c13423,94322,,75380,,53301,,31222,13423,12279,32554,4187l53295,xe" fillcolor="#3eb0c8" stroked="f" strokeweight="0">
                  <v:stroke miterlimit="83231f" joinstyle="miter"/>
                  <v:path arrowok="t" textboxrect="0,0,53295,106601"/>
                </v:shape>
                <v:shape id="Shape 23930" o:spid="_x0000_s2020" style="position:absolute;left:55265;top:4841;width:533;height:1066;visibility:visible;mso-wrap-style:square;v-text-anchor:top" coordsize="53296,10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Xa8gA&#10;AADeAAAADwAAAGRycy9kb3ducmV2LnhtbESPzWrCQBSF94LvMFyhG9GJCmqjoxSp0HYhRrvo8jZz&#10;TUIzd2JmTNI+fWchuDycP771tjOlaKh2hWUFk3EEgji1uuBMwed5P1qCcB5ZY2mZFPySg+2m31tj&#10;rG3LCTUnn4kwwi5GBbn3VSylS3My6Ma2Ig7exdYGfZB1JnWNbRg3pZxG0VwaLDg85FjRLqf053Qz&#10;Ctqzff16/6iO7m+3GH4vrklyaDqlngbdywqEp84/wvf2m1YwnT3PAkDACSg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NdryAAAAN4AAAAPAAAAAAAAAAAAAAAAAJgCAABk&#10;cnMvZG93bnJldi54bWxQSwUGAAAAAAQABAD1AAAAjQMAAAAA&#10;" path="m7,c29445,,53296,23863,53296,53302v,29438,-23851,53302,-53289,53302l,106602,,93534r7,1c22232,93535,40240,75527,40240,53302,40240,31077,22232,13056,7,13056r-7,1l,1,7,xe" fillcolor="#3eb0c8" stroked="f" strokeweight="0">
                  <v:stroke miterlimit="83231f" joinstyle="miter"/>
                  <v:path arrowok="t" textboxrect="0,0,53296,106604"/>
                </v:shape>
                <v:shape id="Shape 23931" o:spid="_x0000_s2021" style="position:absolute;left:54660;top:5154;width:1013;height:802;visibility:visible;mso-wrap-style:square;v-text-anchor:top" coordsize="101321,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f8UA&#10;AADeAAAADwAAAGRycy9kb3ducmV2LnhtbESPQYvCMBSE74L/IbwFb5pqoWg1yrogeHLRurDHR/Ns&#10;i81Lt4m2/nuzIHgcZuYbZrXpTS3u1LrKsoLpJAJBnFtdcaHgnO3GcxDOI2usLZOCBznYrIeDFaba&#10;dnyk+8kXIkDYpaig9L5JpXR5SQbdxDbEwbvY1qAPsi2kbrELcFPLWRQl0mDFYaHEhr5Kyq+nm1Fw&#10;iJNsF/3G8vvvwvNtQu740+VKjT76zyUIT71/h1/tvVYwixfxFP7vhCs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9/xQAAAN4AAAAPAAAAAAAAAAAAAAAAAJgCAABkcnMv&#10;ZG93bnJldi54bWxQSwUGAAAAAAQABAD1AAAAigMAAAAA&#10;" path="m12065,l23254,7023c17069,22504,21057,40183,33300,51499,49606,66573,75044,65583,90119,49276r11202,7048c85954,74435,60490,80200,38837,70460,11989,58395,,26848,12065,xe" fillcolor="#ffc828" stroked="f" strokeweight="0">
                  <v:stroke miterlimit="83231f" joinstyle="miter"/>
                  <v:path arrowok="t" textboxrect="0,0,101321,80200"/>
                </v:shape>
                <v:shape id="Shape 23932" o:spid="_x0000_s2022" style="position:absolute;left:56226;top:5108;width:438;height:507;visibility:visible;mso-wrap-style:square;v-text-anchor:top" coordsize="43752,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HkMYA&#10;AADeAAAADwAAAGRycy9kb3ducmV2LnhtbESPT2vCQBTE7wW/w/KE3urGCEGjq2hQaKGX+uf+yD6T&#10;YPZt2F2T9Nt3C4Ueh5n5DbPZjaYVPTnfWFYwnyUgiEurG64UXC+ntyUIH5A1tpZJwTd52G0nLxvM&#10;tR34i/pzqESEsM9RQR1Cl0vpy5oM+pntiKN3t85giNJVUjscIty0Mk2STBpsOC7U2FFRU/k4P42C&#10;jzA/Hm6DS4oqO30esqfvi2yp1Ot03K9BBBrDf/iv/a4VpIvVIoX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JHkMYAAADeAAAADwAAAAAAAAAAAAAAAACYAgAAZHJz&#10;L2Rvd25yZXYueG1sUEsFBgAAAAAEAAQA9QAAAIsDAAAAAA==&#10;" path="m23152,c34061,51,42659,6096,43675,16510r-8471,c33795,10960,30188,6896,23152,6896,12789,6896,8458,16040,8458,25311v,9284,4331,18453,14694,18453c30671,43764,34798,38113,35471,31090r8281,c43053,42659,34861,50635,23152,50635,8649,50635,,39141,,25311,,11506,8649,,23152,xe" fillcolor="#57575a" stroked="f" strokeweight="0">
                  <v:stroke miterlimit="83231f" joinstyle="miter"/>
                  <v:path arrowok="t" textboxrect="0,0,43752,50635"/>
                </v:shape>
                <v:shape id="Shape 23933" o:spid="_x0000_s2023" style="position:absolute;left:56719;top:5120;width:308;height:484;visibility:visible;mso-wrap-style:square;v-text-anchor:top" coordsize="30747,4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Ur8YA&#10;AADeAAAADwAAAGRycy9kb3ducmV2LnhtbESPQWvCQBSE70L/w/IKvelGQ0Sjq9RCaSl4MC2eH9ln&#10;Esy+Ddk1bv59t1DwOMzMN8x2H0wrBupdY1nBfJaAIC6tbrhS8PP9Pl2BcB5ZY2uZFIzkYL97mmwx&#10;1/bOJxoKX4kIYZejgtr7LpfSlTUZdDPbEUfvYnuDPsq+krrHe4SbVi6SZCkNNhwXauzorabyWtyM&#10;gkwHfzuOWXbir48iDOPhnB4PSr08h9cNCE/BP8L/7U+tYJGu0xT+7sQr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Ur8YAAADeAAAADwAAAAAAAAAAAAAAAACYAgAAZHJz&#10;L2Rvd25yZXYueG1sUEsFBgAAAAAEAAQA9QAAAIsDAAAAAA==&#10;" path="m,l7722,r,17945l7861,17945v1893,-3188,5880,-5550,10491,-5550c25933,12395,30747,16459,30747,24308r,24054l23025,48362r,-22022c22885,20866,20726,18491,16192,18491v-5156,,-8470,4064,-8470,9208l7722,48362,,48362,,xe" fillcolor="#57575a" stroked="f" strokeweight="0">
                  <v:stroke miterlimit="83231f" joinstyle="miter"/>
                  <v:path arrowok="t" textboxrect="0,0,30747,48362"/>
                </v:shape>
                <v:shape id="Shape 23934" o:spid="_x0000_s2024" style="position:absolute;left:57079;top:5245;width:167;height:366;visibility:visible;mso-wrap-style:square;v-text-anchor:top" coordsize="16726,36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g3MgA&#10;AADeAAAADwAAAGRycy9kb3ducmV2LnhtbESP3WoCMRSE7wu+QziCdzXrD0W3RhFLQaG0VEuhd4fN&#10;Mbu4OVk2cbP16ZtCoZfDzHzDrDa9rUVHra8cK5iMMxDEhdMVGwUfp+f7BQgfkDXWjknBN3nYrAd3&#10;K8y1i/xO3TEYkSDsc1RQhtDkUvqiJIt+7Bri5J1dazEk2RqpW4wJbms5zbIHabHitFBiQ7uSisvx&#10;ahWYNyuLr+5lu7TXwy1+mqfXGG9KjYb99hFEoD78h//ae61gOlvO5vB7J10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TuDcyAAAAN4AAAAPAAAAAAAAAAAAAAAAAJgCAABk&#10;cnMvZG93bnJldi54bWxQSwUGAAAAAAQABAD1AAAAjQMAAAAA&#10;" path="m16726,r,6089l10397,8690c8788,10358,7823,12679,7722,15289r9004,l16726,20369r-9004,c7722,23112,8468,25700,10015,27602r6711,2945l16726,36655,4454,31642c1543,28383,,23779,,18401,,13422,1625,8799,4554,5421l16726,xe" fillcolor="#57575a" stroked="f" strokeweight="0">
                  <v:stroke miterlimit="83231f" joinstyle="miter"/>
                  <v:path arrowok="t" textboxrect="0,0,16726,36655"/>
                </v:shape>
                <v:shape id="Shape 23935" o:spid="_x0000_s2025" style="position:absolute;left:57246;top:5494;width:163;height:119;visibility:visible;mso-wrap-style:square;v-text-anchor:top" coordsize="16256,1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hHMgA&#10;AADeAAAADwAAAGRycy9kb3ducmV2LnhtbESPT2sCMRTE74V+h/AKXqRmu2qpq1FKQfSghdp/18fm&#10;uVm6eVmSqNt+eiMIPQ4z8xtmtuhsI47kQ+1YwcMgA0FcOl1zpeDjfXn/BCJEZI2NY1LwSwEW89ub&#10;GRbanfiNjrtYiQThUKACE2NbSBlKQxbDwLXEyds7bzEm6SupPZ4S3DYyz7JHabHmtGCwpRdD5c/u&#10;YBUc8i/q//nVdlSZz+8xlRP3utkq1bvrnqcgInXxP3xtr7WCfDgZjuFyJ10BO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rmEcyAAAAN4AAAAPAAAAAAAAAAAAAAAAAJgCAABk&#10;cnMvZG93bnJldi54bWxQSwUGAAAAAAQABAD1AAAAjQMAAAAA&#10;" path="m8941,r7315,c14555,7683,8065,11938,394,11938l,11777,,5669r394,173c4890,5842,7595,3874,8941,xe" fillcolor="#57575a" stroked="f" strokeweight="0">
                  <v:stroke miterlimit="83231f" joinstyle="miter"/>
                  <v:path arrowok="t" textboxrect="0,0,16256,11938"/>
                </v:shape>
                <v:shape id="Shape 23936" o:spid="_x0000_s2026" style="position:absolute;left:57246;top:5244;width:180;height:204;visibility:visible;mso-wrap-style:square;v-text-anchor:top" coordsize="18021,2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ZzMcA&#10;AADeAAAADwAAAGRycy9kb3ducmV2LnhtbESPQWsCMRSE7wX/Q3iF3jTbVaTdGkVaBPUgdOult8fm&#10;dXfr5iVNoq7/3ghCj8PMfMPMFr3pxIl8aC0reB5lIIgrq1uuFey/VsMXECEia+wsk4ILBVjMBw8z&#10;LLQ98yedyliLBOFQoIImRldIGaqGDIaRdcTJ+7HeYEzS11J7PCe46WSeZVNpsOW00KCj94aqQ3k0&#10;CsoDf2y127jVr+9238e/id/nVqmnx375BiJSH//D9/ZaK8jHr+Mp3O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w2czHAAAA3gAAAA8AAAAAAAAAAAAAAAAAmAIAAGRy&#10;cy9kb3ducmV2LnhtbFBLBQYAAAAABAAEAPUAAACMAwAAAAA=&#10;" path="m203,c11252,,18021,9944,16726,20460l,20460,,15380r9004,c8725,10503,5423,6096,203,6096l,6180,,91,203,xe" fillcolor="#57575a" stroked="f" strokeweight="0">
                  <v:stroke miterlimit="83231f" joinstyle="miter"/>
                  <v:path arrowok="t" textboxrect="0,0,18021,20460"/>
                </v:shape>
                <v:shape id="Shape 23937" o:spid="_x0000_s2027" style="position:absolute;left:57449;top:5244;width:330;height:369;visibility:visible;mso-wrap-style:square;v-text-anchor:top" coordsize="33045,3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uTscA&#10;AADeAAAADwAAAGRycy9kb3ducmV2LnhtbESPW0vDQBSE34X+h+UUfLMbE/ASuy2lUCqioNHS12P2&#10;mIRkz4bdzcV/7wqCj8PMfMOst7PpxEjON5YVXK8SEMSl1Q1XCj7eD1d3IHxA1thZJgXf5GG7WVys&#10;Mdd24jcai1CJCGGfo4I6hD6X0pc1GfQr2xNH78s6gyFKV0ntcIpw08k0SW6kwYbjQo097Wsq22Iw&#10;Clp6GnbZMIXndCzOr6ejaw8vn0pdLufdA4hAc/gP/7UftYI0u89u4fdOv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K7k7HAAAA3gAAAA8AAAAAAAAAAAAAAAAAmAIAAGRy&#10;cy9kb3ducmV2LnhtbFBLBQYAAAAABAAEAPUAAACMAwAAAAA=&#10;" path="m17272,v8128,,15037,4077,15773,12675l25336,12675c24740,8420,21615,6096,17335,6096v-3987,,-9614,2108,-9614,12738c7721,24651,10299,30823,17005,30823v4470,,7582,-2972,8331,-7988l33045,22835c31635,31902,26009,36919,17005,36919,6020,36919,,29121,,18834,,8280,5753,,17272,xe" fillcolor="#57575a" stroked="f" strokeweight="0">
                  <v:stroke miterlimit="83231f" joinstyle="miter"/>
                  <v:path arrowok="t" textboxrect="0,0,33045,36919"/>
                </v:shape>
                <v:shape id="Shape 23938" o:spid="_x0000_s2028" style="position:absolute;left:57833;top:5120;width:325;height:484;visibility:visible;mso-wrap-style:square;v-text-anchor:top" coordsize="32448,4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6Q8IA&#10;AADeAAAADwAAAGRycy9kb3ducmV2LnhtbERP3WrCMBS+F/YO4Qx2p4kKotUoQ9kYCAOtD3BoTpuy&#10;5qQkUTuffrkQdvnx/W92g+vEjUJsPWuYThQI4sqblhsNl/JjvAQRE7LBzjNp+KUIu+3LaIOF8Xc+&#10;0e2cGpFDOBaowabUF1LGypLDOPE9ceZqHxymDEMjTcB7DnednCm1kA5bzg0We9pbqn7OV6dhf1R2&#10;WJz4e2kPn4+yDPVDTWut316H9zWIREP6Fz/dX0bDbL6a5735Tr4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pDwgAAAN4AAAAPAAAAAAAAAAAAAAAAAJgCAABkcnMvZG93&#10;bnJldi54bWxQSwUGAAAAAAQABAD1AAAAhwMAAAAA&#10;" path="m,l7721,r,27483l21679,13348r9474,l17755,26200,32448,48362r-9410,l12319,31356,7721,35827r,12535l,48362,,xe" fillcolor="#57575a" stroked="f" strokeweight="0">
                  <v:stroke miterlimit="83231f" joinstyle="miter"/>
                  <v:path arrowok="t" textboxrect="0,0,32448,48362"/>
                </v:shape>
                <v:shape id="Shape 23939" o:spid="_x0000_s2029" style="position:absolute;left:58348;top:5120;width:209;height:484;visibility:visible;mso-wrap-style:square;v-text-anchor:top" coordsize="20879,4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bxsYA&#10;AADeAAAADwAAAGRycy9kb3ducmV2LnhtbESPX2vCMBTF3wf7DuEO9jbTWtm0M8oYKIK+6Cb4eG3u&#10;mrLmpiRR67c3wmCPh/Pnx5nOe9uKM/nQOFaQDzIQxJXTDdcKvr8WL2MQISJrbB2TgisFmM8eH6ZY&#10;anfhLZ13sRZphEOJCkyMXSllqAxZDAPXESfvx3mLMUlfS+3xksZtK4dZ9iotNpwIBjv6NFT97k42&#10;QeJmZNYyXx62667Yv22Oi/zqlXp+6j/eQUTq43/4r73SCobFpJjA/U6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SbxsYAAADeAAAADwAAAAAAAAAAAAAAAACYAgAAZHJz&#10;L2Rvd25yZXYueG1sUEsFBgAAAAAEAAQA9QAAAIsDAAAAAA==&#10;" path="m15456,v2438,,4191,127,5423,470l20879,6502c19863,6223,18834,6096,17272,6096v-2095,,-3772,737,-3772,3658l13500,13348r6553,l20053,19101r-6553,l13500,48362r-7721,l5779,19101,,19101,,13348r5779,l5779,10439c5779,1499,10440,,15456,xe" fillcolor="#57575a" stroked="f" strokeweight="0">
                  <v:stroke miterlimit="83231f" joinstyle="miter"/>
                  <v:path arrowok="t" textboxrect="0,0,20879,48362"/>
                </v:shape>
                <v:shape id="Shape 23940" o:spid="_x0000_s2030" style="position:absolute;left:58564;top:5244;width:176;height:369;visibility:visible;mso-wrap-style:square;v-text-anchor:top" coordsize="17653,36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ZMQA&#10;AADeAAAADwAAAGRycy9kb3ducmV2LnhtbESPzYrCMBSF98K8Q7gDbkTT0UG0GmUUBLejVXB3aa5t&#10;tbkpSdTq008WAy4P549vvmxNLe7kfGVZwdcgAUGcW11xoSDbb/oTED4ga6wtk4IneVguPjpzTLV9&#10;8C/dd6EQcYR9igrKEJpUSp+XZNAPbEMcvbN1BkOUrpDa4SOOm1oOk2QsDVYcH0psaF1Sft3djIKx&#10;p6PLevuVdIeQNZPt5XS4vJTqfrY/MxCB2vAO/7e3WsFwNP2OABEno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2TEAAAA3gAAAA8AAAAAAAAAAAAAAAAAmAIAAGRycy9k&#10;b3ducmV2LnhtbFBLBQYAAAAABAAEAPUAAACJAwAAAAA=&#10;" path="m17653,r,6096c10744,6096,7696,12382,7696,18415v,6083,3048,12408,9957,12408l17653,36906c6414,36906,,29197,,18415,,7734,6414,,17653,xe" fillcolor="#57575a" stroked="f" strokeweight="0">
                  <v:stroke miterlimit="83231f" joinstyle="miter"/>
                  <v:path arrowok="t" textboxrect="0,0,17653,36906"/>
                </v:shape>
                <v:shape id="Shape 23941" o:spid="_x0000_s2031" style="position:absolute;left:58740;top:5244;width:177;height:369;visibility:visible;mso-wrap-style:square;v-text-anchor:top" coordsize="17678,36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ssQA&#10;AADeAAAADwAAAGRycy9kb3ducmV2LnhtbESPzYvCMBTE78L+D+Et7E1TW/GjGmURXDx48ev+aJ5t&#10;MXkpTdZ2//uNIHgcZuY3zGrTWyMe1PrasYLxKAFBXDhdc6ngct4N5yB8QNZoHJOCP/KwWX8MVphr&#10;1/GRHqdQighhn6OCKoQml9IXFVn0I9cQR+/mWoshyraUusUuwq2RaZJMpcWa40KFDW0rKu6nX6tg&#10;Pw2pzbL7pbnW3YHnP6abOaPU12f/vQQRqA/v8Ku91wrSbDEZw/NOv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frLEAAAA3gAAAA8AAAAAAAAAAAAAAAAAmAIAAGRycy9k&#10;b3ducmV2LnhtbFBLBQYAAAAABAAEAPUAAACJAwAAAAA=&#10;" path="m,c11226,,17678,7734,17678,18415,17678,29197,11226,36906,,36906l,30823v6921,,9957,-6325,9957,-12408c9957,12382,6921,6096,,6096l,xe" fillcolor="#57575a" stroked="f" strokeweight="0">
                  <v:stroke miterlimit="83231f" joinstyle="miter"/>
                  <v:path arrowok="t" textboxrect="0,0,17678,36906"/>
                </v:shape>
                <v:shape id="Shape 23942" o:spid="_x0000_s2032" style="position:absolute;left:58970;top:5244;width:205;height:359;visibility:visible;mso-wrap-style:square;v-text-anchor:top" coordsize="20510,3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M5ccA&#10;AADeAAAADwAAAGRycy9kb3ducmV2LnhtbESPQUvDQBSE7wX/w/IEb+3GVCTGbouUFDxZjCJ4e2Rf&#10;s8Hs2yW7NtFf3y0Uehxm5htmtZlsL440hM6xgvtFBoK4cbrjVsHnx25egAgRWWPvmBT8UYDN+ma2&#10;wlK7kd/pWMdWJAiHEhWYGH0pZWgMWQwL54mTd3CDxZjk0Eo94Jjgtpd5lj1Kix2nBYOetoaan/rX&#10;KvjKirF9Kwz/V1V9qKb999azV+rudnp5BhFpitfwpf2qFeTLp4ccznfSFZDr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ZDOXHAAAA3gAAAA8AAAAAAAAAAAAAAAAAmAIAAGRy&#10;cy9kb3ducmV2LnhtbFBLBQYAAAAABAAEAPUAAACMAwAAAAA=&#10;" path="m17602,v1766,,2236,140,2908,203l20510,7658c19418,7518,18288,7302,17196,7302v-5270,,-9475,4280,-9475,11989l7721,35966,,35966,,952r7239,l7239,7734r165,c8255,4000,12865,,17602,xe" fillcolor="#57575a" stroked="f" strokeweight="0">
                  <v:stroke miterlimit="83231f" joinstyle="miter"/>
                  <v:path arrowok="t" textboxrect="0,0,20510,35966"/>
                </v:shape>
                <v:shape id="Shape 23943" o:spid="_x0000_s2033" style="position:absolute;left:59397;top:5253;width:307;height:360;visibility:visible;mso-wrap-style:square;v-text-anchor:top" coordsize="30734,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brMcA&#10;AADeAAAADwAAAGRycy9kb3ducmV2LnhtbESPQUsDMRSE7wX/Q3iCtzZrW5Z2bVqKpeBBpK5Sr8/N&#10;c7N087IksY3/3ggFj8PMfMOsNsn24kw+dI4V3E8KEMSN0x23Ct7f9uMFiBCRNfaOScEPBdisb0Yr&#10;rLS78Cud69iKDOFQoQIT41BJGRpDFsPEDcTZ+3LeYszSt1J7vGS47eW0KEppseO8YHCgR0PNqf62&#10;Co7SvJx2i49n/5lMiWV7mKduq9Tdbdo+gIiU4n/42n7SCqaz5XwGf3fy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sW6zHAAAA3gAAAA8AAAAAAAAAAAAAAAAAmAIAAGRy&#10;cy9kb3ducmV2LnhtbFBLBQYAAAAABAAEAPUAAACMAwAAAAA=&#10;" path="m,l7721,r,21463c7721,27635,10223,29870,14427,29870v6426,,8586,-4127,8586,-9563l23013,r7721,l30734,35014r-7595,l23139,30124r-126,c21145,33655,16916,35954,13043,35954,3924,35954,,31356,,22212l,xe" fillcolor="#57575a" stroked="f" strokeweight="0">
                  <v:stroke miterlimit="83231f" joinstyle="miter"/>
                  <v:path arrowok="t" textboxrect="0,0,30734,35954"/>
                </v:shape>
                <v:shape id="Shape 23944" o:spid="_x0000_s2034" style="position:absolute;left:59776;top:5250;width:171;height:483;visibility:visible;mso-wrap-style:square;v-text-anchor:top" coordsize="17183,4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2dscA&#10;AADeAAAADwAAAGRycy9kb3ducmV2LnhtbESP3WrCQBSE74W+w3IKvdONNpY2uookFKRXmvoAh+wx&#10;Cc2eTbObn/r03ULBy2FmvmG2+8k0YqDO1ZYVLBcRCOLC6ppLBZfP9/krCOeRNTaWScEPOdjvHmZb&#10;TLQd+UxD7ksRIOwSVFB53yZSuqIig25hW+LgXW1n0AfZlVJ3OAa4aeQqil6kwZrDQoUtpRUVX3lv&#10;FGTt+vLR35bpd9xkaNxpKtLDWamnx+mwAeFp8vfwf/uoFaye3+IY/u6EK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hNnbHAAAA3gAAAA8AAAAAAAAAAAAAAAAAmAIAAGRy&#10;cy9kb3ducmV2LnhtbFBLBQYAAAAABAAEAPUAAACMAwAAAAA=&#10;" path="m17183,r,5546l9904,8923c8262,11092,7430,14191,7430,17912v,3524,904,6607,2584,8809l17183,30213r,4997l7836,30841r-140,l7696,48316,,48316,,373r7315,l7315,5110r115,l17183,xe" fillcolor="#57575a" stroked="f" strokeweight="0">
                  <v:stroke miterlimit="83231f" joinstyle="miter"/>
                  <v:path arrowok="t" textboxrect="0,0,17183,48316"/>
                </v:shape>
                <v:shape id="Shape 23945" o:spid="_x0000_s2035" style="position:absolute;left:59947;top:5244;width:175;height:369;visibility:visible;mso-wrap-style:square;v-text-anchor:top" coordsize="17476,36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ykskA&#10;AADeAAAADwAAAGRycy9kb3ducmV2LnhtbESPQU8CMRSE7yT+h+aZcIMuIARXCjEmIgYugBq9vWyf&#10;2w3b17WtsPLrqYmJx8nMfJOZLVpbiyP5UDlWMOhnIIgLpysuFbzsH3tTECEia6wdk4IfCrCYX3Vm&#10;mGt34i0dd7EUCcIhRwUmxiaXMhSGLIa+a4iT9+m8xZikL6X2eEpwW8thlk2kxYrTgsGGHgwVh923&#10;VXDI1m/bj/p1aZ7fz8svv1kNxk9Oqe51e38HIlIb/8N/7ZVWMBzd3ozh9066An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AQykskAAADeAAAADwAAAAAAAAAAAAAAAACYAgAA&#10;ZHJzL2Rvd25yZXYueG1sUEsFBgAAAAAEAAQA9QAAAI4DAAAAAA==&#10;" path="m1105,c12154,,17476,8407,17476,18631v,9411,-4737,18275,-15088,18275l,35790,,30792r64,31c7113,30823,9754,24574,9754,18491,9754,12116,6439,6096,64,6096l,6125,,579,1105,xe" fillcolor="#57575a" stroked="f" strokeweight="0">
                  <v:stroke miterlimit="83231f" joinstyle="miter"/>
                  <v:path arrowok="t" textboxrect="0,0,17476,36906"/>
                </v:shape>
                <v:shape id="Shape 23946" o:spid="_x0000_s2036" style="position:absolute;left:60160;top:5244;width:175;height:369;visibility:visible;mso-wrap-style:square;v-text-anchor:top" coordsize="17481,36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Z1ccA&#10;AADeAAAADwAAAGRycy9kb3ducmV2LnhtbESPS2/CMBCE70j8B2uRegOntLwCBtEHArUnaA8cl3ib&#10;RMTryHYh9NfXSEgcRzPzjWa2aEwlTuR8aVnBYy8BQZxZXXKu4Ptr1R2D8AFZY2WZFFzIw2Lebs0w&#10;1fbMWzrtQi4ihH2KCooQ6lRKnxVk0PdsTRy9H+sMhihdLrXDc4SbSvaTZCgNlhwXCqzptaDsuPs1&#10;Cgaf+/UAP4KhZPz+5szLwfLfSKmHTrOcggjUhHv41t5oBf2nyfMQrnfi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WdXHAAAA3gAAAA8AAAAAAAAAAAAAAAAAmAIAAGRy&#10;cy9kb3ducmV2LnhtbFBLBQYAAAAABAAEAPUAAACMAwAAAAA=&#10;" path="m15189,r2292,1081l17481,6126,9920,10096c8369,12491,7721,15672,7721,18821v,6033,2960,12002,9704,12002l17481,30793r,5538l16383,36906c5359,36906,,28727,,18224,,5550,7506,,15189,xe" fillcolor="#57575a" stroked="f" strokeweight="0">
                  <v:stroke miterlimit="83231f" joinstyle="miter"/>
                  <v:path arrowok="t" textboxrect="0,0,17481,36906"/>
                </v:shape>
                <v:shape id="Shape 23947" o:spid="_x0000_s2037" style="position:absolute;left:60335;top:5120;width:172;height:487;visibility:visible;mso-wrap-style:square;v-text-anchor:top" coordsize="17215,48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qecgA&#10;AADeAAAADwAAAGRycy9kb3ducmV2LnhtbESPT2vCQBTE7wW/w/KE3urGP1UbXUUsgs2pain09sw+&#10;s8Hs25BdY/rtu4VCj8PM/IZZrjtbiZYaXzpWMBwkIIhzp0suFHycdk9zED4ga6wck4Jv8rBe9R6W&#10;mGp35wO1x1CICGGfogITQp1K6XNDFv3A1cTRu7jGYoiyKaRu8B7htpKjJJlKiyXHBYM1bQ3l1+PN&#10;KngOX5PX97fz0M5uxmXZ6TL/zFqlHvvdZgEiUBf+w3/tvVYwGr9MZvB7J1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qp5yAAAAN4AAAAPAAAAAAAAAAAAAAAAAJgCAABk&#10;cnMvZG93bnJldi54bWxQSwUGAAAAAAQABAD1AAAAjQMAAAAA&#10;" path="m9468,r7747,l17215,48362r-7328,l9887,43612r-126,l,48726,,43189,7438,39300c9030,36960,9761,33858,9761,30810,9761,23101,5989,18491,57,18491l,18521,,13476r9341,4406l9468,17882,9468,xe" fillcolor="#57575a" stroked="f" strokeweight="0">
                  <v:stroke miterlimit="83231f" joinstyle="miter"/>
                  <v:path arrowok="t" textboxrect="0,0,17215,48726"/>
                </v:shape>
                <v:shape id="Shape 23948" o:spid="_x0000_s2038" style="position:absolute;left:60560;top:5398;width:156;height:215;visibility:visible;mso-wrap-style:square;v-text-anchor:top" coordsize="15615,2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dLcYA&#10;AADeAAAADwAAAGRycy9kb3ducmV2LnhtbESPwWrCQBCG7wXfYRnBW91opdbUVaQQ0HrSCNLbkB2T&#10;0OxsyK4a3945FHoc/vm/mW+57l2jbtSF2rOByTgBRVx4W3Np4JRnrx+gQkS22HgmAw8KsF4NXpaY&#10;Wn/nA92OsVQC4ZCigSrGNtU6FBU5DGPfEkt28Z3DKGNXatvhXeCu0dMkedcOa5YLFbb0VVHxe7w6&#10;A9+7+flHuNk+X1z25zxvPF0zY0bDfvMJKlIf/5f/2ltrYPq2mMm/oiMqo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JdLcYAAADeAAAADwAAAAAAAAAAAAAAAACYAgAAZHJz&#10;L2Rvd25yZXYueG1sUEsFBgAAAAAEAAQA9QAAAIsDAAAAAA==&#10;" path="m15615,r,4727l14021,5083c10719,5604,7721,6823,7721,10899v,3455,4420,4471,7112,4471l15615,15162r,5025l12002,21453c5715,21453,,18088,,11242,,2492,6997,1082,13500,333l15615,xe" fillcolor="#57575a" stroked="f" strokeweight="0">
                  <v:stroke miterlimit="83231f" joinstyle="miter"/>
                  <v:path arrowok="t" textboxrect="0,0,15615,21453"/>
                </v:shape>
                <v:shape id="Shape 23949" o:spid="_x0000_s2039" style="position:absolute;left:60573;top:5247;width:143;height:113;visibility:visible;mso-wrap-style:square;v-text-anchor:top" coordsize="14332,1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vvsgA&#10;AADeAAAADwAAAGRycy9kb3ducmV2LnhtbESPT2vCQBTE74LfYXlCL6XZ+Acx0VVCoeihWKr1/si+&#10;JqnZt2F3a9Jv3y0UPA4z8xtmsxtMK27kfGNZwTRJQRCXVjdcKfg4vzytQPiArLG1TAp+yMNuOx5t&#10;MNe253e6nUIlIoR9jgrqELpcSl/WZNAntiOO3qd1BkOUrpLaYR/hppWzNF1Kgw3HhRo7eq6pvJ6+&#10;jYK9WxbNcU+XYvFa4bn/Oq7at0elHiZDsQYRaAj38H/7oBXM5tkig7878Qr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W++yAAAAN4AAAAPAAAAAAAAAAAAAAAAAJgCAABk&#10;cnMvZG93bnJldi54bWxQSwUGAAAAAAQABAD1AAAAjQMAAAAA&#10;" path="m14332,r,6530l7721,11292,,11292c273,6784,2327,3869,5276,2082l14332,xe" fillcolor="#57575a" stroked="f" strokeweight="0">
                  <v:stroke miterlimit="83231f" joinstyle="miter"/>
                  <v:path arrowok="t" textboxrect="0,0,14332,11292"/>
                </v:shape>
                <v:shape id="Shape 23950" o:spid="_x0000_s2040" style="position:absolute;left:60716;top:5244;width:194;height:369;visibility:visible;mso-wrap-style:square;v-text-anchor:top" coordsize="19348,36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L8sQA&#10;AADeAAAADwAAAGRycy9kb3ducmV2LnhtbESPy4rCMBSG98K8QzjC7DTVQXE6TWUQhLr0NuszzbEt&#10;Nie1ibX69GYhuPz5b3zJsje16Kh1lWUFk3EEgji3uuJCwWG/Hi1AOI+ssbZMCu7kYJl+DBKMtb3x&#10;lrqdL0QYYRejgtL7JpbS5SUZdGPbEAfvZFuDPsi2kLrFWxg3tZxG0VwarDg8lNjQqqT8vLsaBXN5&#10;bCaLQ3/aZNn/1vx1j425PJT6HPa/PyA89f4dfrUzrWD69T0LAAEnoI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cS/LEAAAA3gAAAA8AAAAAAAAAAAAAAAAAmAIAAGRycy9k&#10;b3ducmV2LnhtbFBLBQYAAAAABAAEAPUAAACJAwAAAAA=&#10;" path="m1594,c8439,,15615,2781,15615,10173r,18008c15615,30086,15996,30823,17456,30823v482,,1067,,1892,-140l19348,36043v-1181,393,-3594,863,-4864,863c11360,36906,9125,35839,8490,32664l,35640,,30615,4832,29331c6576,28280,7893,26619,7893,24181r,-5766l,20180,,15453r5194,-818c7118,14094,8350,13113,8350,10846,8350,6845,4261,6096,1111,6096l,6896,,366,1594,xe" fillcolor="#57575a" stroked="f" strokeweight="0">
                  <v:stroke miterlimit="83231f" joinstyle="miter"/>
                  <v:path arrowok="t" textboxrect="0,0,19348,36906"/>
                </v:shape>
                <v:shape id="Shape 23951" o:spid="_x0000_s2041" style="position:absolute;left:60909;top:5148;width:205;height:459;visibility:visible;mso-wrap-style:square;v-text-anchor:top" coordsize="20510,45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XGsYA&#10;AADeAAAADwAAAGRycy9kb3ducmV2LnhtbESPQWvCQBSE74L/YXmF3upGpaVGVyliqD1oqdX7M/ua&#10;jc2+DdnVxH/vFgoeh5n5hpktOluJCzW+dKxgOEhAEOdOl1wo2H9nT68gfEDWWDkmBVfysJj3ezNM&#10;tWv5iy67UIgIYZ+iAhNCnUrpc0MW/cDVxNH7cY3FEGVTSN1gG+G2kqMkeZEWS44LBmtaGsp/d2er&#10;YLV9H3+2NOEsOx0P0tqPzcbUSj0+dG9TEIG6cA//t9dawWg8eR7C351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YXGsYAAADeAAAADwAAAAAAAAAAAAAAAACYAgAAZHJz&#10;L2Rvd25yZXYueG1sUEsFBgAAAAAEAAQA9QAAAIsDAAAAAA==&#10;" path="m5829,r7684,l13513,10503r6997,l20510,16256r-6997,l13513,34950v,3188,305,4826,3772,4826c18338,39776,19418,39776,20510,39484r,5969c18821,45593,17196,45860,15481,45860v-8013,,-9525,-3112,-9652,-8954l5829,16256,,16256,,10503r5829,l5829,xe" fillcolor="#57575a" stroked="f" strokeweight="0">
                  <v:stroke miterlimit="83231f" joinstyle="miter"/>
                  <v:path arrowok="t" textboxrect="0,0,20510,45860"/>
                </v:shape>
                <v:shape id="Shape 23952" o:spid="_x0000_s2042" style="position:absolute;left:61132;top:5245;width:167;height:366;visibility:visible;mso-wrap-style:square;v-text-anchor:top" coordsize="16714,3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ghscA&#10;AADeAAAADwAAAGRycy9kb3ducmV2LnhtbESP3WrCQBSE7wu+w3IE75qNkYqmboIIhdIWxJ9Cc3fI&#10;nibB7NmQ3Wp8e7cgeDnMzDfMKh9MK87Uu8aygmkUgyAurW64UnA8vD0vQDiPrLG1TAqu5CDPRk8r&#10;TLW98I7Oe1+JAGGXooLa+y6V0pU1GXSR7YiD92t7gz7IvpK6x0uAm1YmcTyXBhsOCzV2tKmpPO3/&#10;jIJ1h5/b3dfQfGyLn+J7PiVcSFJqMh7WryA8Df4RvrfftYJktnxJ4P9Ou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YIbHAAAA3gAAAA8AAAAAAAAAAAAAAAAAmAIAAGRy&#10;cy9kb3ducmV2LnhtbFBLBQYAAAAABAAEAPUAAACMAwAAAAA=&#10;" path="m16714,r,6089l10373,8696c8769,10364,7810,12685,7709,15295r9005,l16714,20375r-9005,c7709,23118,8448,25706,9995,27608r6719,2940l16714,36656,4440,31648c1533,28389,,23785,,18407,,13428,1619,8805,4542,5427l16714,xe" fillcolor="#57575a" stroked="f" strokeweight="0">
                  <v:stroke miterlimit="83231f" joinstyle="miter"/>
                  <v:path arrowok="t" textboxrect="0,0,16714,36656"/>
                </v:shape>
                <v:shape id="Shape 23953" o:spid="_x0000_s2043" style="position:absolute;left:61299;top:5494;width:163;height:119;visibility:visible;mso-wrap-style:square;v-text-anchor:top" coordsize="16242,1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l/cYA&#10;AADeAAAADwAAAGRycy9kb3ducmV2LnhtbESP3WrCQBSE7wt9h+UUeiN1o/bP1FW0WOhdNfUBDtlj&#10;EsyeDTmrSd6+Kwi9HGbmG2ax6l2tLtRK5dnAZJyAIs69rbgwcPj9enoHJQHZYu2ZDAwksFre3y0w&#10;tb7jPV2yUKgIYUnRQBlCk2oteUkOZewb4ugdfeswRNkW2rbYRbir9TRJXrXDiuNCiQ19lpSfsrMz&#10;sG5OP8Pb8y4jGU2Gg+y7rWx2xjw+9OsPUIH68B++tb+tgels/jKD6514B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Ql/cYAAADeAAAADwAAAAAAAAAAAAAAAACYAgAAZHJz&#10;L2Rvd25yZXYueG1sUEsFBgAAAAAEAAQA9QAAAIsDAAAAAA==&#10;" path="m8927,r7315,c14567,7683,8064,11938,406,11938l,11772,,5664r406,178c4876,5842,7569,3874,8927,xe" fillcolor="#57575a" stroked="f" strokeweight="0">
                  <v:stroke miterlimit="83231f" joinstyle="miter"/>
                  <v:path arrowok="t" textboxrect="0,0,16242,11938"/>
                </v:shape>
                <v:shape id="Shape 23954" o:spid="_x0000_s2044" style="position:absolute;left:61299;top:5244;width:180;height:204;visibility:visible;mso-wrap-style:square;v-text-anchor:top" coordsize="17995,2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5b8YA&#10;AADeAAAADwAAAGRycy9kb3ducmV2LnhtbESPSW/CMBSE75X6H6xXiRs4bBWkGMSqLnBh6f0pfiRR&#10;4ucoNpD+e4yE1ONoZr7RTGaNKcWVapdbVtDtRCCIE6tzThWcjpv2CITzyBpLy6TgjxzMpq8vE4y1&#10;vfGergefigBhF6OCzPsqltIlGRl0HVsRB+9sa4M+yDqVusZbgJtS9qLoXRrMOSxkWNEyo6Q4XIyC&#10;y++u+Pz+GdOqXy1X62S7oGLTKNV6a+YfIDw1/j/8bH9pBb3+eDiAx51wB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Y5b8YAAADeAAAADwAAAAAAAAAAAAAAAACYAgAAZHJz&#10;L2Rvd25yZXYueG1sUEsFBgAAAAAEAAQA9QAAAIsDAAAAAA==&#10;" path="m190,c11239,,17995,9944,16700,20460l,20460,,15380r9004,c8712,10503,5410,6096,190,6096l,6174,,85,190,xe" fillcolor="#57575a" stroked="f" strokeweight="0">
                  <v:stroke miterlimit="83231f" joinstyle="miter"/>
                  <v:path arrowok="t" textboxrect="0,0,17995,20460"/>
                </v:shape>
                <v:shape id="Shape 23955" o:spid="_x0000_s2045" style="position:absolute;left:61498;top:5244;width:311;height:369;visibility:visible;mso-wrap-style:square;v-text-anchor:top" coordsize="31166,36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gf8YA&#10;AADeAAAADwAAAGRycy9kb3ducmV2LnhtbESPT2vCQBTE74V+h+UVvNVNFUXTrCJCbA+t+Pf+yL4m&#10;odm3YXej8dt3C4LHYWZ+w2TL3jTiQs7XlhW8DRMQxIXVNZcKTsf8dQbCB2SNjWVScCMPy8XzU4ap&#10;tlfe0+UQShEh7FNUUIXQplL6oiKDfmhb4uj9WGcwROlKqR1eI9w0cpQkU2mw5rhQYUvriorfQ2cU&#10;0M59f8xvZq3zNq/N1/bcbTeNUoOXfvUOIlAfHuF7+1MrGI3nkwn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5gf8YAAADeAAAADwAAAAAAAAAAAAAAAACYAgAAZHJz&#10;L2Rvd25yZXYueG1sUEsFBgAAAAAEAAQA9QAAAIsDAAAAAA==&#10;" path="m15367,v7188,,13665,2972,14643,10770l21933,10770c21247,7112,18211,6096,14833,6096v-2235,,-6362,533,-6362,3581c8471,13475,14147,14021,19824,15304v5626,1282,11342,3327,11342,10223c31166,33858,22745,36906,15494,36906,6693,36906,126,32982,,24714r7721,c8115,29197,11519,30810,15646,30810v2921,,8001,-584,7785,-4597c23215,22136,17589,21666,11976,20396,6286,19152,736,17132,736,10020,736,2362,9017,,15367,xe" fillcolor="#57575a" stroked="f" strokeweight="0">
                  <v:stroke miterlimit="83231f" joinstyle="miter"/>
                  <v:path arrowok="t" textboxrect="0,0,31166,36906"/>
                </v:shape>
                <w10:anchorlock/>
              </v:group>
            </w:pict>
          </mc:Fallback>
        </mc:AlternateContent>
      </w:r>
    </w:p>
    <w:p w:rsidR="00EE13F6" w:rsidRDefault="002E5BC4">
      <w:pPr>
        <w:spacing w:after="0"/>
        <w:ind w:left="-5" w:hanging="10"/>
      </w:pPr>
      <w:r>
        <w:rPr>
          <w:color w:val="841F27"/>
          <w:sz w:val="28"/>
        </w:rPr>
        <w:t>Study of the effect of a Financial Transaction Tax on the corporate cost of</w:t>
      </w:r>
    </w:p>
    <w:p w:rsidR="00EE13F6" w:rsidRDefault="002E5BC4">
      <w:pPr>
        <w:spacing w:after="0"/>
        <w:ind w:left="-5" w:hanging="10"/>
      </w:pPr>
      <w:r>
        <w:rPr>
          <w:color w:val="841F27"/>
          <w:sz w:val="28"/>
        </w:rPr>
        <w:t>capital</w:t>
      </w:r>
    </w:p>
    <w:p w:rsidR="00EE13F6" w:rsidRDefault="002E5BC4">
      <w:pPr>
        <w:spacing w:after="87"/>
      </w:pPr>
      <w:r>
        <w:rPr>
          <w:sz w:val="21"/>
        </w:rPr>
        <w:t>Jean Pierre Fraichot</w:t>
      </w:r>
    </w:p>
    <w:p w:rsidR="00EE13F6" w:rsidRDefault="002E5BC4">
      <w:pPr>
        <w:spacing w:after="366"/>
      </w:pPr>
      <w:r>
        <w:rPr>
          <w:sz w:val="18"/>
        </w:rPr>
        <w:t>LEDa, U. Paris Dauphine, PSL Research University, Paris, France</w:t>
      </w:r>
    </w:p>
    <w:tbl>
      <w:tblPr>
        <w:tblStyle w:val="TableGrid"/>
        <w:tblpPr w:vertAnchor="text" w:tblpY="-218"/>
        <w:tblOverlap w:val="never"/>
        <w:tblW w:w="7867" w:type="dxa"/>
        <w:tblInd w:w="0" w:type="dxa"/>
        <w:tblCellMar>
          <w:top w:w="0" w:type="dxa"/>
          <w:left w:w="240" w:type="dxa"/>
          <w:bottom w:w="0" w:type="dxa"/>
          <w:right w:w="236" w:type="dxa"/>
        </w:tblCellMar>
        <w:tblLook w:val="04A0" w:firstRow="1" w:lastRow="0" w:firstColumn="1" w:lastColumn="0" w:noHBand="0" w:noVBand="1"/>
      </w:tblPr>
      <w:tblGrid>
        <w:gridCol w:w="7867"/>
      </w:tblGrid>
      <w:tr w:rsidR="00EE13F6">
        <w:trPr>
          <w:trHeight w:val="3179"/>
        </w:trPr>
        <w:tc>
          <w:tcPr>
            <w:tcW w:w="7867" w:type="dxa"/>
            <w:tcBorders>
              <w:top w:val="nil"/>
              <w:left w:val="nil"/>
              <w:bottom w:val="nil"/>
              <w:right w:val="nil"/>
            </w:tcBorders>
            <w:shd w:val="clear" w:color="auto" w:fill="F3E9E9"/>
            <w:vAlign w:val="center"/>
          </w:tcPr>
          <w:p w:rsidR="00EE13F6" w:rsidRDefault="002E5BC4">
            <w:pPr>
              <w:spacing w:after="3"/>
            </w:pPr>
            <w:r>
              <w:rPr>
                <w:color w:val="841F27"/>
                <w:sz w:val="15"/>
              </w:rPr>
              <w:t>ABSTRACT</w:t>
            </w:r>
          </w:p>
          <w:p w:rsidR="00EE13F6" w:rsidRDefault="002E5BC4">
            <w:pPr>
              <w:spacing w:after="0"/>
              <w:jc w:val="both"/>
            </w:pPr>
            <w:r>
              <w:rPr>
                <w:sz w:val="18"/>
              </w:rPr>
              <w:t>We study the impact of a Financ</w:t>
            </w:r>
            <w:r>
              <w:rPr>
                <w:sz w:val="18"/>
              </w:rPr>
              <w:t>ial Transaction Tax (FTT or Tobin Tax) on the corporate cost of capital. We consider the results on the impact of transaction costs on implied volatility and then use the utility maximization of a market-maker and its asymptotic solution. The FTT impact on</w:t>
            </w:r>
            <w:r>
              <w:rPr>
                <w:sz w:val="18"/>
              </w:rPr>
              <w:t xml:space="preserve"> volatility, in highly liquid equity option markets, is within two decimals (‘the tick value’) and is insignificant. The volatility impact is considerable for illiquid option markets especially long-dated equity options, used for the hedging of credit defa</w:t>
            </w:r>
            <w:r>
              <w:rPr>
                <w:sz w:val="18"/>
              </w:rPr>
              <w:t>ult swaps (CDS). The credit spread increase is computed using a structural model, and amounts between 30 and 60 basis points (b.p). per annum, for 5– 20 year maturities, and a volatility level of 30%. The impact decreases with the corporation leverage rati</w:t>
            </w:r>
            <w:r>
              <w:rPr>
                <w:sz w:val="18"/>
              </w:rPr>
              <w:t>o. We calibrate from the CDS market the implied volatility for six European corporations and find an increase in spreads by up to 60%. For a corporation with a 343 b.p. 5-year CDS spread, the increase amounts to 174 b.p. On the basis of this sample, the im</w:t>
            </w:r>
            <w:r>
              <w:rPr>
                <w:sz w:val="18"/>
              </w:rPr>
              <w:t>pact we find is between 5 and 20 times higher than the one computed in the study of Lendvai et al. which has been used by European Union authorities to assess the impact on the cost of capital.</w:t>
            </w:r>
          </w:p>
        </w:tc>
      </w:tr>
    </w:tbl>
    <w:p w:rsidR="00EE13F6" w:rsidRDefault="002E5BC4">
      <w:pPr>
        <w:spacing w:after="0"/>
        <w:ind w:left="10" w:hanging="10"/>
      </w:pPr>
      <w:r>
        <w:rPr>
          <w:color w:val="841F27"/>
          <w:sz w:val="15"/>
        </w:rPr>
        <w:t>KEYWORDS</w:t>
      </w:r>
    </w:p>
    <w:p w:rsidR="00EE13F6" w:rsidRDefault="002E5BC4">
      <w:pPr>
        <w:spacing w:after="3"/>
        <w:ind w:left="10" w:hanging="10"/>
      </w:pPr>
      <w:r>
        <w:rPr>
          <w:sz w:val="16"/>
        </w:rPr>
        <w:t>Tax reform; options;</w:t>
      </w:r>
    </w:p>
    <w:p w:rsidR="00EE13F6" w:rsidRDefault="002E5BC4">
      <w:pPr>
        <w:spacing w:after="118"/>
        <w:ind w:left="10" w:hanging="10"/>
      </w:pPr>
      <w:r>
        <w:rPr>
          <w:sz w:val="16"/>
        </w:rPr>
        <w:t>volatility; liquidity; credit spread</w:t>
      </w:r>
    </w:p>
    <w:p w:rsidR="00EE13F6" w:rsidRDefault="002E5BC4">
      <w:pPr>
        <w:spacing w:after="0"/>
        <w:ind w:left="10" w:hanging="10"/>
      </w:pPr>
      <w:r>
        <w:rPr>
          <w:color w:val="841F27"/>
          <w:sz w:val="15"/>
        </w:rPr>
        <w:t>JEL CLASSIFICATION</w:t>
      </w:r>
    </w:p>
    <w:p w:rsidR="00EE13F6" w:rsidRDefault="002E5BC4">
      <w:pPr>
        <w:spacing w:after="3"/>
        <w:ind w:left="10" w:hanging="10"/>
      </w:pPr>
      <w:r>
        <w:rPr>
          <w:sz w:val="16"/>
        </w:rPr>
        <w:t>G02; G11; G12; H22; H39</w:t>
      </w:r>
    </w:p>
    <w:p w:rsidR="00EE13F6" w:rsidRDefault="00EE13F6">
      <w:pPr>
        <w:sectPr w:rsidR="00EE13F6">
          <w:headerReference w:type="even" r:id="rId296"/>
          <w:headerReference w:type="default" r:id="rId297"/>
          <w:footerReference w:type="even" r:id="rId298"/>
          <w:footerReference w:type="default" r:id="rId299"/>
          <w:headerReference w:type="first" r:id="rId300"/>
          <w:footerReference w:type="first" r:id="rId301"/>
          <w:footnotePr>
            <w:numRestart w:val="eachPage"/>
          </w:footnotePr>
          <w:pgSz w:w="12189" w:h="15874"/>
          <w:pgMar w:top="841" w:right="1438" w:bottom="1162" w:left="1200" w:header="720" w:footer="770" w:gutter="0"/>
          <w:cols w:space="720"/>
          <w:titlePg/>
        </w:sectPr>
      </w:pPr>
    </w:p>
    <w:p w:rsidR="00EE13F6" w:rsidRDefault="002E5BC4">
      <w:pPr>
        <w:spacing w:after="132" w:line="257" w:lineRule="auto"/>
        <w:ind w:left="-5" w:hanging="10"/>
      </w:pPr>
      <w:r>
        <w:rPr>
          <w:color w:val="841F27"/>
        </w:rPr>
        <w:t>I. Introduction</w:t>
      </w:r>
    </w:p>
    <w:p w:rsidR="00EE13F6" w:rsidRDefault="002E5BC4">
      <w:pPr>
        <w:spacing w:after="5" w:line="271" w:lineRule="auto"/>
        <w:ind w:left="-4" w:hanging="10"/>
        <w:jc w:val="both"/>
      </w:pPr>
      <w:r>
        <w:rPr>
          <w:noProof/>
        </w:rPr>
        <mc:AlternateContent>
          <mc:Choice Requires="wpg">
            <w:drawing>
              <wp:anchor distT="0" distB="0" distL="114300" distR="114300" simplePos="0" relativeHeight="251670528" behindDoc="0" locked="0" layoutInCell="1" allowOverlap="1">
                <wp:simplePos x="0" y="0"/>
                <wp:positionH relativeFrom="page">
                  <wp:posOffset>40259</wp:posOffset>
                </wp:positionH>
                <wp:positionV relativeFrom="page">
                  <wp:posOffset>3503943</wp:posOffset>
                </wp:positionV>
                <wp:extent cx="114300" cy="3072130"/>
                <wp:effectExtent l="0" t="0" r="0" b="0"/>
                <wp:wrapSquare wrapText="bothSides"/>
                <wp:docPr id="214720" name="Group 214720"/>
                <wp:cNvGraphicFramePr/>
                <a:graphic xmlns:a="http://schemas.openxmlformats.org/drawingml/2006/main">
                  <a:graphicData uri="http://schemas.microsoft.com/office/word/2010/wordprocessingGroup">
                    <wpg:wgp>
                      <wpg:cNvGrpSpPr/>
                      <wpg:grpSpPr>
                        <a:xfrm>
                          <a:off x="0" y="0"/>
                          <a:ext cx="114300" cy="3072130"/>
                          <a:chOff x="0" y="0"/>
                          <a:chExt cx="114300" cy="3072130"/>
                        </a:xfrm>
                      </wpg:grpSpPr>
                      <wps:wsp>
                        <wps:cNvPr id="23957" name="Rectangle 23957"/>
                        <wps:cNvSpPr/>
                        <wps:spPr>
                          <a:xfrm rot="-5399999">
                            <a:off x="-1966956" y="953154"/>
                            <a:ext cx="4085934" cy="152019"/>
                          </a:xfrm>
                          <a:prstGeom prst="rect">
                            <a:avLst/>
                          </a:prstGeom>
                          <a:ln>
                            <a:noFill/>
                          </a:ln>
                        </wps:spPr>
                        <wps:txbx>
                          <w:txbxContent>
                            <w:p w:rsidR="00EE13F6" w:rsidRDefault="002E5BC4">
                              <w:r>
                                <w:rPr>
                                  <w:rFonts w:ascii="Times New Roman" w:eastAsia="Times New Roman" w:hAnsi="Times New Roman" w:cs="Times New Roman"/>
                                  <w:sz w:val="20"/>
                                </w:rPr>
                                <w:t xml:space="preserve">Downloaded by [Jean fraichot] at 02:17 19 September 2017 </w:t>
                              </w:r>
                            </w:p>
                          </w:txbxContent>
                        </wps:txbx>
                        <wps:bodyPr horzOverflow="overflow" vert="horz" lIns="0" tIns="0" rIns="0" bIns="0" rtlCol="0">
                          <a:noAutofit/>
                        </wps:bodyPr>
                      </wps:wsp>
                    </wpg:wgp>
                  </a:graphicData>
                </a:graphic>
              </wp:anchor>
            </w:drawing>
          </mc:Choice>
          <mc:Fallback>
            <w:pict>
              <v:group id="Group 214720" o:spid="_x0000_s2046" style="position:absolute;left:0;text-align:left;margin-left:3.15pt;margin-top:275.9pt;width:9pt;height:241.9pt;z-index:251670528;mso-position-horizontal-relative:page;mso-position-vertical-relative:page" coordsize="1143,3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">
                <v:rect id="Rectangle 23957" o:spid="_x0000_s2047" style="position:absolute;left:-19670;top:9532;width:40859;height:152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uE8gA&#10;AADeAAAADwAAAGRycy9kb3ducmV2LnhtbESPS2sCQRCE7wH/w9CCtzjrIxpXR5GArJcI0SR4bHd6&#10;H7jTs9kZdf33mUDAY1FVX1GLVWsqcaXGlZYVDPoRCOLU6pJzBZ+HzfMrCOeRNVaWScGdHKyWnacF&#10;xtre+IOue5+LAGEXo4LC+zqW0qUFGXR9WxMHL7ONQR9kk0vd4C3ATSWHUTSRBksOCwXW9FZQet5f&#10;jIKvweHynbjdiY/Zz3T87pNdlidK9brteg7CU+sf4f/2VisYjmYvU/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q4TyAAAAN4AAAAPAAAAAAAAAAAAAAAAAJgCAABk&#10;cnMvZG93bnJldi54bWxQSwUGAAAAAAQABAD1AAAAjQMAAAAA&#10;" filled="f" stroked="f">
                  <v:textbox inset="0,0,0,0">
                    <w:txbxContent>
                      <w:p w:rsidR="00EE13F6" w:rsidRDefault="002E5BC4">
                        <w:r>
                          <w:rPr>
                            <w:rFonts w:ascii="Times New Roman" w:eastAsia="Times New Roman" w:hAnsi="Times New Roman" w:cs="Times New Roman"/>
                            <w:sz w:val="20"/>
                          </w:rPr>
                          <w:t xml:space="preserve">Downloaded by [Jean fraichot] at 02:17 19 September 2017 </w:t>
                        </w:r>
                      </w:p>
                    </w:txbxContent>
                  </v:textbox>
                </v:rect>
                <w10:wrap type="square" anchorx="page" anchory="page"/>
              </v:group>
            </w:pict>
          </mc:Fallback>
        </mc:AlternateContent>
      </w:r>
      <w:r>
        <w:rPr>
          <w:rFonts w:ascii="Times New Roman" w:eastAsia="Times New Roman" w:hAnsi="Times New Roman" w:cs="Times New Roman"/>
        </w:rPr>
        <w:t>In 1972, the Bretton-Woods agreement came to an end. Foreign currencies were allowed to float freely between one another, creating volatility on the foreign exchange markets. Observing this phenomen</w:t>
      </w:r>
      <w:r>
        <w:rPr>
          <w:rFonts w:ascii="Times New Roman" w:eastAsia="Times New Roman" w:hAnsi="Times New Roman" w:cs="Times New Roman"/>
        </w:rPr>
        <w:t>on, James Tobin introduced the concept of a tax on foreign exchange transactions to curb excessive speculation. The idea behind the proposal of such tax was that a transaction tax might reduce short-term speculative trading and excess volatility on the for</w:t>
      </w:r>
      <w:r>
        <w:rPr>
          <w:rFonts w:ascii="Times New Roman" w:eastAsia="Times New Roman" w:hAnsi="Times New Roman" w:cs="Times New Roman"/>
        </w:rPr>
        <w:t>eign exchange market. In fact, James Tobin was adapting an idea proposed by John Maynard Keynes during the Great Depression for securities markets, which consisted of a transaction tax, also designed to curb excessive speculation. In the years following th</w:t>
      </w:r>
      <w:r>
        <w:rPr>
          <w:rFonts w:ascii="Times New Roman" w:eastAsia="Times New Roman" w:hAnsi="Times New Roman" w:cs="Times New Roman"/>
        </w:rPr>
        <w:t>e stock market crash of 1987, Stiglitz and Summers and Summers did revisit Keynes</w:t>
      </w:r>
      <w:r>
        <w:t>’</w:t>
      </w:r>
      <w:r>
        <w:rPr>
          <w:rFonts w:ascii="Times New Roman" w:eastAsia="Times New Roman" w:hAnsi="Times New Roman" w:cs="Times New Roman"/>
        </w:rPr>
        <w:t xml:space="preserve">s original idea and proposed the introduction of a low-rate broad-based </w:t>
      </w:r>
      <w:r>
        <w:t>‘</w:t>
      </w:r>
      <w:r>
        <w:rPr>
          <w:rFonts w:ascii="Times New Roman" w:eastAsia="Times New Roman" w:hAnsi="Times New Roman" w:cs="Times New Roman"/>
        </w:rPr>
        <w:t>Securities Transaction Excise Tax</w:t>
      </w:r>
      <w:r>
        <w:t xml:space="preserve">’ </w:t>
      </w:r>
      <w:r>
        <w:rPr>
          <w:rFonts w:ascii="Times New Roman" w:eastAsia="Times New Roman" w:hAnsi="Times New Roman" w:cs="Times New Roman"/>
        </w:rPr>
        <w:t>(STET). They argued that the tax should apply to all financial ins</w:t>
      </w:r>
      <w:r>
        <w:rPr>
          <w:rFonts w:ascii="Times New Roman" w:eastAsia="Times New Roman" w:hAnsi="Times New Roman" w:cs="Times New Roman"/>
        </w:rPr>
        <w:t>truments, including debt instruments and derivatives, as the exemption of such instruments would create strong distortions in the corporate capital structure. It should be levied, they reasoned, at a low rate as not to discourage arbitrageurs and long-term</w:t>
      </w:r>
      <w:r>
        <w:rPr>
          <w:rFonts w:ascii="Times New Roman" w:eastAsia="Times New Roman" w:hAnsi="Times New Roman" w:cs="Times New Roman"/>
        </w:rPr>
        <w:t xml:space="preserve"> investors, which are useful to the economy.</w:t>
      </w:r>
    </w:p>
    <w:p w:rsidR="00EE13F6" w:rsidRDefault="002E5BC4">
      <w:pPr>
        <w:spacing w:after="5" w:line="271" w:lineRule="auto"/>
        <w:ind w:left="-14" w:firstLine="239"/>
        <w:jc w:val="both"/>
      </w:pPr>
      <w:r>
        <w:rPr>
          <w:rFonts w:ascii="Times New Roman" w:eastAsia="Times New Roman" w:hAnsi="Times New Roman" w:cs="Times New Roman"/>
        </w:rPr>
        <w:t>We focus here on the particular case of the European Financial Transaction Tax (FTT) implementation project. Both securities and foreign exchange transaction taking place in the European Union (EU) or performed by financial institutions domiciled in the EU</w:t>
      </w:r>
      <w:r>
        <w:rPr>
          <w:rFonts w:ascii="Times New Roman" w:eastAsia="Times New Roman" w:hAnsi="Times New Roman" w:cs="Times New Roman"/>
        </w:rPr>
        <w:t xml:space="preserve"> would be subject to this tax. Consequently, the FTT project appears as a hybrid between a STET of the type suggested by JM Keynes, J Stiglitz and Summers and Summers and the Tobin tax of the type suggested by J. Tobin in the early 1970s.</w:t>
      </w:r>
    </w:p>
    <w:p w:rsidR="00EE13F6" w:rsidRDefault="002E5BC4">
      <w:pPr>
        <w:spacing w:after="5" w:line="271" w:lineRule="auto"/>
        <w:ind w:left="-14" w:firstLine="239"/>
        <w:jc w:val="both"/>
      </w:pPr>
      <w:r>
        <w:rPr>
          <w:rFonts w:ascii="Times New Roman" w:eastAsia="Times New Roman" w:hAnsi="Times New Roman" w:cs="Times New Roman"/>
        </w:rPr>
        <w:t>There are quite a</w:t>
      </w:r>
      <w:r>
        <w:rPr>
          <w:rFonts w:ascii="Times New Roman" w:eastAsia="Times New Roman" w:hAnsi="Times New Roman" w:cs="Times New Roman"/>
        </w:rPr>
        <w:t xml:space="preserve"> few empirical contributions analysing the effect of a STET on capital costs. However, few theoretical studies (based on general equilibrium models or other theoretical tools) assess its impact on the real side of the economy. In general terms, the scarce </w:t>
      </w:r>
      <w:r>
        <w:rPr>
          <w:rFonts w:ascii="Times New Roman" w:eastAsia="Times New Roman" w:hAnsi="Times New Roman" w:cs="Times New Roman"/>
        </w:rPr>
        <w:t>existing literature finds that the STET affects economic variables through the transmission of capital costs. See Lendvai, Raciborski, and Vogel (</w:t>
      </w:r>
      <w:r>
        <w:rPr>
          <w:rFonts w:ascii="Times New Roman" w:eastAsia="Times New Roman" w:hAnsi="Times New Roman" w:cs="Times New Roman"/>
          <w:color w:val="00007F"/>
        </w:rPr>
        <w:t>2012</w:t>
      </w:r>
      <w:r>
        <w:rPr>
          <w:rFonts w:ascii="Times New Roman" w:eastAsia="Times New Roman" w:hAnsi="Times New Roman" w:cs="Times New Roman"/>
        </w:rPr>
        <w:t>), Anthony et al. (</w:t>
      </w:r>
      <w:r>
        <w:rPr>
          <w:rFonts w:ascii="Times New Roman" w:eastAsia="Times New Roman" w:hAnsi="Times New Roman" w:cs="Times New Roman"/>
          <w:color w:val="00007F"/>
        </w:rPr>
        <w:t>2012</w:t>
      </w:r>
      <w:r>
        <w:rPr>
          <w:rFonts w:ascii="Times New Roman" w:eastAsia="Times New Roman" w:hAnsi="Times New Roman" w:cs="Times New Roman"/>
        </w:rPr>
        <w:t xml:space="preserve">) and Oxera (Stamp Duty </w:t>
      </w:r>
      <w:r>
        <w:rPr>
          <w:rFonts w:ascii="Times New Roman" w:eastAsia="Times New Roman" w:hAnsi="Times New Roman" w:cs="Times New Roman"/>
          <w:color w:val="00007F"/>
        </w:rPr>
        <w:t>2007</w:t>
      </w:r>
      <w:r>
        <w:rPr>
          <w:rFonts w:ascii="Times New Roman" w:eastAsia="Times New Roman" w:hAnsi="Times New Roman" w:cs="Times New Roman"/>
        </w:rPr>
        <w:t>).</w:t>
      </w:r>
    </w:p>
    <w:tbl>
      <w:tblPr>
        <w:tblStyle w:val="TableGrid"/>
        <w:tblpPr w:vertAnchor="text" w:horzAnchor="margin" w:tblpY="1024"/>
        <w:tblOverlap w:val="never"/>
        <w:tblW w:w="9791" w:type="dxa"/>
        <w:tblInd w:w="0" w:type="dxa"/>
        <w:tblCellMar>
          <w:top w:w="0" w:type="dxa"/>
          <w:left w:w="0" w:type="dxa"/>
          <w:bottom w:w="0" w:type="dxa"/>
          <w:right w:w="1" w:type="dxa"/>
        </w:tblCellMar>
        <w:tblLook w:val="04A0" w:firstRow="1" w:lastRow="0" w:firstColumn="1" w:lastColumn="0" w:noHBand="0" w:noVBand="1"/>
      </w:tblPr>
      <w:tblGrid>
        <w:gridCol w:w="9791"/>
      </w:tblGrid>
      <w:tr w:rsidR="00EE13F6">
        <w:trPr>
          <w:trHeight w:val="560"/>
        </w:trPr>
        <w:tc>
          <w:tcPr>
            <w:tcW w:w="9704" w:type="dxa"/>
            <w:tcBorders>
              <w:top w:val="nil"/>
              <w:left w:val="nil"/>
              <w:bottom w:val="nil"/>
              <w:right w:val="nil"/>
            </w:tcBorders>
            <w:vAlign w:val="bottom"/>
          </w:tcPr>
          <w:p w:rsidR="00EE13F6" w:rsidRDefault="002E5BC4">
            <w:pPr>
              <w:spacing w:after="34" w:line="229" w:lineRule="auto"/>
            </w:pPr>
            <w:r>
              <w:rPr>
                <w:noProof/>
              </w:rPr>
              <mc:AlternateContent>
                <mc:Choice Requires="wpg">
                  <w:drawing>
                    <wp:anchor distT="0" distB="0" distL="114300" distR="114300" simplePos="0" relativeHeight="251671552" behindDoc="1" locked="0" layoutInCell="1" allowOverlap="1">
                      <wp:simplePos x="0" y="0"/>
                      <wp:positionH relativeFrom="column">
                        <wp:posOffset>0</wp:posOffset>
                      </wp:positionH>
                      <wp:positionV relativeFrom="paragraph">
                        <wp:posOffset>-80257</wp:posOffset>
                      </wp:positionV>
                      <wp:extent cx="6216486" cy="181725"/>
                      <wp:effectExtent l="0" t="0" r="0" b="0"/>
                      <wp:wrapNone/>
                      <wp:docPr id="214718" name="Group 214718"/>
                      <wp:cNvGraphicFramePr/>
                      <a:graphic xmlns:a="http://schemas.openxmlformats.org/drawingml/2006/main">
                        <a:graphicData uri="http://schemas.microsoft.com/office/word/2010/wordprocessingGroup">
                          <wpg:wgp>
                            <wpg:cNvGrpSpPr/>
                            <wpg:grpSpPr>
                              <a:xfrm>
                                <a:off x="0" y="0"/>
                                <a:ext cx="6216486" cy="181725"/>
                                <a:chOff x="0" y="0"/>
                                <a:chExt cx="6216486" cy="181725"/>
                              </a:xfrm>
                            </wpg:grpSpPr>
                            <wps:wsp>
                              <wps:cNvPr id="230940" name="Shape 230940"/>
                              <wps:cNvSpPr/>
                              <wps:spPr>
                                <a:xfrm>
                                  <a:off x="0" y="0"/>
                                  <a:ext cx="6216486" cy="12243"/>
                                </a:xfrm>
                                <a:custGeom>
                                  <a:avLst/>
                                  <a:gdLst/>
                                  <a:ahLst/>
                                  <a:cxnLst/>
                                  <a:rect l="0" t="0" r="0" b="0"/>
                                  <a:pathLst>
                                    <a:path w="6216486" h="12243">
                                      <a:moveTo>
                                        <a:pt x="0" y="0"/>
                                      </a:moveTo>
                                      <a:lnTo>
                                        <a:pt x="6216486" y="0"/>
                                      </a:lnTo>
                                      <a:lnTo>
                                        <a:pt x="6216486" y="12243"/>
                                      </a:lnTo>
                                      <a:lnTo>
                                        <a:pt x="0" y="12243"/>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822" name="Shape 23822"/>
                              <wps:cNvSpPr/>
                              <wps:spPr>
                                <a:xfrm>
                                  <a:off x="1325524" y="62368"/>
                                  <a:ext cx="34404" cy="111711"/>
                                </a:xfrm>
                                <a:custGeom>
                                  <a:avLst/>
                                  <a:gdLst/>
                                  <a:ahLst/>
                                  <a:cxnLst/>
                                  <a:rect l="0" t="0" r="0" b="0"/>
                                  <a:pathLst>
                                    <a:path w="34404" h="111711">
                                      <a:moveTo>
                                        <a:pt x="34404" y="0"/>
                                      </a:moveTo>
                                      <a:lnTo>
                                        <a:pt x="34404" y="32095"/>
                                      </a:lnTo>
                                      <a:lnTo>
                                        <a:pt x="26086" y="32095"/>
                                      </a:lnTo>
                                      <a:lnTo>
                                        <a:pt x="25629" y="32197"/>
                                      </a:lnTo>
                                      <a:lnTo>
                                        <a:pt x="34404" y="40016"/>
                                      </a:lnTo>
                                      <a:lnTo>
                                        <a:pt x="34404" y="47186"/>
                                      </a:lnTo>
                                      <a:lnTo>
                                        <a:pt x="21158" y="35372"/>
                                      </a:lnTo>
                                      <a:cubicBezTo>
                                        <a:pt x="20879" y="36007"/>
                                        <a:pt x="20739" y="36706"/>
                                        <a:pt x="20739" y="37442"/>
                                      </a:cubicBezTo>
                                      <a:lnTo>
                                        <a:pt x="20739" y="80215"/>
                                      </a:lnTo>
                                      <a:cubicBezTo>
                                        <a:pt x="20739" y="80977"/>
                                        <a:pt x="20904" y="81714"/>
                                        <a:pt x="21222" y="82387"/>
                                      </a:cubicBezTo>
                                      <a:lnTo>
                                        <a:pt x="34404" y="71088"/>
                                      </a:lnTo>
                                      <a:lnTo>
                                        <a:pt x="34404" y="78115"/>
                                      </a:lnTo>
                                      <a:lnTo>
                                        <a:pt x="25794" y="85499"/>
                                      </a:lnTo>
                                      <a:lnTo>
                                        <a:pt x="26073" y="85537"/>
                                      </a:lnTo>
                                      <a:lnTo>
                                        <a:pt x="34404" y="85537"/>
                                      </a:lnTo>
                                      <a:lnTo>
                                        <a:pt x="34404" y="111711"/>
                                      </a:lnTo>
                                      <a:lnTo>
                                        <a:pt x="23105" y="104855"/>
                                      </a:lnTo>
                                      <a:cubicBezTo>
                                        <a:pt x="8993" y="93207"/>
                                        <a:pt x="0" y="75581"/>
                                        <a:pt x="0" y="55857"/>
                                      </a:cubicBezTo>
                                      <a:cubicBezTo>
                                        <a:pt x="0" y="36126"/>
                                        <a:pt x="8993" y="18500"/>
                                        <a:pt x="23105" y="6855"/>
                                      </a:cubicBezTo>
                                      <a:lnTo>
                                        <a:pt x="34404"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23" name="Shape 23823"/>
                              <wps:cNvSpPr/>
                              <wps:spPr>
                                <a:xfrm>
                                  <a:off x="1359929" y="147904"/>
                                  <a:ext cx="28835" cy="33768"/>
                                </a:xfrm>
                                <a:custGeom>
                                  <a:avLst/>
                                  <a:gdLst/>
                                  <a:ahLst/>
                                  <a:cxnLst/>
                                  <a:rect l="0" t="0" r="0" b="0"/>
                                  <a:pathLst>
                                    <a:path w="28835" h="33768">
                                      <a:moveTo>
                                        <a:pt x="0" y="0"/>
                                      </a:moveTo>
                                      <a:lnTo>
                                        <a:pt x="28835" y="0"/>
                                      </a:lnTo>
                                      <a:lnTo>
                                        <a:pt x="28835" y="33768"/>
                                      </a:lnTo>
                                      <a:lnTo>
                                        <a:pt x="4376" y="28829"/>
                                      </a:lnTo>
                                      <a:lnTo>
                                        <a:pt x="0" y="26174"/>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24" name="Shape 23824"/>
                              <wps:cNvSpPr/>
                              <wps:spPr>
                                <a:xfrm>
                                  <a:off x="1359929" y="102384"/>
                                  <a:ext cx="28835" cy="38098"/>
                                </a:xfrm>
                                <a:custGeom>
                                  <a:avLst/>
                                  <a:gdLst/>
                                  <a:ahLst/>
                                  <a:cxnLst/>
                                  <a:rect l="0" t="0" r="0" b="0"/>
                                  <a:pathLst>
                                    <a:path w="28835" h="38098">
                                      <a:moveTo>
                                        <a:pt x="0" y="0"/>
                                      </a:moveTo>
                                      <a:lnTo>
                                        <a:pt x="28835" y="25693"/>
                                      </a:lnTo>
                                      <a:lnTo>
                                        <a:pt x="28835" y="32865"/>
                                      </a:lnTo>
                                      <a:lnTo>
                                        <a:pt x="17691" y="22927"/>
                                      </a:lnTo>
                                      <a:lnTo>
                                        <a:pt x="0" y="38098"/>
                                      </a:lnTo>
                                      <a:lnTo>
                                        <a:pt x="0" y="31072"/>
                                      </a:lnTo>
                                      <a:lnTo>
                                        <a:pt x="13665" y="19359"/>
                                      </a:lnTo>
                                      <a:lnTo>
                                        <a:pt x="0" y="7170"/>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25" name="Shape 23825"/>
                              <wps:cNvSpPr/>
                              <wps:spPr>
                                <a:xfrm>
                                  <a:off x="1359929" y="54777"/>
                                  <a:ext cx="28835" cy="39685"/>
                                </a:xfrm>
                                <a:custGeom>
                                  <a:avLst/>
                                  <a:gdLst/>
                                  <a:ahLst/>
                                  <a:cxnLst/>
                                  <a:rect l="0" t="0" r="0" b="0"/>
                                  <a:pathLst>
                                    <a:path w="28835" h="39685">
                                      <a:moveTo>
                                        <a:pt x="28835" y="0"/>
                                      </a:moveTo>
                                      <a:lnTo>
                                        <a:pt x="28835" y="39685"/>
                                      </a:lnTo>
                                      <a:lnTo>
                                        <a:pt x="0" y="39685"/>
                                      </a:lnTo>
                                      <a:lnTo>
                                        <a:pt x="0" y="7590"/>
                                      </a:lnTo>
                                      <a:lnTo>
                                        <a:pt x="4376" y="4936"/>
                                      </a:lnTo>
                                      <a:lnTo>
                                        <a:pt x="28835"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26" name="Shape 23826"/>
                              <wps:cNvSpPr/>
                              <wps:spPr>
                                <a:xfrm>
                                  <a:off x="1388764" y="147904"/>
                                  <a:ext cx="29363" cy="33820"/>
                                </a:xfrm>
                                <a:custGeom>
                                  <a:avLst/>
                                  <a:gdLst/>
                                  <a:ahLst/>
                                  <a:cxnLst/>
                                  <a:rect l="0" t="0" r="0" b="0"/>
                                  <a:pathLst>
                                    <a:path w="29363" h="33820">
                                      <a:moveTo>
                                        <a:pt x="0" y="0"/>
                                      </a:moveTo>
                                      <a:lnTo>
                                        <a:pt x="29363" y="0"/>
                                      </a:lnTo>
                                      <a:lnTo>
                                        <a:pt x="29363" y="25874"/>
                                      </a:lnTo>
                                      <a:lnTo>
                                        <a:pt x="24981" y="28829"/>
                                      </a:lnTo>
                                      <a:cubicBezTo>
                                        <a:pt x="17383" y="32043"/>
                                        <a:pt x="9030" y="33820"/>
                                        <a:pt x="260" y="33820"/>
                                      </a:cubicBezTo>
                                      <a:lnTo>
                                        <a:pt x="0" y="33768"/>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27" name="Shape 23827"/>
                              <wps:cNvSpPr/>
                              <wps:spPr>
                                <a:xfrm>
                                  <a:off x="1388764" y="102615"/>
                                  <a:ext cx="29363" cy="38229"/>
                                </a:xfrm>
                                <a:custGeom>
                                  <a:avLst/>
                                  <a:gdLst/>
                                  <a:ahLst/>
                                  <a:cxnLst/>
                                  <a:rect l="0" t="0" r="0" b="0"/>
                                  <a:pathLst>
                                    <a:path w="29363" h="38229">
                                      <a:moveTo>
                                        <a:pt x="29363" y="0"/>
                                      </a:moveTo>
                                      <a:lnTo>
                                        <a:pt x="29363" y="7141"/>
                                      </a:lnTo>
                                      <a:lnTo>
                                        <a:pt x="15704" y="19203"/>
                                      </a:lnTo>
                                      <a:lnTo>
                                        <a:pt x="29363" y="31153"/>
                                      </a:lnTo>
                                      <a:lnTo>
                                        <a:pt x="29363" y="38229"/>
                                      </a:lnTo>
                                      <a:lnTo>
                                        <a:pt x="11665" y="22771"/>
                                      </a:lnTo>
                                      <a:lnTo>
                                        <a:pt x="235" y="32843"/>
                                      </a:lnTo>
                                      <a:lnTo>
                                        <a:pt x="0" y="32634"/>
                                      </a:lnTo>
                                      <a:lnTo>
                                        <a:pt x="0" y="25461"/>
                                      </a:lnTo>
                                      <a:lnTo>
                                        <a:pt x="260" y="25693"/>
                                      </a:lnTo>
                                      <a:lnTo>
                                        <a:pt x="29363"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28" name="Shape 23828"/>
                              <wps:cNvSpPr/>
                              <wps:spPr>
                                <a:xfrm>
                                  <a:off x="1388764" y="54725"/>
                                  <a:ext cx="29363" cy="39738"/>
                                </a:xfrm>
                                <a:custGeom>
                                  <a:avLst/>
                                  <a:gdLst/>
                                  <a:ahLst/>
                                  <a:cxnLst/>
                                  <a:rect l="0" t="0" r="0" b="0"/>
                                  <a:pathLst>
                                    <a:path w="29363" h="39738">
                                      <a:moveTo>
                                        <a:pt x="260" y="0"/>
                                      </a:moveTo>
                                      <a:cubicBezTo>
                                        <a:pt x="9030" y="0"/>
                                        <a:pt x="17383" y="1777"/>
                                        <a:pt x="24981" y="4989"/>
                                      </a:cubicBezTo>
                                      <a:lnTo>
                                        <a:pt x="29363" y="7943"/>
                                      </a:lnTo>
                                      <a:lnTo>
                                        <a:pt x="29363" y="39738"/>
                                      </a:lnTo>
                                      <a:lnTo>
                                        <a:pt x="0" y="39738"/>
                                      </a:lnTo>
                                      <a:lnTo>
                                        <a:pt x="0" y="53"/>
                                      </a:lnTo>
                                      <a:lnTo>
                                        <a:pt x="26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29" name="Shape 23829"/>
                              <wps:cNvSpPr/>
                              <wps:spPr>
                                <a:xfrm>
                                  <a:off x="1418126" y="62667"/>
                                  <a:ext cx="34398" cy="111111"/>
                                </a:xfrm>
                                <a:custGeom>
                                  <a:avLst/>
                                  <a:gdLst/>
                                  <a:ahLst/>
                                  <a:cxnLst/>
                                  <a:rect l="0" t="0" r="0" b="0"/>
                                  <a:pathLst>
                                    <a:path w="34398" h="111111">
                                      <a:moveTo>
                                        <a:pt x="0" y="0"/>
                                      </a:moveTo>
                                      <a:lnTo>
                                        <a:pt x="15802" y="10653"/>
                                      </a:lnTo>
                                      <a:cubicBezTo>
                                        <a:pt x="27292" y="22144"/>
                                        <a:pt x="34398" y="38019"/>
                                        <a:pt x="34398" y="55557"/>
                                      </a:cubicBezTo>
                                      <a:cubicBezTo>
                                        <a:pt x="34398" y="73089"/>
                                        <a:pt x="27292" y="88964"/>
                                        <a:pt x="15802" y="100457"/>
                                      </a:cubicBezTo>
                                      <a:lnTo>
                                        <a:pt x="0" y="111111"/>
                                      </a:lnTo>
                                      <a:lnTo>
                                        <a:pt x="0" y="85237"/>
                                      </a:lnTo>
                                      <a:lnTo>
                                        <a:pt x="8083" y="85237"/>
                                      </a:lnTo>
                                      <a:lnTo>
                                        <a:pt x="0" y="78177"/>
                                      </a:lnTo>
                                      <a:lnTo>
                                        <a:pt x="0" y="71101"/>
                                      </a:lnTo>
                                      <a:lnTo>
                                        <a:pt x="12935" y="82417"/>
                                      </a:lnTo>
                                      <a:cubicBezTo>
                                        <a:pt x="13367" y="81643"/>
                                        <a:pt x="13659" y="80830"/>
                                        <a:pt x="13659" y="79915"/>
                                      </a:cubicBezTo>
                                      <a:lnTo>
                                        <a:pt x="13659" y="37130"/>
                                      </a:lnTo>
                                      <a:cubicBezTo>
                                        <a:pt x="13659" y="36507"/>
                                        <a:pt x="13494" y="35910"/>
                                        <a:pt x="13290" y="35351"/>
                                      </a:cubicBezTo>
                                      <a:lnTo>
                                        <a:pt x="0" y="47089"/>
                                      </a:lnTo>
                                      <a:lnTo>
                                        <a:pt x="0" y="39948"/>
                                      </a:lnTo>
                                      <a:lnTo>
                                        <a:pt x="9061" y="31948"/>
                                      </a:lnTo>
                                      <a:lnTo>
                                        <a:pt x="8299" y="31795"/>
                                      </a:lnTo>
                                      <a:lnTo>
                                        <a:pt x="0" y="31795"/>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41" name="Shape 230941"/>
                              <wps:cNvSpPr/>
                              <wps:spPr>
                                <a:xfrm>
                                  <a:off x="2825115" y="130049"/>
                                  <a:ext cx="18326" cy="9144"/>
                                </a:xfrm>
                                <a:custGeom>
                                  <a:avLst/>
                                  <a:gdLst/>
                                  <a:ahLst/>
                                  <a:cxnLst/>
                                  <a:rect l="0" t="0" r="0" b="0"/>
                                  <a:pathLst>
                                    <a:path w="18326" h="9144">
                                      <a:moveTo>
                                        <a:pt x="0" y="0"/>
                                      </a:moveTo>
                                      <a:lnTo>
                                        <a:pt x="18326" y="0"/>
                                      </a:lnTo>
                                      <a:lnTo>
                                        <a:pt x="18326" y="9144"/>
                                      </a:lnTo>
                                      <a:lnTo>
                                        <a:pt x="0" y="9144"/>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42" name="Shape 230942"/>
                              <wps:cNvSpPr/>
                              <wps:spPr>
                                <a:xfrm>
                                  <a:off x="2825115" y="118135"/>
                                  <a:ext cx="18326" cy="9144"/>
                                </a:xfrm>
                                <a:custGeom>
                                  <a:avLst/>
                                  <a:gdLst/>
                                  <a:ahLst/>
                                  <a:cxnLst/>
                                  <a:rect l="0" t="0" r="0" b="0"/>
                                  <a:pathLst>
                                    <a:path w="18326" h="9144">
                                      <a:moveTo>
                                        <a:pt x="0" y="0"/>
                                      </a:moveTo>
                                      <a:lnTo>
                                        <a:pt x="18326" y="0"/>
                                      </a:lnTo>
                                      <a:lnTo>
                                        <a:pt x="18326" y="9144"/>
                                      </a:lnTo>
                                      <a:lnTo>
                                        <a:pt x="0" y="9144"/>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33" name="Shape 23833"/>
                              <wps:cNvSpPr/>
                              <wps:spPr>
                                <a:xfrm>
                                  <a:off x="2792159" y="57190"/>
                                  <a:ext cx="51283" cy="122072"/>
                                </a:xfrm>
                                <a:custGeom>
                                  <a:avLst/>
                                  <a:gdLst/>
                                  <a:ahLst/>
                                  <a:cxnLst/>
                                  <a:rect l="0" t="0" r="0" b="0"/>
                                  <a:pathLst>
                                    <a:path w="51283" h="122072">
                                      <a:moveTo>
                                        <a:pt x="51283" y="0"/>
                                      </a:moveTo>
                                      <a:lnTo>
                                        <a:pt x="51283" y="37121"/>
                                      </a:lnTo>
                                      <a:lnTo>
                                        <a:pt x="20739" y="37121"/>
                                      </a:lnTo>
                                      <a:lnTo>
                                        <a:pt x="20739" y="90740"/>
                                      </a:lnTo>
                                      <a:lnTo>
                                        <a:pt x="51283" y="90740"/>
                                      </a:lnTo>
                                      <a:lnTo>
                                        <a:pt x="51283" y="122072"/>
                                      </a:lnTo>
                                      <a:lnTo>
                                        <a:pt x="38774" y="119546"/>
                                      </a:lnTo>
                                      <a:cubicBezTo>
                                        <a:pt x="15987" y="109908"/>
                                        <a:pt x="0" y="87344"/>
                                        <a:pt x="0" y="61035"/>
                                      </a:cubicBezTo>
                                      <a:cubicBezTo>
                                        <a:pt x="0" y="34737"/>
                                        <a:pt x="15987" y="12167"/>
                                        <a:pt x="38774" y="2526"/>
                                      </a:cubicBezTo>
                                      <a:lnTo>
                                        <a:pt x="51283"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43" name="Shape 230943"/>
                              <wps:cNvSpPr/>
                              <wps:spPr>
                                <a:xfrm>
                                  <a:off x="2843441" y="130049"/>
                                  <a:ext cx="18326" cy="9144"/>
                                </a:xfrm>
                                <a:custGeom>
                                  <a:avLst/>
                                  <a:gdLst/>
                                  <a:ahLst/>
                                  <a:cxnLst/>
                                  <a:rect l="0" t="0" r="0" b="0"/>
                                  <a:pathLst>
                                    <a:path w="18326" h="9144">
                                      <a:moveTo>
                                        <a:pt x="0" y="0"/>
                                      </a:moveTo>
                                      <a:lnTo>
                                        <a:pt x="18326" y="0"/>
                                      </a:lnTo>
                                      <a:lnTo>
                                        <a:pt x="18326" y="9144"/>
                                      </a:lnTo>
                                      <a:lnTo>
                                        <a:pt x="0" y="9144"/>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44" name="Shape 230944"/>
                              <wps:cNvSpPr/>
                              <wps:spPr>
                                <a:xfrm>
                                  <a:off x="2843441" y="1181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0945" name="Shape 230945"/>
                              <wps:cNvSpPr/>
                              <wps:spPr>
                                <a:xfrm>
                                  <a:off x="2873985" y="100267"/>
                                  <a:ext cx="18326" cy="17869"/>
                                </a:xfrm>
                                <a:custGeom>
                                  <a:avLst/>
                                  <a:gdLst/>
                                  <a:ahLst/>
                                  <a:cxnLst/>
                                  <a:rect l="0" t="0" r="0" b="0"/>
                                  <a:pathLst>
                                    <a:path w="18326" h="17869">
                                      <a:moveTo>
                                        <a:pt x="0" y="0"/>
                                      </a:moveTo>
                                      <a:lnTo>
                                        <a:pt x="18326" y="0"/>
                                      </a:lnTo>
                                      <a:lnTo>
                                        <a:pt x="18326" y="17869"/>
                                      </a:lnTo>
                                      <a:lnTo>
                                        <a:pt x="0" y="17869"/>
                                      </a:lnTo>
                                      <a:lnTo>
                                        <a:pt x="0" y="0"/>
                                      </a:lnTo>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3837" name="Shape 23837"/>
                              <wps:cNvSpPr/>
                              <wps:spPr>
                                <a:xfrm>
                                  <a:off x="2843441" y="54725"/>
                                  <a:ext cx="75438" cy="126721"/>
                                </a:xfrm>
                                <a:custGeom>
                                  <a:avLst/>
                                  <a:gdLst/>
                                  <a:ahLst/>
                                  <a:cxnLst/>
                                  <a:rect l="0" t="0" r="0" b="0"/>
                                  <a:pathLst>
                                    <a:path w="75438" h="126721">
                                      <a:moveTo>
                                        <a:pt x="12205" y="0"/>
                                      </a:moveTo>
                                      <a:cubicBezTo>
                                        <a:pt x="38513" y="0"/>
                                        <a:pt x="61085" y="15995"/>
                                        <a:pt x="70726" y="38785"/>
                                      </a:cubicBezTo>
                                      <a:lnTo>
                                        <a:pt x="75438" y="62116"/>
                                      </a:lnTo>
                                      <a:lnTo>
                                        <a:pt x="75438" y="64884"/>
                                      </a:lnTo>
                                      <a:lnTo>
                                        <a:pt x="70726" y="88220"/>
                                      </a:lnTo>
                                      <a:cubicBezTo>
                                        <a:pt x="64298" y="103415"/>
                                        <a:pt x="52124" y="115585"/>
                                        <a:pt x="36927" y="122011"/>
                                      </a:cubicBezTo>
                                      <a:lnTo>
                                        <a:pt x="13589" y="126721"/>
                                      </a:lnTo>
                                      <a:lnTo>
                                        <a:pt x="10821" y="126721"/>
                                      </a:lnTo>
                                      <a:lnTo>
                                        <a:pt x="0" y="124537"/>
                                      </a:lnTo>
                                      <a:lnTo>
                                        <a:pt x="0" y="93205"/>
                                      </a:lnTo>
                                      <a:lnTo>
                                        <a:pt x="54978" y="93205"/>
                                      </a:lnTo>
                                      <a:lnTo>
                                        <a:pt x="54978" y="39586"/>
                                      </a:lnTo>
                                      <a:lnTo>
                                        <a:pt x="0" y="39586"/>
                                      </a:lnTo>
                                      <a:lnTo>
                                        <a:pt x="0" y="2465"/>
                                      </a:lnTo>
                                      <a:lnTo>
                                        <a:pt x="12205"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g:wgp>
                        </a:graphicData>
                      </a:graphic>
                    </wp:anchor>
                  </w:drawing>
                </mc:Choice>
                <mc:Fallback>
                  <w:pict>
                    <v:group w14:anchorId="44255AFB" id="Group 214718" o:spid="_x0000_s1026" style="position:absolute;margin-left:0;margin-top:-6.3pt;width:489.5pt;height:14.3pt;z-index:-251644928" coordsize="62164,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">
                      <v:shape id="Shape 230940" o:spid="_x0000_s1027" style="position:absolute;width:62164;height:122;visibility:visible;mso-wrap-style:square;v-text-anchor:top" coordsize="6216486,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UXcQA&#10;AADfAAAADwAAAGRycy9kb3ducmV2LnhtbESPy4rCMBSG9wO+QziCuzH1wqDVKEVQ1Fl5eYBDc2yr&#10;zUlp0svM05vFwCx//hvfetubUrRUu8Kygsk4AkGcWl1wpuB+238uQDiPrLG0TAp+yMF2M/hYY6xt&#10;xxdqrz4TYYRdjApy76tYSpfmZNCNbUUcvIetDfog60zqGrswbko5jaIvabDg8JBjRbuc0te1MQpO&#10;9wMXfm+e3W9/1t9tk9jmkig1GvbJCoSn3v+H/9pHrWA6i5bzQBB4AgvIz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1F3EAAAA3wAAAA8AAAAAAAAAAAAAAAAAmAIAAGRycy9k&#10;b3ducmV2LnhtbFBLBQYAAAAABAAEAPUAAACJAwAAAAA=&#10;" path="m,l6216486,r,12243l,12243,,e" fillcolor="#841f27" strokecolor="#841f27" strokeweight="0">
                        <v:stroke endcap="round"/>
                        <v:path arrowok="t" textboxrect="0,0,6216486,12243"/>
                      </v:shape>
                      <v:shape id="Shape 23822" o:spid="_x0000_s1028" style="position:absolute;left:13255;top:623;width:344;height:1117;visibility:visible;mso-wrap-style:square;v-text-anchor:top" coordsize="34404,11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1DsUA&#10;AADeAAAADwAAAGRycy9kb3ducmV2LnhtbESP3YrCMBSE7xd8h3AEbxZNraxKNUoVBFnYC38e4NAc&#10;22BzUpqodZ9+syB4OczMN8xy3dla3Kn1xrGC8SgBQVw4bbhUcD7thnMQPiBrrB2Tgid5WK96H0vM&#10;tHvwge7HUIoIYZ+hgiqEJpPSFxVZ9CPXEEfv4lqLIcq2lLrFR4TbWqZJMpUWDceFChvaVlRcjzer&#10;gNzXd24+t85sfjmfUXc4/eiNUoN+ly9ABOrCO/xq77WCdDJPU/i/E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zUOxQAAAN4AAAAPAAAAAAAAAAAAAAAAAJgCAABkcnMv&#10;ZG93bnJldi54bWxQSwUGAAAAAAQABAD1AAAAigMAAAAA&#10;" path="m34404,r,32095l26086,32095r-457,102l34404,40016r,7170l21158,35372v-279,635,-419,1334,-419,2070l20739,80215v,762,165,1499,483,2172l34404,71088r,7027l25794,85499r279,38l34404,85537r,26174l23105,104855c8993,93207,,75581,,55857,,36126,8993,18500,23105,6855l34404,xe" fillcolor="#221d1d" stroked="f" strokeweight="0">
                        <v:stroke miterlimit="83231f" joinstyle="miter"/>
                        <v:path arrowok="t" textboxrect="0,0,34404,111711"/>
                      </v:shape>
                      <v:shape id="Shape 23823" o:spid="_x0000_s1029" style="position:absolute;left:13599;top:1479;width:288;height:337;visibility:visible;mso-wrap-style:square;v-text-anchor:top" coordsize="28835,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6xMYA&#10;AADeAAAADwAAAGRycy9kb3ducmV2LnhtbESP3WrCQBSE7wXfYTlC73RjLCVEVxExUJCCP+39IXvM&#10;BrNnQ3Y1sU/fLRR6OczMN8xqM9hGPKjztWMF81kCgrh0uuZKweelmGYgfEDW2DgmBU/ysFmPRyvM&#10;tev5RI9zqESEsM9RgQmhzaX0pSGLfuZa4uhdXWcxRNlVUnfYR7htZJokb9JizXHBYEs7Q+XtfLcK&#10;9sVh930yx+yDvvoim/vjxb1WSr1Mhu0SRKAh/If/2u9aQbrI0gX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R6xMYAAADeAAAADwAAAAAAAAAAAAAAAACYAgAAZHJz&#10;L2Rvd25yZXYueG1sUEsFBgAAAAAEAAQA9QAAAIsDAAAAAA==&#10;" path="m,l28835,r,33768l4376,28829,,26174,,xe" fillcolor="#221d1d" stroked="f" strokeweight="0">
                        <v:stroke miterlimit="83231f" joinstyle="miter"/>
                        <v:path arrowok="t" textboxrect="0,0,28835,33768"/>
                      </v:shape>
                      <v:shape id="Shape 23824" o:spid="_x0000_s1030" style="position:absolute;left:13599;top:1023;width:288;height:381;visibility:visible;mso-wrap-style:square;v-text-anchor:top" coordsize="28835,38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kvsQA&#10;AADeAAAADwAAAGRycy9kb3ducmV2LnhtbERPTWvCQBC9C/6HZQRvZpO0tpJmlbZUEaSH2tJeh+w0&#10;CWZnQ3bV6K93BcHj433ni9404kCdqy0rSKIYBHFhdc2lgp/v5WQGwnlkjY1lUnAiB4v5cJBjpu2R&#10;v+iw9aUIIewyVFB532ZSuqIigy6yLXHg/m1n0AfYlVJ3eAzhppFpHD9JgzWHhgpbeq+o2G33RsH0&#10;Y/NHTdi0+4wpWZ1/N8vy7Vmp8ah/fQHhqfd38c291grSh1n6CNc74Qr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JL7EAAAA3gAAAA8AAAAAAAAAAAAAAAAAmAIAAGRycy9k&#10;b3ducmV2LnhtbFBLBQYAAAAABAAEAPUAAACJAwAAAAA=&#10;" path="m,l28835,25693r,7172l17691,22927,,38098,,31072,13665,19359,,7170,,xe" fillcolor="#221d1d" stroked="f" strokeweight="0">
                        <v:stroke miterlimit="83231f" joinstyle="miter"/>
                        <v:path arrowok="t" textboxrect="0,0,28835,38098"/>
                      </v:shape>
                      <v:shape id="Shape 23825" o:spid="_x0000_s1031" style="position:absolute;left:13599;top:547;width:288;height:397;visibility:visible;mso-wrap-style:square;v-text-anchor:top" coordsize="28835,3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F58UA&#10;AADeAAAADwAAAGRycy9kb3ducmV2LnhtbESPQYvCMBSE7wv+h/AEb2tqRaldo4iLoN50xfOjebZl&#10;m5faZG311xtB2OMwM98w82VnKnGjxpWWFYyGEQjizOqScwWnn81nAsJ5ZI2VZVJwJwfLRe9jjqm2&#10;LR/odvS5CBB2KSoovK9TKV1WkEE3tDVx8C62MeiDbHKpG2wD3FQyjqKpNFhyWCiwpnVB2e/xzyjg&#10;79n0Imf7JKrb3X31uO7PE3NVatDvVl8gPHX+P/xub7WCeJzEE3jdCV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0XnxQAAAN4AAAAPAAAAAAAAAAAAAAAAAJgCAABkcnMv&#10;ZG93bnJldi54bWxQSwUGAAAAAAQABAD1AAAAigMAAAAA&#10;" path="m28835,r,39685l,39685,,7590,4376,4936,28835,xe" fillcolor="#221d1d" stroked="f" strokeweight="0">
                        <v:stroke miterlimit="83231f" joinstyle="miter"/>
                        <v:path arrowok="t" textboxrect="0,0,28835,39685"/>
                      </v:shape>
                      <v:shape id="Shape 23826" o:spid="_x0000_s1032" style="position:absolute;left:13887;top:1479;width:294;height:338;visibility:visible;mso-wrap-style:square;v-text-anchor:top" coordsize="29363,3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jJ8cA&#10;AADeAAAADwAAAGRycy9kb3ducmV2LnhtbESPQWvCQBSE7wX/w/KE3ppNU4iSukppKRX0UKP0/My+&#10;JqHZt2F31eivdwuCx2FmvmFmi8F04kjOt5YVPCcpCOLK6pZrBbvt59MUhA/IGjvLpOBMHhbz0cMM&#10;C21PvKFjGWoRIewLVNCE0BdS+qohgz6xPXH0fq0zGKJ0tdQOTxFuOpmlaS4NthwXGuzpvaHqrzwY&#10;BeX+MFnyl6/O3+uP/GcyuM3+slLqcTy8vYIINIR7+NZeagXZyzTL4f9Ov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8oyfHAAAA3gAAAA8AAAAAAAAAAAAAAAAAmAIAAGRy&#10;cy9kb3ducmV2LnhtbFBLBQYAAAAABAAEAPUAAACMAwAAAAA=&#10;" path="m,l29363,r,25874l24981,28829c17383,32043,9030,33820,260,33820l,33768,,xe" fillcolor="#221d1d" stroked="f" strokeweight="0">
                        <v:stroke miterlimit="83231f" joinstyle="miter"/>
                        <v:path arrowok="t" textboxrect="0,0,29363,33820"/>
                      </v:shape>
                      <v:shape id="Shape 23827" o:spid="_x0000_s1033" style="position:absolute;left:13887;top:1026;width:294;height:382;visibility:visible;mso-wrap-style:square;v-text-anchor:top" coordsize="29363,3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xScYA&#10;AADeAAAADwAAAGRycy9kb3ducmV2LnhtbESPQWvCQBSE7wX/w/KE3urGCCrRVUQo5OChpjXF2yP7&#10;TBazb0N2q+m/7wpCj8PMfMOst4NtxY16bxwrmE4SEMSV04ZrBV+f729LED4ga2wdk4Jf8rDdjF7W&#10;mGl35yPdilCLCGGfoYImhC6T0lcNWfQT1xFH7+J6iyHKvpa6x3uE21amSTKXFg3HhQY72jdUXYsf&#10;q8AkpZ+ecgpl9a1P+flQfCxKo9TreNitQAQawn/42c61gnS2TBfwuBOv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XxScYAAADeAAAADwAAAAAAAAAAAAAAAACYAgAAZHJz&#10;L2Rvd25yZXYueG1sUEsFBgAAAAAEAAQA9QAAAIsDAAAAAA==&#10;" path="m29363,r,7141l15704,19203,29363,31153r,7076l11665,22771,235,32843,,32634,,25461r260,232l29363,xe" fillcolor="#221d1d" stroked="f" strokeweight="0">
                        <v:stroke miterlimit="83231f" joinstyle="miter"/>
                        <v:path arrowok="t" textboxrect="0,0,29363,38229"/>
                      </v:shape>
                      <v:shape id="Shape 23828" o:spid="_x0000_s1034" style="position:absolute;left:13887;top:547;width:294;height:397;visibility:visible;mso-wrap-style:square;v-text-anchor:top" coordsize="29363,3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88MA&#10;AADeAAAADwAAAGRycy9kb3ducmV2LnhtbERPyW7CMBC9I/UfrEHigopDkCqUYhBiKSBOpe19iIfE&#10;NB6H2IXw9/hQiePT2yez1lbiSo03jhUMBwkI4txpw4WC76/16xiED8gaK8ek4E4eZtOXzgQz7W78&#10;SddDKEQMYZ+hgjKEOpPS5yVZ9ANXE0fu5BqLIcKmkLrBWwy3lUyT5E1aNBwbSqxpUVL+e/izCvrH&#10;TdK6pfvZ7+Z6uPq4GGPPRqlet52/gwjUhqf4373VCtLROI174514B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S88MAAADeAAAADwAAAAAAAAAAAAAAAACYAgAAZHJzL2Rv&#10;d25yZXYueG1sUEsFBgAAAAAEAAQA9QAAAIgDAAAAAA==&#10;" path="m260,c9030,,17383,1777,24981,4989r4382,2954l29363,39738,,39738,,53,260,xe" fillcolor="#221d1d" stroked="f" strokeweight="0">
                        <v:stroke miterlimit="83231f" joinstyle="miter"/>
                        <v:path arrowok="t" textboxrect="0,0,29363,39738"/>
                      </v:shape>
                      <v:shape id="Shape 23829" o:spid="_x0000_s1035" style="position:absolute;left:14181;top:626;width:344;height:1111;visibility:visible;mso-wrap-style:square;v-text-anchor:top" coordsize="34398,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P38YA&#10;AADeAAAADwAAAGRycy9kb3ducmV2LnhtbESPQWvCQBSE74X+h+UVvBTddAXR6ColIHqQira010f2&#10;mQSzb0N2jfHfdwXB4zAz3zCLVW9r0VHrK8caPkYJCOLcmYoLDT/f6+EUhA/IBmvHpOFGHlbL15cF&#10;psZd+UDdMRQiQtinqKEMoUml9HlJFv3INcTRO7nWYoiyLaRp8RrhtpYqSSbSYsVxocSGspLy8/Fi&#10;NeDu/fdrPyaVZ1I1fyGT2/Om03rw1n/OQQTqwzP8aG+NBjWeqhnc78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ZP38YAAADeAAAADwAAAAAAAAAAAAAAAACYAgAAZHJz&#10;L2Rvd25yZXYueG1sUEsFBgAAAAAEAAQA9QAAAIsDAAAAAA==&#10;" path="m,l15802,10653c27292,22144,34398,38019,34398,55557v,17532,-7106,33407,-18596,44900l,111111,,85237r8083,l,78177,,71101,12935,82417v432,-774,724,-1587,724,-2502l13659,37130v,-623,-165,-1220,-369,-1779l,47089,,39948,9061,31948r-762,-153l,31795,,xe" fillcolor="#221d1d" stroked="f" strokeweight="0">
                        <v:stroke miterlimit="83231f" joinstyle="miter"/>
                        <v:path arrowok="t" textboxrect="0,0,34398,111111"/>
                      </v:shape>
                      <v:shape id="Shape 230941" o:spid="_x0000_s1036" style="position:absolute;left:28251;top:1300;width:183;height:91;visibility:visible;mso-wrap-style:square;v-text-anchor:top" coordsize="183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9McgA&#10;AADfAAAADwAAAGRycy9kb3ducmV2LnhtbESPwW7CMBBE75X6D9ZW4gZOKK1KikGAhAS9FfiAbbyN&#10;I+J1EruQ8PUYCanH0cy80cwWna3EmVpfOlaQjhIQxLnTJRcKjofN8AOED8gaK8ekoCcPi/nz0wwz&#10;7S78Ted9KESEsM9QgQmhzqT0uSGLfuRq4uj9utZiiLItpG7xEuG2kuMkeZcWS44LBmtaG8pP+z+r&#10;oFxNi/5n9bb+ag79cWeuzTI9NUoNXrrlJ4hAXfgPP9pbrWD8mkwnKdz/x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970xyAAAAN8AAAAPAAAAAAAAAAAAAAAAAJgCAABk&#10;cnMvZG93bnJldi54bWxQSwUGAAAAAAQABAD1AAAAjQMAAAAA&#10;" path="m,l18326,r,9144l,9144,,e" fillcolor="#221d1d" stroked="f" strokeweight="0">
                        <v:stroke miterlimit="83231f" joinstyle="miter"/>
                        <v:path arrowok="t" textboxrect="0,0,18326,9144"/>
                      </v:shape>
                      <v:shape id="Shape 230942" o:spid="_x0000_s1037" style="position:absolute;left:28251;top:1181;width:183;height:91;visibility:visible;mso-wrap-style:square;v-text-anchor:top" coordsize="183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jRsgA&#10;AADfAAAADwAAAGRycy9kb3ducmV2LnhtbESPwW7CMBBE75X6D9ZW4gYOKa1KikGAhAS9FfiAbbyN&#10;I+J1EruQ8PUYCanH0cy80cwWna3EmVpfOlYwHiUgiHOnSy4UHA+b4QcIH5A1Vo5JQU8eFvPnpxlm&#10;2l34m877UIgIYZ+hAhNCnUnpc0MW/cjVxNH7da3FEGVbSN3iJcJtJdMkeZcWS44LBmtaG8pP+z+r&#10;oFxNi/5n9bb+ag79cWeuzXJ8apQavHTLTxCBuvAffrS3WkH6mkwnKdz/x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SNGyAAAAN8AAAAPAAAAAAAAAAAAAAAAAJgCAABk&#10;cnMvZG93bnJldi54bWxQSwUGAAAAAAQABAD1AAAAjQMAAAAA&#10;" path="m,l18326,r,9144l,9144,,e" fillcolor="#221d1d" stroked="f" strokeweight="0">
                        <v:stroke miterlimit="83231f" joinstyle="miter"/>
                        <v:path arrowok="t" textboxrect="0,0,18326,9144"/>
                      </v:shape>
                      <v:shape id="Shape 23833" o:spid="_x0000_s1038" style="position:absolute;left:27921;top:571;width:513;height:1221;visibility:visible;mso-wrap-style:square;v-text-anchor:top" coordsize="51283,12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DcsQA&#10;AADeAAAADwAAAGRycy9kb3ducmV2LnhtbESPQWvCQBSE7wX/w/IKXopuNLRI6ioiCB7VVry+Zl+T&#10;kOzbNbua+O9dQfA4zMw3zHzZm0ZcqfWVZQWTcQKCOLe64kLB789mNAPhA7LGxjIpuJGH5WLwNsdM&#10;2473dD2EQkQI+wwVlCG4TEqfl2TQj60jjt6/bQ2GKNtC6ha7CDeNnCbJlzRYcVwo0dG6pLw+XIyC&#10;v93ZfHSuNt3puNOfXN+Ojiqlhu/96htEoD68ws/2ViuYprM0hcedeAX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w3LEAAAA3gAAAA8AAAAAAAAAAAAAAAAAmAIAAGRycy9k&#10;b3ducmV2LnhtbFBLBQYAAAAABAAEAPUAAACJAwAAAAA=&#10;" path="m51283,r,37121l20739,37121r,53619l51283,90740r,31332l38774,119546c15987,109908,,87344,,61035,,34737,15987,12167,38774,2526l51283,xe" fillcolor="#221d1d" stroked="f" strokeweight="0">
                        <v:stroke miterlimit="83231f" joinstyle="miter"/>
                        <v:path arrowok="t" textboxrect="0,0,51283,122072"/>
                      </v:shape>
                      <v:shape id="Shape 230943" o:spid="_x0000_s1039" style="position:absolute;left:28434;top:1300;width:183;height:91;visibility:visible;mso-wrap-style:square;v-text-anchor:top" coordsize="183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G3cgA&#10;AADfAAAADwAAAGRycy9kb3ducmV2LnhtbESPzW7CMBCE75X6DtYicQOHn1YlYBAgIUFv/DzANt7G&#10;EfE6iV1I+vQ1ElKPo5n5RrNYtbYUN2p84VjBaJiAIM6cLjhXcDnvBh8gfEDWWDomBR15WC1fXxaY&#10;anfnI91OIRcRwj5FBSaEKpXSZ4Ys+qGriKP37RqLIcoml7rBe4TbUo6T5F1aLDguGKxoayi7nn6s&#10;gmIzy7uvzdv2sz53l4P5rdeja61Uv9eu5yACteE//GzvtYLxJJlNJ/D4E7+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aYbdyAAAAN8AAAAPAAAAAAAAAAAAAAAAAJgCAABk&#10;cnMvZG93bnJldi54bWxQSwUGAAAAAAQABAD1AAAAjQMAAAAA&#10;" path="m,l18326,r,9144l,9144,,e" fillcolor="#221d1d" stroked="f" strokeweight="0">
                        <v:stroke miterlimit="83231f" joinstyle="miter"/>
                        <v:path arrowok="t" textboxrect="0,0,18326,9144"/>
                      </v:shape>
                      <v:shape id="Shape 230944" o:spid="_x0000_s1040" style="position:absolute;left:28434;top:118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XN8cA&#10;AADfAAAADwAAAGRycy9kb3ducmV2LnhtbESPT2sCMRTE7wW/Q3hCL0Wz9U/VrVFUKnjVKnh8bJ67&#10;Szcv2yR1129vCoLHYWZ+w8yXranElZwvLSt47ycgiDOrS84VHL+3vSkIH5A1VpZJwY08LBedlzmm&#10;2ja8p+sh5CJC2KeooAihTqX0WUEGfd/WxNG7WGcwROlyqR02EW4qOUiSD2mw5LhQYE2bgrKfw59R&#10;sNoeZVOPf0/n9dfmTZ55sh+SU+q1264+QQRqwzP8aO+0gsEwmY1G8P8nf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nVzfHAAAA3wAAAA8AAAAAAAAAAAAAAAAAmAIAAGRy&#10;cy9kb3ducmV2LnhtbFBLBQYAAAAABAAEAPUAAACMAwAAAAA=&#10;" path="m,l9144,r,9144l,9144,,e" fillcolor="#221d1d" stroked="f" strokeweight="0">
                        <v:stroke miterlimit="83231f" joinstyle="miter"/>
                        <v:path arrowok="t" textboxrect="0,0,9144,9144"/>
                      </v:shape>
                      <v:shape id="Shape 230945" o:spid="_x0000_s1041" style="position:absolute;left:28739;top:1002;width:184;height:179;visibility:visible;mso-wrap-style:square;v-text-anchor:top" coordsize="18326,17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rssgA&#10;AADfAAAADwAAAGRycy9kb3ducmV2LnhtbESPQWvCQBSE74L/YXlCb7qr1aDRVUJbwUuRqqDHR/Y1&#10;Sc2+Ddmtxn/fLRR6HGbmG2a16WwtbtT6yrGG8UiBIM6dqbjQcDpuh3MQPiAbrB2Thgd52Kz7vRWm&#10;xt35g26HUIgIYZ+ihjKEJpXS5yVZ9CPXEEfv07UWQ5RtIU2L9wi3tZwolUiLFceFEht6KSm/Hr6t&#10;hrd3v790l2z7lWTuNVPJ4zzzldZPgy5bggjUhf/wX3tnNEye1WI6g98/8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9muyyAAAAN8AAAAPAAAAAAAAAAAAAAAAAJgCAABk&#10;cnMvZG93bnJldi54bWxQSwUGAAAAAAQABAD1AAAAjQMAAAAA&#10;" path="m,l18326,r,17869l,17869,,e" fillcolor="#221d1d" stroked="f" strokeweight="0">
                        <v:stroke miterlimit="83231f" joinstyle="miter"/>
                        <v:path arrowok="t" textboxrect="0,0,18326,17869"/>
                      </v:shape>
                      <v:shape id="Shape 23837" o:spid="_x0000_s1042" style="position:absolute;left:28434;top:547;width:754;height:1267;visibility:visible;mso-wrap-style:square;v-text-anchor:top" coordsize="75438,12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dscA&#10;AADeAAAADwAAAGRycy9kb3ducmV2LnhtbESPQWvCQBSE74L/YXlCL0U3GrAhdRVRCkIpUiO2x0f2&#10;NQlm34bsapJ/3y0UPA4z8w2z2vSmFndqXWVZwXwWgSDOra64UHDO3qYJCOeRNdaWScFADjbr8WiF&#10;qbYdf9L95AsRIOxSVFB636RSurwkg25mG+Lg/djWoA+yLaRusQtwU8tFFC2lwYrDQokN7UrKr6eb&#10;UdBd9P572OPX8XnuqLh8yPdrJpV6mvTbVxCeev8I/7cPWsEiTuI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Pu3bHAAAA3gAAAA8AAAAAAAAAAAAAAAAAmAIAAGRy&#10;cy9kb3ducmV2LnhtbFBLBQYAAAAABAAEAPUAAACMAwAAAAA=&#10;" path="m12205,c38513,,61085,15995,70726,38785r4712,23331l75438,64884,70726,88220v-6428,15195,-18602,27365,-33799,33791l13589,126721r-2768,l,124537,,93205r54978,l54978,39586,,39586,,2465,12205,xe" fillcolor="#221d1d" stroked="f" strokeweight="0">
                        <v:stroke miterlimit="83231f" joinstyle="miter"/>
                        <v:path arrowok="t" textboxrect="0,0,75438,126721"/>
                      </v:shape>
                    </v:group>
                  </w:pict>
                </mc:Fallback>
              </mc:AlternateContent>
            </w:r>
            <w:r>
              <w:rPr>
                <w:color w:val="841F27"/>
                <w:sz w:val="16"/>
              </w:rPr>
              <w:t xml:space="preserve">CONTACT </w:t>
            </w:r>
            <w:r>
              <w:rPr>
                <w:sz w:val="16"/>
              </w:rPr>
              <w:t>Jean Pierre Fraichot</w:t>
            </w:r>
            <w:r>
              <w:rPr>
                <w:sz w:val="16"/>
              </w:rPr>
              <w:tab/>
            </w:r>
            <w:r>
              <w:rPr>
                <w:color w:val="00007F"/>
                <w:sz w:val="16"/>
              </w:rPr>
              <w:t>jean-pierre.fraichot@dauphine.fr</w:t>
            </w:r>
            <w:r>
              <w:rPr>
                <w:color w:val="00007F"/>
                <w:sz w:val="16"/>
              </w:rPr>
              <w:tab/>
            </w:r>
            <w:r>
              <w:rPr>
                <w:sz w:val="16"/>
              </w:rPr>
              <w:t>LEDa, Université Paris-Dauphine, PSL Research University, Place du Maréchal de Lattre de Tassigny, Paris 75775, France</w:t>
            </w:r>
          </w:p>
          <w:p w:rsidR="00EE13F6" w:rsidRDefault="002E5BC4">
            <w:pPr>
              <w:spacing w:after="0"/>
            </w:pPr>
            <w:r>
              <w:rPr>
                <w:sz w:val="14"/>
              </w:rPr>
              <w:t>© 2017 Informa UK Limited, trading as Taylor &amp; Francis Group</w:t>
            </w:r>
          </w:p>
        </w:tc>
      </w:tr>
    </w:tbl>
    <w:p w:rsidR="00EE13F6" w:rsidRDefault="002E5BC4">
      <w:pPr>
        <w:spacing w:after="5" w:line="271" w:lineRule="auto"/>
        <w:ind w:left="-14" w:firstLine="239"/>
        <w:jc w:val="both"/>
      </w:pPr>
      <w:r>
        <w:rPr>
          <w:rFonts w:ascii="Times New Roman" w:eastAsia="Times New Roman" w:hAnsi="Times New Roman" w:cs="Times New Roman"/>
        </w:rPr>
        <w:lastRenderedPageBreak/>
        <w:t xml:space="preserve">The effects on corporate capital costs of </w:t>
      </w:r>
      <w:r>
        <w:rPr>
          <w:rFonts w:ascii="Times New Roman" w:eastAsia="Times New Roman" w:hAnsi="Times New Roman" w:cs="Times New Roman"/>
        </w:rPr>
        <w:t>the introduction of a STET for US markets have been reviewed</w:t>
      </w:r>
    </w:p>
    <w:p w:rsidR="00EE13F6" w:rsidRDefault="002E5BC4">
      <w:pPr>
        <w:spacing w:after="312" w:line="313" w:lineRule="auto"/>
        <w:ind w:left="-5" w:hanging="10"/>
      </w:pPr>
      <w:r>
        <w:rPr>
          <w:sz w:val="15"/>
        </w:rPr>
        <w:t>2</w:t>
      </w:r>
    </w:p>
    <w:p w:rsidR="00EE13F6" w:rsidRDefault="002E5BC4">
      <w:pPr>
        <w:spacing w:after="5" w:line="271" w:lineRule="auto"/>
        <w:ind w:left="-4" w:hanging="10"/>
        <w:jc w:val="both"/>
      </w:pPr>
      <w:r>
        <w:rPr>
          <w:rFonts w:ascii="Times New Roman" w:eastAsia="Times New Roman" w:hAnsi="Times New Roman" w:cs="Times New Roman"/>
        </w:rPr>
        <w:t xml:space="preserve">(Amihud and Mendelson </w:t>
      </w:r>
      <w:r>
        <w:rPr>
          <w:rFonts w:ascii="Times New Roman" w:eastAsia="Times New Roman" w:hAnsi="Times New Roman" w:cs="Times New Roman"/>
          <w:color w:val="00007F"/>
        </w:rPr>
        <w:t>1991</w:t>
      </w:r>
      <w:r>
        <w:rPr>
          <w:rFonts w:ascii="Times New Roman" w:eastAsia="Times New Roman" w:hAnsi="Times New Roman" w:cs="Times New Roman"/>
        </w:rPr>
        <w:t xml:space="preserve">, Hakkio </w:t>
      </w:r>
      <w:r>
        <w:rPr>
          <w:rFonts w:ascii="Times New Roman" w:eastAsia="Times New Roman" w:hAnsi="Times New Roman" w:cs="Times New Roman"/>
          <w:color w:val="00007F"/>
        </w:rPr>
        <w:t>1994</w:t>
      </w:r>
      <w:r>
        <w:rPr>
          <w:rFonts w:ascii="Times New Roman" w:eastAsia="Times New Roman" w:hAnsi="Times New Roman" w:cs="Times New Roman"/>
        </w:rPr>
        <w:t xml:space="preserve">, Matheson </w:t>
      </w:r>
      <w:r>
        <w:rPr>
          <w:rFonts w:ascii="Times New Roman" w:eastAsia="Times New Roman" w:hAnsi="Times New Roman" w:cs="Times New Roman"/>
          <w:color w:val="00007F"/>
        </w:rPr>
        <w:t>2003</w:t>
      </w:r>
      <w:r>
        <w:rPr>
          <w:rFonts w:ascii="Times New Roman" w:eastAsia="Times New Roman" w:hAnsi="Times New Roman" w:cs="Times New Roman"/>
        </w:rPr>
        <w:t>, among others). Amihud and Mendelson did conclude to a decrease in asset prices due to the fact that investors consider the net present va</w:t>
      </w:r>
      <w:r>
        <w:rPr>
          <w:rFonts w:ascii="Times New Roman" w:eastAsia="Times New Roman" w:hAnsi="Times New Roman" w:cs="Times New Roman"/>
        </w:rPr>
        <w:t xml:space="preserve">lue of future transaction costs when pricing financial assets. Empirical studies have focused on the experience of various countries that have tried and implemented different types of STET, such as the United Kingdom (Saporta and Kan </w:t>
      </w:r>
      <w:r>
        <w:rPr>
          <w:rFonts w:ascii="Times New Roman" w:eastAsia="Times New Roman" w:hAnsi="Times New Roman" w:cs="Times New Roman"/>
          <w:color w:val="00007F"/>
        </w:rPr>
        <w:t>1997</w:t>
      </w:r>
      <w:r>
        <w:rPr>
          <w:rFonts w:ascii="Times New Roman" w:eastAsia="Times New Roman" w:hAnsi="Times New Roman" w:cs="Times New Roman"/>
        </w:rPr>
        <w:t>, Hawkins and McCr</w:t>
      </w:r>
      <w:r>
        <w:rPr>
          <w:rFonts w:ascii="Times New Roman" w:eastAsia="Times New Roman" w:hAnsi="Times New Roman" w:cs="Times New Roman"/>
        </w:rPr>
        <w:t xml:space="preserve">ae </w:t>
      </w:r>
      <w:r>
        <w:rPr>
          <w:rFonts w:ascii="Times New Roman" w:eastAsia="Times New Roman" w:hAnsi="Times New Roman" w:cs="Times New Roman"/>
          <w:color w:val="00007F"/>
        </w:rPr>
        <w:t>2002</w:t>
      </w:r>
      <w:r>
        <w:rPr>
          <w:rFonts w:ascii="Times New Roman" w:eastAsia="Times New Roman" w:hAnsi="Times New Roman" w:cs="Times New Roman"/>
        </w:rPr>
        <w:t xml:space="preserve">, Oxera (Stamp Duty </w:t>
      </w:r>
      <w:r>
        <w:rPr>
          <w:rFonts w:ascii="Times New Roman" w:eastAsia="Times New Roman" w:hAnsi="Times New Roman" w:cs="Times New Roman"/>
          <w:color w:val="00007F"/>
        </w:rPr>
        <w:t>2007</w:t>
      </w:r>
      <w:r>
        <w:rPr>
          <w:rFonts w:ascii="Times New Roman" w:eastAsia="Times New Roman" w:hAnsi="Times New Roman" w:cs="Times New Roman"/>
        </w:rPr>
        <w:t xml:space="preserve">)) and Sweden (Umlauf </w:t>
      </w:r>
      <w:r>
        <w:rPr>
          <w:rFonts w:ascii="Times New Roman" w:eastAsia="Times New Roman" w:hAnsi="Times New Roman" w:cs="Times New Roman"/>
          <w:color w:val="00007F"/>
        </w:rPr>
        <w:t>1993</w:t>
      </w:r>
      <w:r>
        <w:rPr>
          <w:rFonts w:ascii="Times New Roman" w:eastAsia="Times New Roman" w:hAnsi="Times New Roman" w:cs="Times New Roman"/>
        </w:rPr>
        <w:t xml:space="preserve">, Westerholm </w:t>
      </w:r>
      <w:r>
        <w:rPr>
          <w:rFonts w:ascii="Times New Roman" w:eastAsia="Times New Roman" w:hAnsi="Times New Roman" w:cs="Times New Roman"/>
          <w:color w:val="00007F"/>
        </w:rPr>
        <w:t>2003</w:t>
      </w:r>
      <w:r>
        <w:rPr>
          <w:rFonts w:ascii="Times New Roman" w:eastAsia="Times New Roman" w:hAnsi="Times New Roman" w:cs="Times New Roman"/>
        </w:rPr>
        <w:t>). The literature concludes that taxes on securities transactions would be associated with a decrease in asset prices and an increase in the cost of capital.</w:t>
      </w:r>
    </w:p>
    <w:p w:rsidR="00EE13F6" w:rsidRDefault="002E5BC4">
      <w:pPr>
        <w:spacing w:after="5" w:line="271" w:lineRule="auto"/>
        <w:ind w:left="-14" w:firstLine="240"/>
        <w:jc w:val="both"/>
      </w:pPr>
      <w:r>
        <w:rPr>
          <w:rFonts w:ascii="Times New Roman" w:eastAsia="Times New Roman" w:hAnsi="Times New Roman" w:cs="Times New Roman"/>
        </w:rPr>
        <w:t>For Sweden, Umlauf repor</w:t>
      </w:r>
      <w:r>
        <w:rPr>
          <w:rFonts w:ascii="Times New Roman" w:eastAsia="Times New Roman" w:hAnsi="Times New Roman" w:cs="Times New Roman"/>
        </w:rPr>
        <w:t>ts that the Swedish AllEquity Index fell by 2.2% on the day a 1% transaction tax was introduced in 1983 and again by 0.8% on the day it was increased to 2% in 1986. Westerholm concludes that the repeal of the tax would lead to an increase of respectively 7</w:t>
      </w:r>
      <w:r>
        <w:rPr>
          <w:rFonts w:ascii="Times New Roman" w:eastAsia="Times New Roman" w:hAnsi="Times New Roman" w:cs="Times New Roman"/>
        </w:rPr>
        <w:t xml:space="preserve">.5% and 9.7% in the stock prices. He further estimates the elasticity of asset prices to transaction costs, defined as bid-ask plus brokers fees and transaction taxes, and finds an elasticity of </w:t>
      </w:r>
      <w:r>
        <w:t>−</w:t>
      </w:r>
      <w:r>
        <w:rPr>
          <w:rFonts w:ascii="Times New Roman" w:eastAsia="Times New Roman" w:hAnsi="Times New Roman" w:cs="Times New Roman"/>
        </w:rPr>
        <w:t xml:space="preserve">0.20 for Sweden and </w:t>
      </w:r>
      <w:r>
        <w:t>−</w:t>
      </w:r>
      <w:r>
        <w:rPr>
          <w:rFonts w:ascii="Times New Roman" w:eastAsia="Times New Roman" w:hAnsi="Times New Roman" w:cs="Times New Roman"/>
        </w:rPr>
        <w:t>0.21 for Finland.</w:t>
      </w:r>
    </w:p>
    <w:p w:rsidR="00EE13F6" w:rsidRDefault="002E5BC4">
      <w:pPr>
        <w:spacing w:after="5" w:line="271" w:lineRule="auto"/>
        <w:ind w:left="-14" w:firstLine="240"/>
        <w:jc w:val="both"/>
      </w:pPr>
      <w:r>
        <w:rPr>
          <w:rFonts w:ascii="Times New Roman" w:eastAsia="Times New Roman" w:hAnsi="Times New Roman" w:cs="Times New Roman"/>
        </w:rPr>
        <w:t xml:space="preserve">Studying the effects </w:t>
      </w:r>
      <w:r>
        <w:rPr>
          <w:rFonts w:ascii="Times New Roman" w:eastAsia="Times New Roman" w:hAnsi="Times New Roman" w:cs="Times New Roman"/>
        </w:rPr>
        <w:t>of the introduction of a stamp duty in the UK, Saporta and Kan find that on the day the stamp duty was increased from 1% to 2%, the stock market index declined by 3.3%. Hawkins and McCrae find that if the stamp duty was to be repealed, the stock price incr</w:t>
      </w:r>
      <w:r>
        <w:rPr>
          <w:rFonts w:ascii="Times New Roman" w:eastAsia="Times New Roman" w:hAnsi="Times New Roman" w:cs="Times New Roman"/>
        </w:rPr>
        <w:t>ease would be up to 12.5% and be directly related to the volumes and inversely related to the dividend yield of the stocks.</w:t>
      </w:r>
    </w:p>
    <w:p w:rsidR="00EE13F6" w:rsidRDefault="002E5BC4">
      <w:pPr>
        <w:spacing w:after="5" w:line="271" w:lineRule="auto"/>
        <w:ind w:left="-14" w:firstLine="240"/>
        <w:jc w:val="both"/>
      </w:pPr>
      <w:r>
        <w:rPr>
          <w:rFonts w:ascii="Times New Roman" w:eastAsia="Times New Roman" w:hAnsi="Times New Roman" w:cs="Times New Roman"/>
        </w:rPr>
        <w:t>For the particular case of the FTT, a study by Lendvai et al. found, using a general equilibrium model (Lendvai, Raciborski, and Vog</w:t>
      </w:r>
      <w:r>
        <w:rPr>
          <w:rFonts w:ascii="Times New Roman" w:eastAsia="Times New Roman" w:hAnsi="Times New Roman" w:cs="Times New Roman"/>
        </w:rPr>
        <w:t xml:space="preserve">el </w:t>
      </w:r>
      <w:r>
        <w:rPr>
          <w:rFonts w:ascii="Times New Roman" w:eastAsia="Times New Roman" w:hAnsi="Times New Roman" w:cs="Times New Roman"/>
          <w:color w:val="00007F"/>
        </w:rPr>
        <w:t>2012</w:t>
      </w:r>
      <w:r>
        <w:rPr>
          <w:rFonts w:ascii="Times New Roman" w:eastAsia="Times New Roman" w:hAnsi="Times New Roman" w:cs="Times New Roman"/>
        </w:rPr>
        <w:t>), that the FTT would increase the corporate cost of capital by 9 basis points per annum.</w:t>
      </w:r>
    </w:p>
    <w:p w:rsidR="00EE13F6" w:rsidRDefault="002E5BC4">
      <w:pPr>
        <w:spacing w:after="5" w:line="271" w:lineRule="auto"/>
        <w:ind w:left="-14" w:firstLine="240"/>
        <w:jc w:val="both"/>
      </w:pPr>
      <w:r>
        <w:rPr>
          <w:rFonts w:ascii="Times New Roman" w:eastAsia="Times New Roman" w:hAnsi="Times New Roman" w:cs="Times New Roman"/>
        </w:rPr>
        <w:t>Our study retains the exact specifications of the FTT as stated in the EU project. We try, however, to gauge the quantitative impact of the FTT on the corporate cost of capital through a different approach. We consider the possible effects of the FTT on th</w:t>
      </w:r>
      <w:r>
        <w:rPr>
          <w:rFonts w:ascii="Times New Roman" w:eastAsia="Times New Roman" w:hAnsi="Times New Roman" w:cs="Times New Roman"/>
        </w:rPr>
        <w:t xml:space="preserve">e corporate cost of capital by using the connection </w:t>
      </w:r>
      <w:r>
        <w:rPr>
          <w:rFonts w:ascii="Times New Roman" w:eastAsia="Times New Roman" w:hAnsi="Times New Roman" w:cs="Times New Roman"/>
        </w:rPr>
        <w:lastRenderedPageBreak/>
        <w:t>between credit default swaps (CDS) and equity derivative markets through capital structure arbitrage. This arbitrage consists in taking advantage of the value differences between different financing instr</w:t>
      </w:r>
      <w:r>
        <w:rPr>
          <w:rFonts w:ascii="Times New Roman" w:eastAsia="Times New Roman" w:hAnsi="Times New Roman" w:cs="Times New Roman"/>
        </w:rPr>
        <w:t>uments of the same corporate entity, and finds its justification in the Modigliani</w:t>
      </w:r>
      <w:r>
        <w:t xml:space="preserve">– </w:t>
      </w:r>
      <w:r>
        <w:rPr>
          <w:rFonts w:ascii="Times New Roman" w:eastAsia="Times New Roman" w:hAnsi="Times New Roman" w:cs="Times New Roman"/>
        </w:rPr>
        <w:t>Miller proposition. Our approach aims at capturing the cascading effects of the FTT, especially on the hedging and transaction costs incurred by the economic agents involved in such arbitrage.</w:t>
      </w:r>
    </w:p>
    <w:p w:rsidR="00EE13F6" w:rsidRDefault="002E5BC4">
      <w:pPr>
        <w:spacing w:after="5" w:line="271" w:lineRule="auto"/>
        <w:ind w:left="-14" w:firstLine="239"/>
        <w:jc w:val="both"/>
      </w:pPr>
      <w:r>
        <w:rPr>
          <w:rFonts w:ascii="Times New Roman" w:eastAsia="Times New Roman" w:hAnsi="Times New Roman" w:cs="Times New Roman"/>
        </w:rPr>
        <w:t>We consider that a uniform taxation disposition can induce hete</w:t>
      </w:r>
      <w:r>
        <w:rPr>
          <w:rFonts w:ascii="Times New Roman" w:eastAsia="Times New Roman" w:hAnsi="Times New Roman" w:cs="Times New Roman"/>
        </w:rPr>
        <w:t>rogeneous responses at the micro-economic level, depending upon the specifics of any given corporate entity and its micro-economic characteristics.</w:t>
      </w:r>
    </w:p>
    <w:p w:rsidR="00EE13F6" w:rsidRDefault="002E5BC4">
      <w:pPr>
        <w:spacing w:after="5" w:line="271" w:lineRule="auto"/>
        <w:ind w:left="-14" w:firstLine="239"/>
        <w:jc w:val="both"/>
      </w:pPr>
      <w:r>
        <w:rPr>
          <w:rFonts w:ascii="Times New Roman" w:eastAsia="Times New Roman" w:hAnsi="Times New Roman" w:cs="Times New Roman"/>
        </w:rPr>
        <w:t xml:space="preserve">We review the possible impact of the FTT on the prices quoted by option market-makers. Our aim is to derive </w:t>
      </w:r>
      <w:r>
        <w:rPr>
          <w:rFonts w:ascii="Times New Roman" w:eastAsia="Times New Roman" w:hAnsi="Times New Roman" w:cs="Times New Roman"/>
        </w:rPr>
        <w:t>a possible impact of the FTT on volatility that could propagate first to the credit derivatives market, as equity options can be arbitrated against CDS or used for hedging. We conclude that the response to the FTT will indeed be heterogeneous and depend ma</w:t>
      </w:r>
      <w:r>
        <w:rPr>
          <w:rFonts w:ascii="Times New Roman" w:eastAsia="Times New Roman" w:hAnsi="Times New Roman" w:cs="Times New Roman"/>
        </w:rPr>
        <w:t>inly upon the corporate balance sheet structure, as well as the initial conditions prevailing on the credit derivatives market. The impact will be lower on highly leveraged corporate entities than on entities with low leverage, and it will increase with co</w:t>
      </w:r>
      <w:r>
        <w:rPr>
          <w:rFonts w:ascii="Times New Roman" w:eastAsia="Times New Roman" w:hAnsi="Times New Roman" w:cs="Times New Roman"/>
        </w:rPr>
        <w:t>rporate debt maturity. The impact will be higher for companies with poor ratings and high credit spreads. Numerically the range of the possible responses to the FTT is very wide.</w:t>
      </w:r>
    </w:p>
    <w:p w:rsidR="00EE13F6" w:rsidRDefault="002E5BC4">
      <w:pPr>
        <w:spacing w:after="5" w:line="271" w:lineRule="auto"/>
        <w:ind w:left="-14" w:firstLine="239"/>
        <w:jc w:val="both"/>
      </w:pPr>
      <w:r>
        <w:rPr>
          <w:rFonts w:ascii="Times New Roman" w:eastAsia="Times New Roman" w:hAnsi="Times New Roman" w:cs="Times New Roman"/>
        </w:rPr>
        <w:t>Our results differ widely from the review done by Lendvai et al. which has be</w:t>
      </w:r>
      <w:r>
        <w:rPr>
          <w:rFonts w:ascii="Times New Roman" w:eastAsia="Times New Roman" w:hAnsi="Times New Roman" w:cs="Times New Roman"/>
        </w:rPr>
        <w:t>en used by the European Commission and which concludes to a 9 basis points per annum increase in capital costs.</w:t>
      </w:r>
    </w:p>
    <w:p w:rsidR="00EE13F6" w:rsidRDefault="002E5BC4">
      <w:pPr>
        <w:spacing w:after="5" w:line="271" w:lineRule="auto"/>
        <w:ind w:left="-14" w:firstLine="239"/>
        <w:jc w:val="both"/>
      </w:pPr>
      <w:r>
        <w:rPr>
          <w:rFonts w:ascii="Times New Roman" w:eastAsia="Times New Roman" w:hAnsi="Times New Roman" w:cs="Times New Roman"/>
        </w:rPr>
        <w:t xml:space="preserve">Our study points to more radical effects in some particular cases than those found by empirical reviews (Saporta and Kan </w:t>
      </w:r>
      <w:r>
        <w:rPr>
          <w:rFonts w:ascii="Times New Roman" w:eastAsia="Times New Roman" w:hAnsi="Times New Roman" w:cs="Times New Roman"/>
          <w:color w:val="00007F"/>
        </w:rPr>
        <w:t>1997</w:t>
      </w:r>
      <w:r>
        <w:rPr>
          <w:rFonts w:ascii="Times New Roman" w:eastAsia="Times New Roman" w:hAnsi="Times New Roman" w:cs="Times New Roman"/>
        </w:rPr>
        <w:t>, Hawkins and McCra</w:t>
      </w:r>
      <w:r>
        <w:rPr>
          <w:rFonts w:ascii="Times New Roman" w:eastAsia="Times New Roman" w:hAnsi="Times New Roman" w:cs="Times New Roman"/>
        </w:rPr>
        <w:t xml:space="preserve">e </w:t>
      </w:r>
      <w:r>
        <w:rPr>
          <w:rFonts w:ascii="Times New Roman" w:eastAsia="Times New Roman" w:hAnsi="Times New Roman" w:cs="Times New Roman"/>
          <w:color w:val="00007F"/>
        </w:rPr>
        <w:t>2002</w:t>
      </w:r>
      <w:r>
        <w:rPr>
          <w:rFonts w:ascii="Times New Roman" w:eastAsia="Times New Roman" w:hAnsi="Times New Roman" w:cs="Times New Roman"/>
        </w:rPr>
        <w:t xml:space="preserve">, Oxera (Stamp Duty </w:t>
      </w:r>
      <w:r>
        <w:rPr>
          <w:rFonts w:ascii="Times New Roman" w:eastAsia="Times New Roman" w:hAnsi="Times New Roman" w:cs="Times New Roman"/>
          <w:color w:val="00007F"/>
        </w:rPr>
        <w:t>2007</w:t>
      </w:r>
      <w:r>
        <w:rPr>
          <w:rFonts w:ascii="Times New Roman" w:eastAsia="Times New Roman" w:hAnsi="Times New Roman" w:cs="Times New Roman"/>
        </w:rPr>
        <w:t>)), all of which consider mainly stocks.</w:t>
      </w:r>
    </w:p>
    <w:p w:rsidR="00EE13F6" w:rsidRDefault="002E5BC4">
      <w:pPr>
        <w:spacing w:after="5" w:line="271" w:lineRule="auto"/>
        <w:ind w:left="-14" w:firstLine="239"/>
        <w:jc w:val="both"/>
      </w:pPr>
      <w:r>
        <w:rPr>
          <w:rFonts w:ascii="Times New Roman" w:eastAsia="Times New Roman" w:hAnsi="Times New Roman" w:cs="Times New Roman"/>
        </w:rPr>
        <w:t>Our conclusions suggest that, even if the FTT were introduced in the EU and targeted financial institutions, its effects go well beyond the EU borders. For instance, considering the cas</w:t>
      </w:r>
      <w:r>
        <w:rPr>
          <w:rFonts w:ascii="Times New Roman" w:eastAsia="Times New Roman" w:hAnsi="Times New Roman" w:cs="Times New Roman"/>
        </w:rPr>
        <w:t xml:space="preserve">e of Arcelor Mittal, a well-known steel maker, the potential increase in its corporate cost of funding would literally prevent this entity from finding competitive financing. This would create a strong distortion in competitiveness, </w:t>
      </w:r>
      <w:r>
        <w:rPr>
          <w:rFonts w:ascii="Times New Roman" w:eastAsia="Times New Roman" w:hAnsi="Times New Roman" w:cs="Times New Roman"/>
        </w:rPr>
        <w:lastRenderedPageBreak/>
        <w:t>potentially threatening</w:t>
      </w:r>
      <w:r>
        <w:rPr>
          <w:rFonts w:ascii="Times New Roman" w:eastAsia="Times New Roman" w:hAnsi="Times New Roman" w:cs="Times New Roman"/>
        </w:rPr>
        <w:t xml:space="preserve"> its very existence, since its main competitors are based outside the EU.</w:t>
      </w:r>
    </w:p>
    <w:p w:rsidR="00EE13F6" w:rsidRDefault="002E5BC4">
      <w:pPr>
        <w:spacing w:after="5" w:line="271" w:lineRule="auto"/>
        <w:ind w:left="-14" w:firstLine="239"/>
        <w:jc w:val="both"/>
      </w:pPr>
      <w:r>
        <w:rPr>
          <w:rFonts w:ascii="Times New Roman" w:eastAsia="Times New Roman" w:hAnsi="Times New Roman" w:cs="Times New Roman"/>
        </w:rPr>
        <w:t xml:space="preserve">Consequently, the article is organized as follows: </w:t>
      </w:r>
      <w:r>
        <w:rPr>
          <w:rFonts w:ascii="Times New Roman" w:eastAsia="Times New Roman" w:hAnsi="Times New Roman" w:cs="Times New Roman"/>
          <w:color w:val="00007F"/>
        </w:rPr>
        <w:t xml:space="preserve">Section II </w:t>
      </w:r>
      <w:r>
        <w:rPr>
          <w:rFonts w:ascii="Times New Roman" w:eastAsia="Times New Roman" w:hAnsi="Times New Roman" w:cs="Times New Roman"/>
        </w:rPr>
        <w:t xml:space="preserve">is dedicated to measuring the effect on implied volatility of increased transaction costs, depending upon the liquidity </w:t>
      </w:r>
      <w:r>
        <w:rPr>
          <w:rFonts w:ascii="Times New Roman" w:eastAsia="Times New Roman" w:hAnsi="Times New Roman" w:cs="Times New Roman"/>
        </w:rPr>
        <w:t xml:space="preserve">of option markets considered. </w:t>
      </w:r>
      <w:r>
        <w:rPr>
          <w:rFonts w:ascii="Times New Roman" w:eastAsia="Times New Roman" w:hAnsi="Times New Roman" w:cs="Times New Roman"/>
          <w:color w:val="00007F"/>
        </w:rPr>
        <w:t>Section III</w:t>
      </w:r>
      <w:r>
        <w:rPr>
          <w:rFonts w:ascii="Times New Roman" w:eastAsia="Times New Roman" w:hAnsi="Times New Roman" w:cs="Times New Roman"/>
        </w:rPr>
        <w:t>, considers the impact of the implied volatility on the CDS market, include numerical simulations using the calibration of a credit structural model, then concludes.</w:t>
      </w:r>
    </w:p>
    <w:p w:rsidR="00EE13F6" w:rsidRDefault="002E5BC4">
      <w:pPr>
        <w:spacing w:after="132" w:line="257" w:lineRule="auto"/>
        <w:ind w:left="-5" w:hanging="10"/>
      </w:pPr>
      <w:r>
        <w:rPr>
          <w:color w:val="841F27"/>
        </w:rPr>
        <w:t>II. Volatility</w:t>
      </w:r>
    </w:p>
    <w:p w:rsidR="00EE13F6" w:rsidRDefault="002E5BC4">
      <w:pPr>
        <w:spacing w:after="141" w:line="261" w:lineRule="auto"/>
        <w:ind w:left="-5" w:hanging="10"/>
      </w:pPr>
      <w:r>
        <w:rPr>
          <w:color w:val="841F27"/>
          <w:sz w:val="21"/>
        </w:rPr>
        <w:t>Replication and cost of hedging in</w:t>
      </w:r>
      <w:r>
        <w:rPr>
          <w:color w:val="841F27"/>
          <w:sz w:val="21"/>
        </w:rPr>
        <w:t xml:space="preserve"> the presence of transaction costs</w:t>
      </w:r>
    </w:p>
    <w:p w:rsidR="00EE13F6" w:rsidRDefault="002E5BC4">
      <w:pPr>
        <w:spacing w:after="5" w:line="271" w:lineRule="auto"/>
        <w:ind w:left="-4" w:hanging="10"/>
        <w:jc w:val="both"/>
      </w:pPr>
      <w:r>
        <w:rPr>
          <w:rFonts w:ascii="Times New Roman" w:eastAsia="Times New Roman" w:hAnsi="Times New Roman" w:cs="Times New Roman"/>
        </w:rPr>
        <w:t>The FTT is an additional transaction cost. According to Leland (</w:t>
      </w:r>
      <w:r>
        <w:rPr>
          <w:rFonts w:ascii="Times New Roman" w:eastAsia="Times New Roman" w:hAnsi="Times New Roman" w:cs="Times New Roman"/>
          <w:color w:val="00007F"/>
        </w:rPr>
        <w:t>1985</w:t>
      </w:r>
      <w:r>
        <w:rPr>
          <w:rFonts w:ascii="Times New Roman" w:eastAsia="Times New Roman" w:hAnsi="Times New Roman" w:cs="Times New Roman"/>
        </w:rPr>
        <w:t>) and Boyle and Vorst (</w:t>
      </w:r>
      <w:r>
        <w:rPr>
          <w:rFonts w:ascii="Times New Roman" w:eastAsia="Times New Roman" w:hAnsi="Times New Roman" w:cs="Times New Roman"/>
          <w:color w:val="00007F"/>
        </w:rPr>
        <w:t>1992</w:t>
      </w:r>
      <w:r>
        <w:rPr>
          <w:rFonts w:ascii="Times New Roman" w:eastAsia="Times New Roman" w:hAnsi="Times New Roman" w:cs="Times New Roman"/>
        </w:rPr>
        <w:t xml:space="preserve">), option market-makers have to bump the volatility of the options they are selling, to accommodate for the expected costs of </w:t>
      </w:r>
      <w:r>
        <w:rPr>
          <w:rFonts w:ascii="Times New Roman" w:eastAsia="Times New Roman" w:hAnsi="Times New Roman" w:cs="Times New Roman"/>
        </w:rPr>
        <w:t>future hedging transactions. These costs occur because option portfolios are (delta) hedged against the share price variations using a replicating portfolio consisting of shares and cash. This hedge is adjusted frequently, as the share price movements affe</w:t>
      </w:r>
      <w:r>
        <w:rPr>
          <w:rFonts w:ascii="Times New Roman" w:eastAsia="Times New Roman" w:hAnsi="Times New Roman" w:cs="Times New Roman"/>
        </w:rPr>
        <w:t>ct the number of shares to be either sold or purchased.</w:t>
      </w:r>
    </w:p>
    <w:p w:rsidR="00EE13F6" w:rsidRDefault="002E5BC4">
      <w:pPr>
        <w:spacing w:after="5" w:line="271" w:lineRule="auto"/>
        <w:ind w:left="-14" w:firstLine="240"/>
        <w:jc w:val="both"/>
      </w:pPr>
      <w:r>
        <w:rPr>
          <w:rFonts w:ascii="Times New Roman" w:eastAsia="Times New Roman" w:hAnsi="Times New Roman" w:cs="Times New Roman"/>
        </w:rPr>
        <w:t>This adjustment exposes the market-maker to the cascading effects of the FTT assessed on transactions on the shares and therefore generates significant expenses. Furthermore, the FTT provisions includ</w:t>
      </w:r>
      <w:r>
        <w:rPr>
          <w:rFonts w:ascii="Times New Roman" w:eastAsia="Times New Roman" w:hAnsi="Times New Roman" w:cs="Times New Roman"/>
        </w:rPr>
        <w:t>e a taxation of stock lending and borrowing operations, repurchase agreements and reverse repurchase agreements which are necessary to fund the replicating portfolio. This disposition affects mainly cash equity options.</w:t>
      </w:r>
    </w:p>
    <w:p w:rsidR="00EE13F6" w:rsidRDefault="002E5BC4">
      <w:pPr>
        <w:spacing w:after="5" w:line="271" w:lineRule="auto"/>
        <w:ind w:left="-14" w:firstLine="240"/>
        <w:jc w:val="both"/>
      </w:pPr>
      <w:r>
        <w:rPr>
          <w:rFonts w:ascii="Times New Roman" w:eastAsia="Times New Roman" w:hAnsi="Times New Roman" w:cs="Times New Roman"/>
        </w:rPr>
        <w:t>Because of the specific provisions o</w:t>
      </w:r>
      <w:r>
        <w:rPr>
          <w:rFonts w:ascii="Times New Roman" w:eastAsia="Times New Roman" w:hAnsi="Times New Roman" w:cs="Times New Roman"/>
        </w:rPr>
        <w:t xml:space="preserve">f the FTT, we can expect that for index options, the impact will be significantly less. This is due to the fact that, in the case of Index options, the replicating portfolio consists of cash and Index futures contracts whose </w:t>
      </w:r>
      <w:r>
        <w:t>‘</w:t>
      </w:r>
      <w:r>
        <w:rPr>
          <w:rFonts w:ascii="Times New Roman" w:eastAsia="Times New Roman" w:hAnsi="Times New Roman" w:cs="Times New Roman"/>
        </w:rPr>
        <w:t>round-trip</w:t>
      </w:r>
      <w:r>
        <w:t xml:space="preserve">’ </w:t>
      </w:r>
      <w:r>
        <w:rPr>
          <w:rFonts w:ascii="Times New Roman" w:eastAsia="Times New Roman" w:hAnsi="Times New Roman" w:cs="Times New Roman"/>
        </w:rPr>
        <w:t>FTT tax rate is 0.</w:t>
      </w:r>
      <w:r>
        <w:rPr>
          <w:rFonts w:ascii="Times New Roman" w:eastAsia="Times New Roman" w:hAnsi="Times New Roman" w:cs="Times New Roman"/>
        </w:rPr>
        <w:t>02% of the notional amount, instead of 0.2% for cash instruments. Furthermore, the funding of futures consists of funding initial margins and margin calls which represents only a fraction of the amount to fund for cash derivatives.</w:t>
      </w:r>
    </w:p>
    <w:p w:rsidR="00EE13F6" w:rsidRDefault="002E5BC4">
      <w:pPr>
        <w:spacing w:after="5" w:line="271" w:lineRule="auto"/>
        <w:ind w:left="-14" w:firstLine="241"/>
        <w:jc w:val="both"/>
      </w:pPr>
      <w:r>
        <w:rPr>
          <w:rFonts w:ascii="Times New Roman" w:eastAsia="Times New Roman" w:hAnsi="Times New Roman" w:cs="Times New Roman"/>
        </w:rPr>
        <w:t>Leland (</w:t>
      </w:r>
      <w:r>
        <w:rPr>
          <w:rFonts w:ascii="Times New Roman" w:eastAsia="Times New Roman" w:hAnsi="Times New Roman" w:cs="Times New Roman"/>
          <w:color w:val="00007F"/>
        </w:rPr>
        <w:t>1985</w:t>
      </w:r>
      <w:r>
        <w:rPr>
          <w:rFonts w:ascii="Times New Roman" w:eastAsia="Times New Roman" w:hAnsi="Times New Roman" w:cs="Times New Roman"/>
        </w:rPr>
        <w:t>) finds an i</w:t>
      </w:r>
      <w:r>
        <w:rPr>
          <w:rFonts w:ascii="Times New Roman" w:eastAsia="Times New Roman" w:hAnsi="Times New Roman" w:cs="Times New Roman"/>
        </w:rPr>
        <w:t>mpact of transaction costs linked directly to the frequency of re-hedging of option replications portfolios. Boyle and Vorst (</w:t>
      </w:r>
      <w:r>
        <w:rPr>
          <w:rFonts w:ascii="Times New Roman" w:eastAsia="Times New Roman" w:hAnsi="Times New Roman" w:cs="Times New Roman"/>
          <w:color w:val="00007F"/>
        </w:rPr>
        <w:t>1992</w:t>
      </w:r>
      <w:r>
        <w:rPr>
          <w:rFonts w:ascii="Times New Roman" w:eastAsia="Times New Roman" w:hAnsi="Times New Roman" w:cs="Times New Roman"/>
        </w:rPr>
        <w:t xml:space="preserve">) find a different rule based on a threshold for the </w:t>
      </w:r>
      <w:r>
        <w:rPr>
          <w:rFonts w:ascii="Times New Roman" w:eastAsia="Times New Roman" w:hAnsi="Times New Roman" w:cs="Times New Roman"/>
        </w:rPr>
        <w:lastRenderedPageBreak/>
        <w:t>variation of the underlying asset. The replication portfolio is rebalance</w:t>
      </w:r>
      <w:r>
        <w:rPr>
          <w:rFonts w:ascii="Times New Roman" w:eastAsia="Times New Roman" w:hAnsi="Times New Roman" w:cs="Times New Roman"/>
        </w:rPr>
        <w:t>d every time the relative variation of the underlying asset, since the last rehedging, is over this threshold.</w:t>
      </w:r>
    </w:p>
    <w:p w:rsidR="00EE13F6" w:rsidRDefault="002E5BC4">
      <w:pPr>
        <w:spacing w:after="294" w:line="271" w:lineRule="auto"/>
        <w:ind w:left="-14" w:firstLine="240"/>
        <w:jc w:val="both"/>
      </w:pPr>
      <w:r>
        <w:t xml:space="preserve">k </w:t>
      </w:r>
      <w:r>
        <w:rPr>
          <w:rFonts w:ascii="Times New Roman" w:eastAsia="Times New Roman" w:hAnsi="Times New Roman" w:cs="Times New Roman"/>
        </w:rPr>
        <w:t xml:space="preserve">designates the round trip transaction cost expressed in percentage of the underlying asset value. </w:t>
      </w:r>
      <w:r>
        <w:t>σ</w:t>
      </w:r>
      <w:r>
        <w:rPr>
          <w:vertAlign w:val="superscript"/>
        </w:rPr>
        <w:t xml:space="preserve">0 </w:t>
      </w:r>
      <w:r>
        <w:rPr>
          <w:rFonts w:ascii="Times New Roman" w:eastAsia="Times New Roman" w:hAnsi="Times New Roman" w:cs="Times New Roman"/>
        </w:rPr>
        <w:t>designates the modified volatility. The respective impact on implied volatility, depending upon the two different rules, is written as follows:</w:t>
      </w:r>
    </w:p>
    <w:p w:rsidR="00EE13F6" w:rsidRDefault="002E5BC4" w:rsidP="002E5BC4">
      <w:pPr>
        <w:numPr>
          <w:ilvl w:val="0"/>
          <w:numId w:val="48"/>
        </w:numPr>
        <w:spacing w:after="5" w:line="271" w:lineRule="auto"/>
        <w:ind w:hanging="356"/>
        <w:jc w:val="both"/>
      </w:pPr>
      <w:r>
        <w:rPr>
          <w:rFonts w:ascii="Times New Roman" w:eastAsia="Times New Roman" w:hAnsi="Times New Roman" w:cs="Times New Roman"/>
        </w:rPr>
        <w:t xml:space="preserve">In the </w:t>
      </w:r>
      <w:r>
        <w:t xml:space="preserve">Δt </w:t>
      </w:r>
      <w:r>
        <w:rPr>
          <w:rFonts w:ascii="Times New Roman" w:eastAsia="Times New Roman" w:hAnsi="Times New Roman" w:cs="Times New Roman"/>
        </w:rPr>
        <w:t xml:space="preserve">rule, which consists of systematic rehedging the portfolio when the </w:t>
      </w:r>
      <w:r>
        <w:t xml:space="preserve">Δt </w:t>
      </w:r>
      <w:r>
        <w:rPr>
          <w:rFonts w:ascii="Times New Roman" w:eastAsia="Times New Roman" w:hAnsi="Times New Roman" w:cs="Times New Roman"/>
        </w:rPr>
        <w:t>time elapsed since the last re-</w:t>
      </w:r>
      <w:r>
        <w:rPr>
          <w:rFonts w:ascii="Times New Roman" w:eastAsia="Times New Roman" w:hAnsi="Times New Roman" w:cs="Times New Roman"/>
        </w:rPr>
        <w:t xml:space="preserve">hedging equals </w:t>
      </w:r>
      <w:r>
        <w:t>Δt</w:t>
      </w:r>
      <w:r>
        <w:rPr>
          <w:rFonts w:ascii="Times New Roman" w:eastAsia="Times New Roman" w:hAnsi="Times New Roman" w:cs="Times New Roman"/>
        </w:rPr>
        <w:t>.</w:t>
      </w:r>
    </w:p>
    <w:p w:rsidR="00EE13F6" w:rsidRDefault="002E5BC4">
      <w:pPr>
        <w:spacing w:after="835" w:line="314" w:lineRule="auto"/>
        <w:ind w:left="10" w:right="-12" w:hanging="10"/>
        <w:jc w:val="right"/>
      </w:pPr>
      <w:r>
        <w:rPr>
          <w:sz w:val="15"/>
        </w:rPr>
        <w:t>3</w:t>
      </w:r>
    </w:p>
    <w:p w:rsidR="00EE13F6" w:rsidRDefault="002E5BC4">
      <w:pPr>
        <w:spacing w:after="690" w:line="265" w:lineRule="auto"/>
        <w:ind w:left="247" w:hanging="10"/>
        <w:jc w:val="center"/>
      </w:pPr>
      <w:r>
        <w:rPr>
          <w:noProof/>
        </w:rPr>
        <mc:AlternateContent>
          <mc:Choice Requires="wpg">
            <w:drawing>
              <wp:anchor distT="0" distB="0" distL="114300" distR="114300" simplePos="0" relativeHeight="251674624" behindDoc="0" locked="0" layoutInCell="1" allowOverlap="1">
                <wp:simplePos x="0" y="0"/>
                <wp:positionH relativeFrom="column">
                  <wp:posOffset>1657020</wp:posOffset>
                </wp:positionH>
                <wp:positionV relativeFrom="paragraph">
                  <wp:posOffset>73008</wp:posOffset>
                </wp:positionV>
                <wp:extent cx="532803" cy="5766"/>
                <wp:effectExtent l="0" t="0" r="0" b="0"/>
                <wp:wrapNone/>
                <wp:docPr id="215098" name="Group 215098"/>
                <wp:cNvGraphicFramePr/>
                <a:graphic xmlns:a="http://schemas.openxmlformats.org/drawingml/2006/main">
                  <a:graphicData uri="http://schemas.microsoft.com/office/word/2010/wordprocessingGroup">
                    <wpg:wgp>
                      <wpg:cNvGrpSpPr/>
                      <wpg:grpSpPr>
                        <a:xfrm>
                          <a:off x="0" y="0"/>
                          <a:ext cx="532803" cy="5766"/>
                          <a:chOff x="0" y="0"/>
                          <a:chExt cx="532803" cy="5766"/>
                        </a:xfrm>
                      </wpg:grpSpPr>
                      <wps:wsp>
                        <wps:cNvPr id="230946" name="Shape 230946"/>
                        <wps:cNvSpPr/>
                        <wps:spPr>
                          <a:xfrm>
                            <a:off x="0" y="0"/>
                            <a:ext cx="532803" cy="9144"/>
                          </a:xfrm>
                          <a:custGeom>
                            <a:avLst/>
                            <a:gdLst/>
                            <a:ahLst/>
                            <a:cxnLst/>
                            <a:rect l="0" t="0" r="0" b="0"/>
                            <a:pathLst>
                              <a:path w="532803" h="9144">
                                <a:moveTo>
                                  <a:pt x="0" y="0"/>
                                </a:moveTo>
                                <a:lnTo>
                                  <a:pt x="532803" y="0"/>
                                </a:lnTo>
                                <a:lnTo>
                                  <a:pt x="5328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8576F4" id="Group 215098" o:spid="_x0000_s1026" style="position:absolute;margin-left:130.45pt;margin-top:5.75pt;width:41.95pt;height:.45pt;z-index:251674624" coordsize="53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">
                <v:shape id="Shape 230946" o:spid="_x0000_s1027" style="position:absolute;width:5328;height:91;visibility:visible;mso-wrap-style:square;v-text-anchor:top" coordsize="5328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MmsYA&#10;AADfAAAADwAAAGRycy9kb3ducmV2LnhtbESP3WrCQBSE7wu+w3IE7+quP6hNXUWEgBRKMdr7Q/Y0&#10;CWbPhuyaxLd3C4VeDjPzDbPdD7YWHbW+cqxhNlUgiHNnKi40XC/p6waED8gGa8ek4UEe9rvRyxYT&#10;43o+U5eFQkQI+wQ1lCE0iZQ+L8min7qGOHo/rrUYomwLaVrsI9zWcq7USlqsOC6U2NCxpPyW3a2G&#10;Hr+uG67kZ/rd3T/SXC3XmT1pPRkPh3cQgYbwH/5rn4yG+UK9LVfw+yd+Ab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MmsYAAADfAAAADwAAAAAAAAAAAAAAAACYAgAAZHJz&#10;L2Rvd25yZXYueG1sUEsFBgAAAAAEAAQA9QAAAIsDAAAAAA==&#10;" path="m,l532803,r,9144l,9144,,e" fillcolor="black" stroked="f" strokeweight="0">
                  <v:stroke miterlimit="83231f" joinstyle="miter"/>
                  <v:path arrowok="t" textboxrect="0,0,532803,9144"/>
                </v:shape>
              </v:group>
            </w:pict>
          </mc:Fallback>
        </mc:AlternateContent>
      </w:r>
      <w:r>
        <w:t>σ</w:t>
      </w:r>
      <w:r>
        <w:rPr>
          <w:vertAlign w:val="subscript"/>
        </w:rPr>
        <w:t>0</w:t>
      </w:r>
      <w:r>
        <w:rPr>
          <w:rFonts w:ascii="Times New Roman" w:eastAsia="Times New Roman" w:hAnsi="Times New Roman" w:cs="Times New Roman"/>
          <w:vertAlign w:val="subscript"/>
        </w:rPr>
        <w:t xml:space="preserve">2 </w:t>
      </w:r>
      <w:r>
        <w:t>¼ σ</w:t>
      </w:r>
      <w:r>
        <w:rPr>
          <w:rFonts w:ascii="Times New Roman" w:eastAsia="Times New Roman" w:hAnsi="Times New Roman" w:cs="Times New Roman"/>
          <w:vertAlign w:val="subscript"/>
        </w:rPr>
        <w:t>2</w:t>
      </w:r>
      <w:r>
        <w:t>"</w:t>
      </w:r>
      <w:r>
        <w:rPr>
          <w:rFonts w:ascii="Times New Roman" w:eastAsia="Times New Roman" w:hAnsi="Times New Roman" w:cs="Times New Roman"/>
        </w:rPr>
        <w:t xml:space="preserve">1 </w:t>
      </w:r>
      <w:r>
        <w:t xml:space="preserve">þ </w:t>
      </w:r>
      <w:r>
        <w:rPr>
          <w:sz w:val="34"/>
          <w:vertAlign w:val="subscript"/>
        </w:rPr>
        <w:t>σ</w:t>
      </w:r>
      <w:r>
        <w:t xml:space="preserve">pkpðffi </w:t>
      </w:r>
      <w:r>
        <w:rPr>
          <w:sz w:val="34"/>
          <w:vertAlign w:val="subscript"/>
        </w:rPr>
        <w:t>π</w:t>
      </w:r>
      <w:r>
        <w:t xml:space="preserve">ðffi </w:t>
      </w:r>
      <w:r>
        <w:rPr>
          <w:rFonts w:ascii="Times New Roman" w:eastAsia="Times New Roman" w:hAnsi="Times New Roman" w:cs="Times New Roman"/>
        </w:rPr>
        <w:t>2</w:t>
      </w:r>
      <w:r>
        <w:rPr>
          <w:sz w:val="34"/>
          <w:vertAlign w:val="subscript"/>
        </w:rPr>
        <w:t>Δ</w:t>
      </w:r>
      <w:r>
        <w:t>Þ</w:t>
      </w:r>
      <w:r>
        <w:rPr>
          <w:sz w:val="34"/>
          <w:vertAlign w:val="subscript"/>
        </w:rPr>
        <w:t>t</w:t>
      </w:r>
      <w:r>
        <w:t>Þ#</w:t>
      </w:r>
    </w:p>
    <w:p w:rsidR="00EE13F6" w:rsidRDefault="002E5BC4" w:rsidP="002E5BC4">
      <w:pPr>
        <w:numPr>
          <w:ilvl w:val="0"/>
          <w:numId w:val="48"/>
        </w:numPr>
        <w:spacing w:after="377" w:line="271" w:lineRule="auto"/>
        <w:ind w:hanging="356"/>
        <w:jc w:val="both"/>
      </w:pPr>
      <w:r>
        <w:rPr>
          <w:rFonts w:ascii="Times New Roman" w:eastAsia="Times New Roman" w:hAnsi="Times New Roman" w:cs="Times New Roman"/>
        </w:rPr>
        <w:t xml:space="preserve">In the </w:t>
      </w:r>
      <w:r>
        <w:t xml:space="preserve">ν </w:t>
      </w:r>
      <w:r>
        <w:rPr>
          <w:rFonts w:ascii="Times New Roman" w:eastAsia="Times New Roman" w:hAnsi="Times New Roman" w:cs="Times New Roman"/>
        </w:rPr>
        <w:t xml:space="preserve">based </w:t>
      </w:r>
      <w:r>
        <w:t xml:space="preserve">Δs </w:t>
      </w:r>
      <w:r>
        <w:rPr>
          <w:rFonts w:ascii="Times New Roman" w:eastAsia="Times New Roman" w:hAnsi="Times New Roman" w:cs="Times New Roman"/>
        </w:rPr>
        <w:t xml:space="preserve">rule, where the systematic re-hedging occurs every time the variation of the underlying asset, </w:t>
      </w:r>
      <w:r>
        <w:t>Δs</w:t>
      </w:r>
      <w:r>
        <w:rPr>
          <w:rFonts w:ascii="Times New Roman" w:eastAsia="Times New Roman" w:hAnsi="Times New Roman" w:cs="Times New Roman"/>
        </w:rPr>
        <w:t xml:space="preserve">is greater or equal to a predetermined threshold </w:t>
      </w:r>
      <w:r>
        <w:t>ν</w:t>
      </w:r>
      <w:r>
        <w:rPr>
          <w:rFonts w:ascii="Times New Roman" w:eastAsia="Times New Roman" w:hAnsi="Times New Roman" w:cs="Times New Roman"/>
        </w:rPr>
        <w:t>.</w:t>
      </w:r>
    </w:p>
    <w:p w:rsidR="00EE13F6" w:rsidRDefault="002E5BC4">
      <w:pPr>
        <w:spacing w:after="313"/>
        <w:ind w:left="236"/>
        <w:jc w:val="center"/>
      </w:pPr>
      <w:r>
        <w:t>σ</w:t>
      </w:r>
      <w:r>
        <w:rPr>
          <w:vertAlign w:val="subscript"/>
        </w:rPr>
        <w:t>0</w:t>
      </w:r>
      <w:r>
        <w:rPr>
          <w:rFonts w:ascii="Times New Roman" w:eastAsia="Times New Roman" w:hAnsi="Times New Roman" w:cs="Times New Roman"/>
          <w:sz w:val="15"/>
        </w:rPr>
        <w:t xml:space="preserve">2 </w:t>
      </w:r>
      <w:r>
        <w:t>¼ σ</w:t>
      </w:r>
      <w:r>
        <w:rPr>
          <w:rFonts w:ascii="Times New Roman" w:eastAsia="Times New Roman" w:hAnsi="Times New Roman" w:cs="Times New Roman"/>
          <w:sz w:val="15"/>
        </w:rPr>
        <w:t>2</w:t>
      </w:r>
      <w:r>
        <w:rPr>
          <w:rFonts w:ascii="Times New Roman" w:eastAsia="Times New Roman" w:hAnsi="Times New Roman" w:cs="Times New Roman"/>
        </w:rPr>
        <w:t xml:space="preserve">1 </w:t>
      </w:r>
      <w:r>
        <w:t xml:space="preserve">þ </w:t>
      </w:r>
      <w:r>
        <w:rPr>
          <w:noProof/>
        </w:rPr>
        <mc:AlternateContent>
          <mc:Choice Requires="wpg">
            <w:drawing>
              <wp:inline distT="0" distB="0" distL="0" distR="0">
                <wp:extent cx="65519" cy="5766"/>
                <wp:effectExtent l="0" t="0" r="0" b="0"/>
                <wp:docPr id="215099" name="Group 215099"/>
                <wp:cNvGraphicFramePr/>
                <a:graphic xmlns:a="http://schemas.openxmlformats.org/drawingml/2006/main">
                  <a:graphicData uri="http://schemas.microsoft.com/office/word/2010/wordprocessingGroup">
                    <wpg:wgp>
                      <wpg:cNvGrpSpPr/>
                      <wpg:grpSpPr>
                        <a:xfrm>
                          <a:off x="0" y="0"/>
                          <a:ext cx="65519" cy="5766"/>
                          <a:chOff x="0" y="0"/>
                          <a:chExt cx="65519" cy="5766"/>
                        </a:xfrm>
                      </wpg:grpSpPr>
                      <wps:wsp>
                        <wps:cNvPr id="230947" name="Shape 230947"/>
                        <wps:cNvSpPr/>
                        <wps:spPr>
                          <a:xfrm>
                            <a:off x="0" y="0"/>
                            <a:ext cx="65519" cy="9144"/>
                          </a:xfrm>
                          <a:custGeom>
                            <a:avLst/>
                            <a:gdLst/>
                            <a:ahLst/>
                            <a:cxnLst/>
                            <a:rect l="0" t="0" r="0" b="0"/>
                            <a:pathLst>
                              <a:path w="65519" h="9144">
                                <a:moveTo>
                                  <a:pt x="0" y="0"/>
                                </a:moveTo>
                                <a:lnTo>
                                  <a:pt x="65519" y="0"/>
                                </a:lnTo>
                                <a:lnTo>
                                  <a:pt x="655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BF32BA" id="Group 215099" o:spid="_x0000_s1026" style="width:5.15pt;height:.45pt;mso-position-horizontal-relative:char;mso-position-vertical-relative:line" coordsize="65519,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">
                <v:shape id="Shape 230947" o:spid="_x0000_s1027" style="position:absolute;width:65519;height:9144;visibility:visible;mso-wrap-style:square;v-text-anchor:top" coordsize="655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SwscA&#10;AADfAAAADwAAAGRycy9kb3ducmV2LnhtbESPT0sDMRTE70K/Q3gFbzbZrX/q2rSUglCxF6sXb4/N&#10;c7N287IkcXf99kYQPA4z8xtmvZ1cJwYKsfWsoVgoEMS1Ny03Gt5eH69WIGJCNth5Jg3fFGG7mV2s&#10;sTJ+5BcaTqkRGcKxQg02pb6SMtaWHMaF74mz9+GDw5RlaKQJOGa462Sp1K102HJesNjT3lJ9Pn05&#10;DV598nsRiuOwO9jnkZY35co+aX05n3YPIBJN6T/81z4YDeVS3V/fwe+f/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7UsLHAAAA3wAAAA8AAAAAAAAAAAAAAAAAmAIAAGRy&#10;cy9kb3ducmV2LnhtbFBLBQYAAAAABAAEAPUAAACMAwAAAAA=&#10;" path="m,l65519,r,9144l,9144,,e" fillcolor="black" stroked="f" strokeweight="0">
                  <v:stroke miterlimit="83231f" joinstyle="miter"/>
                  <v:path arrowok="t" textboxrect="0,0,65519,9144"/>
                </v:shape>
                <w10:anchorlock/>
              </v:group>
            </w:pict>
          </mc:Fallback>
        </mc:AlternateContent>
      </w:r>
      <w:r>
        <w:t>k</w:t>
      </w:r>
      <w:r>
        <w:rPr>
          <w:sz w:val="34"/>
          <w:vertAlign w:val="subscript"/>
        </w:rPr>
        <w:t>ν</w:t>
      </w:r>
    </w:p>
    <w:p w:rsidR="00EE13F6" w:rsidRDefault="002E5BC4">
      <w:pPr>
        <w:spacing w:after="5" w:line="271" w:lineRule="auto"/>
        <w:ind w:left="-4" w:hanging="10"/>
        <w:jc w:val="both"/>
      </w:pPr>
      <w:r>
        <w:rPr>
          <w:rFonts w:ascii="Times New Roman" w:eastAsia="Times New Roman" w:hAnsi="Times New Roman" w:cs="Times New Roman"/>
        </w:rPr>
        <w:t>According to authors such as Taleb (</w:t>
      </w:r>
      <w:r>
        <w:rPr>
          <w:rFonts w:ascii="Times New Roman" w:eastAsia="Times New Roman" w:hAnsi="Times New Roman" w:cs="Times New Roman"/>
          <w:color w:val="00007F"/>
        </w:rPr>
        <w:t>2001</w:t>
      </w:r>
      <w:r>
        <w:rPr>
          <w:rFonts w:ascii="Times New Roman" w:eastAsia="Times New Roman" w:hAnsi="Times New Roman" w:cs="Times New Roman"/>
        </w:rPr>
        <w:t xml:space="preserve">), the </w:t>
      </w:r>
      <w:r>
        <w:t xml:space="preserve">Δs </w:t>
      </w:r>
      <w:r>
        <w:rPr>
          <w:rFonts w:ascii="Times New Roman" w:eastAsia="Times New Roman" w:hAnsi="Times New Roman" w:cs="Times New Roman"/>
        </w:rPr>
        <w:t xml:space="preserve">rule is more efficient than the </w:t>
      </w:r>
      <w:r>
        <w:t xml:space="preserve">Δt </w:t>
      </w:r>
      <w:r>
        <w:rPr>
          <w:rFonts w:ascii="Times New Roman" w:eastAsia="Times New Roman" w:hAnsi="Times New Roman" w:cs="Times New Roman"/>
        </w:rPr>
        <w:t>rule. Especially, it proves to be more conservative from a risk perspective and allows for better prese</w:t>
      </w:r>
      <w:r>
        <w:rPr>
          <w:rFonts w:ascii="Times New Roman" w:eastAsia="Times New Roman" w:hAnsi="Times New Roman" w:cs="Times New Roman"/>
        </w:rPr>
        <w:t>rvation of the market-maker</w:t>
      </w:r>
      <w:r>
        <w:t>’</w:t>
      </w:r>
      <w:r>
        <w:rPr>
          <w:rFonts w:ascii="Times New Roman" w:eastAsia="Times New Roman" w:hAnsi="Times New Roman" w:cs="Times New Roman"/>
        </w:rPr>
        <w:t xml:space="preserve">s capital and its impact on volatility is higher than for the </w:t>
      </w:r>
      <w:r>
        <w:t>Δs</w:t>
      </w:r>
      <w:r>
        <w:rPr>
          <w:rFonts w:ascii="Times New Roman" w:eastAsia="Times New Roman" w:hAnsi="Times New Roman" w:cs="Times New Roman"/>
        </w:rPr>
        <w:t>.</w:t>
      </w:r>
    </w:p>
    <w:p w:rsidR="00EE13F6" w:rsidRDefault="002E5BC4">
      <w:pPr>
        <w:spacing w:after="5" w:line="271" w:lineRule="auto"/>
        <w:ind w:left="-14" w:firstLine="239"/>
        <w:jc w:val="both"/>
      </w:pPr>
      <w:r>
        <w:rPr>
          <w:rFonts w:ascii="Times New Roman" w:eastAsia="Times New Roman" w:hAnsi="Times New Roman" w:cs="Times New Roman"/>
        </w:rPr>
        <w:t>For a given level of volatility, this multiplier is constant. For instance, assuming a volatility level of 40% per year, the multiplier ratio between a daily re-hedging frequency and a 2%-based re-hedging strategy amounts to 1.56. For simplicity</w:t>
      </w:r>
      <w:r>
        <w:t>’</w:t>
      </w:r>
      <w:r>
        <w:rPr>
          <w:rFonts w:ascii="Times New Roman" w:eastAsia="Times New Roman" w:hAnsi="Times New Roman" w:cs="Times New Roman"/>
        </w:rPr>
        <w:t>s sake, we</w:t>
      </w:r>
      <w:r>
        <w:rPr>
          <w:rFonts w:ascii="Times New Roman" w:eastAsia="Times New Roman" w:hAnsi="Times New Roman" w:cs="Times New Roman"/>
        </w:rPr>
        <w:t xml:space="preserve"> will use this multiplier going forward. This will allow us to minimize numerous calculations. We will then multiply the impact by the adequate number in order to get the impact on volatility using </w:t>
      </w:r>
      <w:r>
        <w:t xml:space="preserve">Δs </w:t>
      </w:r>
      <w:r>
        <w:rPr>
          <w:rFonts w:ascii="Times New Roman" w:eastAsia="Times New Roman" w:hAnsi="Times New Roman" w:cs="Times New Roman"/>
        </w:rPr>
        <w:t>rule.</w:t>
      </w:r>
    </w:p>
    <w:p w:rsidR="00EE13F6" w:rsidRDefault="002E5BC4">
      <w:pPr>
        <w:spacing w:after="5" w:line="271" w:lineRule="auto"/>
        <w:ind w:left="-14" w:firstLine="239"/>
        <w:jc w:val="both"/>
      </w:pPr>
      <w:r>
        <w:rPr>
          <w:rFonts w:ascii="Times New Roman" w:eastAsia="Times New Roman" w:hAnsi="Times New Roman" w:cs="Times New Roman"/>
        </w:rPr>
        <w:t>The variables to consider are either the frequenc</w:t>
      </w:r>
      <w:r>
        <w:rPr>
          <w:rFonts w:ascii="Times New Roman" w:eastAsia="Times New Roman" w:hAnsi="Times New Roman" w:cs="Times New Roman"/>
        </w:rPr>
        <w:t xml:space="preserve">y of re-hedging (Leland </w:t>
      </w:r>
      <w:r>
        <w:rPr>
          <w:rFonts w:ascii="Times New Roman" w:eastAsia="Times New Roman" w:hAnsi="Times New Roman" w:cs="Times New Roman"/>
          <w:color w:val="00007F"/>
        </w:rPr>
        <w:t>1985</w:t>
      </w:r>
      <w:r>
        <w:rPr>
          <w:rFonts w:ascii="Times New Roman" w:eastAsia="Times New Roman" w:hAnsi="Times New Roman" w:cs="Times New Roman"/>
        </w:rPr>
        <w:t xml:space="preserve">) or the underlying asset variation threshold (Boyle and Vorst </w:t>
      </w:r>
      <w:r>
        <w:rPr>
          <w:rFonts w:ascii="Times New Roman" w:eastAsia="Times New Roman" w:hAnsi="Times New Roman" w:cs="Times New Roman"/>
          <w:color w:val="00007F"/>
        </w:rPr>
        <w:t>1992</w:t>
      </w:r>
      <w:r>
        <w:rPr>
          <w:rFonts w:ascii="Times New Roman" w:eastAsia="Times New Roman" w:hAnsi="Times New Roman" w:cs="Times New Roman"/>
        </w:rPr>
        <w:t xml:space="preserve">) triggering the rebalancing of the delta hedging portfolio. Both </w:t>
      </w:r>
      <w:r>
        <w:rPr>
          <w:rFonts w:ascii="Times New Roman" w:eastAsia="Times New Roman" w:hAnsi="Times New Roman" w:cs="Times New Roman"/>
        </w:rPr>
        <w:lastRenderedPageBreak/>
        <w:t>formulae consider the level of volatility as the other input. Assuming that the FTT generates a</w:t>
      </w:r>
      <w:r>
        <w:rPr>
          <w:rFonts w:ascii="Times New Roman" w:eastAsia="Times New Roman" w:hAnsi="Times New Roman" w:cs="Times New Roman"/>
        </w:rPr>
        <w:t>n additional 0.2% roundtrip transaction cost on both sales and purchases of the underlying cash equity, the application of both formulae gives the following results in terms of volatility increase.</w:t>
      </w:r>
    </w:p>
    <w:p w:rsidR="00EE13F6" w:rsidRDefault="002E5BC4">
      <w:pPr>
        <w:spacing w:after="5" w:line="271" w:lineRule="auto"/>
        <w:ind w:left="-14" w:firstLine="239"/>
        <w:jc w:val="both"/>
      </w:pPr>
      <w:r>
        <w:rPr>
          <w:rFonts w:ascii="Times New Roman" w:eastAsia="Times New Roman" w:hAnsi="Times New Roman" w:cs="Times New Roman"/>
        </w:rPr>
        <w:t xml:space="preserve">This volatility increase is computed under the assumption </w:t>
      </w:r>
      <w:r>
        <w:rPr>
          <w:rFonts w:ascii="Times New Roman" w:eastAsia="Times New Roman" w:hAnsi="Times New Roman" w:cs="Times New Roman"/>
        </w:rPr>
        <w:t xml:space="preserve">that the option position sold by the market-maker will be held until the option maturity. As a result, this effect as computed below is the maximum possible effect of the FTT that a market-maker will transmit to the market by an increase in the volatility </w:t>
      </w:r>
      <w:r>
        <w:rPr>
          <w:rFonts w:ascii="Times New Roman" w:eastAsia="Times New Roman" w:hAnsi="Times New Roman" w:cs="Times New Roman"/>
        </w:rPr>
        <w:t>of an option sold onto the market.</w:t>
      </w:r>
    </w:p>
    <w:p w:rsidR="00EE13F6" w:rsidRDefault="002E5BC4">
      <w:pPr>
        <w:spacing w:after="5" w:line="271" w:lineRule="auto"/>
        <w:ind w:left="-14" w:firstLine="239"/>
        <w:jc w:val="both"/>
      </w:pPr>
      <w:r>
        <w:rPr>
          <w:rFonts w:ascii="Times New Roman" w:eastAsia="Times New Roman" w:hAnsi="Times New Roman" w:cs="Times New Roman"/>
        </w:rPr>
        <w:t>For index options, where we can assume a 0.02% roundtrip transaction cost, the magnitude of the impact will be 10 times lower as both the Leland and Boyle and Vorst formulae retain a volatility impact that is itself proportional to the rate of the roundtri</w:t>
      </w:r>
      <w:r>
        <w:rPr>
          <w:rFonts w:ascii="Times New Roman" w:eastAsia="Times New Roman" w:hAnsi="Times New Roman" w:cs="Times New Roman"/>
        </w:rPr>
        <w:t>p cost (</w:t>
      </w:r>
      <w:r>
        <w:rPr>
          <w:rFonts w:ascii="Times New Roman" w:eastAsia="Times New Roman" w:hAnsi="Times New Roman" w:cs="Times New Roman"/>
          <w:color w:val="00007F"/>
        </w:rPr>
        <w:t>Table 1</w:t>
      </w:r>
      <w:r>
        <w:rPr>
          <w:rFonts w:ascii="Times New Roman" w:eastAsia="Times New Roman" w:hAnsi="Times New Roman" w:cs="Times New Roman"/>
        </w:rPr>
        <w:t xml:space="preserve">). </w:t>
      </w:r>
      <w:r>
        <w:rPr>
          <w:rFonts w:ascii="Times New Roman" w:eastAsia="Times New Roman" w:hAnsi="Times New Roman" w:cs="Times New Roman"/>
          <w:color w:val="00007F"/>
        </w:rPr>
        <w:t xml:space="preserve">Table 1 </w:t>
      </w:r>
      <w:r>
        <w:rPr>
          <w:rFonts w:ascii="Times New Roman" w:eastAsia="Times New Roman" w:hAnsi="Times New Roman" w:cs="Times New Roman"/>
        </w:rPr>
        <w:t>shows the increase in the implied volatility traded on option markets expressed for a marketmaker selling an option on a cash equity, it will have</w:t>
      </w:r>
    </w:p>
    <w:p w:rsidR="00EE13F6" w:rsidRDefault="002E5BC4">
      <w:pPr>
        <w:spacing w:after="312" w:line="313" w:lineRule="auto"/>
        <w:ind w:left="-5" w:hanging="10"/>
      </w:pPr>
      <w:r>
        <w:rPr>
          <w:sz w:val="15"/>
        </w:rPr>
        <w:t>4</w:t>
      </w:r>
    </w:p>
    <w:p w:rsidR="00EE13F6" w:rsidRDefault="002E5BC4">
      <w:pPr>
        <w:spacing w:after="1027" w:line="235" w:lineRule="auto"/>
        <w:ind w:left="-5" w:right="-14" w:hanging="10"/>
        <w:jc w:val="both"/>
      </w:pPr>
      <w:r>
        <w:rPr>
          <w:color w:val="841F27"/>
          <w:sz w:val="19"/>
        </w:rPr>
        <w:t xml:space="preserve">Table 1. </w:t>
      </w:r>
      <w:r>
        <w:rPr>
          <w:sz w:val="19"/>
        </w:rPr>
        <w:t xml:space="preserve">Volatility increase for a short (cash) equity option position depending </w:t>
      </w:r>
      <w:r>
        <w:rPr>
          <w:sz w:val="19"/>
        </w:rPr>
        <w:t>upon the re-hedging rules (initial volatility: 40%).</w:t>
      </w:r>
    </w:p>
    <w:tbl>
      <w:tblPr>
        <w:tblStyle w:val="TableGrid"/>
        <w:tblpPr w:vertAnchor="text" w:tblpY="-1059"/>
        <w:tblOverlap w:val="never"/>
        <w:tblW w:w="4715" w:type="dxa"/>
        <w:tblInd w:w="0" w:type="dxa"/>
        <w:tblCellMar>
          <w:top w:w="0" w:type="dxa"/>
          <w:left w:w="0" w:type="dxa"/>
          <w:bottom w:w="0" w:type="dxa"/>
          <w:right w:w="80" w:type="dxa"/>
        </w:tblCellMar>
        <w:tblLook w:val="04A0" w:firstRow="1" w:lastRow="0" w:firstColumn="1" w:lastColumn="0" w:noHBand="0" w:noVBand="1"/>
      </w:tblPr>
      <w:tblGrid>
        <w:gridCol w:w="2177"/>
        <w:gridCol w:w="897"/>
        <w:gridCol w:w="700"/>
        <w:gridCol w:w="941"/>
      </w:tblGrid>
      <w:tr w:rsidR="00EE13F6">
        <w:trPr>
          <w:trHeight w:val="251"/>
        </w:trPr>
        <w:tc>
          <w:tcPr>
            <w:tcW w:w="2177" w:type="dxa"/>
            <w:tcBorders>
              <w:top w:val="single" w:sz="4" w:space="0" w:color="841F27"/>
              <w:left w:val="nil"/>
              <w:bottom w:val="single" w:sz="5" w:space="0" w:color="841F27"/>
              <w:right w:val="nil"/>
            </w:tcBorders>
          </w:tcPr>
          <w:p w:rsidR="00EE13F6" w:rsidRDefault="002E5BC4">
            <w:pPr>
              <w:spacing w:after="0"/>
              <w:ind w:left="81"/>
            </w:pPr>
            <w:r>
              <w:rPr>
                <w:sz w:val="16"/>
              </w:rPr>
              <w:t>Hedging rule</w:t>
            </w:r>
          </w:p>
        </w:tc>
        <w:tc>
          <w:tcPr>
            <w:tcW w:w="897" w:type="dxa"/>
            <w:tcBorders>
              <w:top w:val="single" w:sz="4" w:space="0" w:color="841F27"/>
              <w:left w:val="nil"/>
              <w:bottom w:val="single" w:sz="5" w:space="0" w:color="841F27"/>
              <w:right w:val="nil"/>
            </w:tcBorders>
          </w:tcPr>
          <w:p w:rsidR="00EE13F6" w:rsidRDefault="002E5BC4">
            <w:pPr>
              <w:spacing w:after="0"/>
            </w:pPr>
            <w:r>
              <w:rPr>
                <w:sz w:val="16"/>
              </w:rPr>
              <w:t>No repo tax</w:t>
            </w:r>
          </w:p>
        </w:tc>
        <w:tc>
          <w:tcPr>
            <w:tcW w:w="700" w:type="dxa"/>
            <w:tcBorders>
              <w:top w:val="single" w:sz="4" w:space="0" w:color="841F27"/>
              <w:left w:val="nil"/>
              <w:bottom w:val="single" w:sz="5" w:space="0" w:color="841F27"/>
              <w:right w:val="nil"/>
            </w:tcBorders>
          </w:tcPr>
          <w:p w:rsidR="00EE13F6" w:rsidRDefault="002E5BC4">
            <w:pPr>
              <w:spacing w:after="0"/>
            </w:pPr>
            <w:r>
              <w:rPr>
                <w:sz w:val="16"/>
              </w:rPr>
              <w:t>Repo tax</w:t>
            </w:r>
          </w:p>
        </w:tc>
        <w:tc>
          <w:tcPr>
            <w:tcW w:w="941" w:type="dxa"/>
            <w:tcBorders>
              <w:top w:val="single" w:sz="4" w:space="0" w:color="841F27"/>
              <w:left w:val="nil"/>
              <w:bottom w:val="single" w:sz="5" w:space="0" w:color="841F27"/>
              <w:right w:val="nil"/>
            </w:tcBorders>
          </w:tcPr>
          <w:p w:rsidR="00EE13F6" w:rsidRDefault="002E5BC4">
            <w:pPr>
              <w:spacing w:after="0"/>
            </w:pPr>
            <w:r>
              <w:rPr>
                <w:sz w:val="16"/>
              </w:rPr>
              <w:t>Index options</w:t>
            </w:r>
          </w:p>
        </w:tc>
      </w:tr>
      <w:tr w:rsidR="00EE13F6">
        <w:trPr>
          <w:trHeight w:val="463"/>
        </w:trPr>
        <w:tc>
          <w:tcPr>
            <w:tcW w:w="2177" w:type="dxa"/>
            <w:tcBorders>
              <w:top w:val="single" w:sz="5" w:space="0" w:color="841F27"/>
              <w:left w:val="nil"/>
              <w:bottom w:val="nil"/>
              <w:right w:val="nil"/>
            </w:tcBorders>
            <w:vAlign w:val="center"/>
          </w:tcPr>
          <w:p w:rsidR="00EE13F6" w:rsidRDefault="002E5BC4">
            <w:pPr>
              <w:spacing w:after="0"/>
              <w:ind w:left="81"/>
            </w:pPr>
            <w:r>
              <w:rPr>
                <w:sz w:val="16"/>
              </w:rPr>
              <w:t>ΔΔss ¼¼ 00::0102</w:t>
            </w:r>
          </w:p>
        </w:tc>
        <w:tc>
          <w:tcPr>
            <w:tcW w:w="897" w:type="dxa"/>
            <w:tcBorders>
              <w:top w:val="single" w:sz="5" w:space="0" w:color="841F27"/>
              <w:left w:val="nil"/>
              <w:bottom w:val="nil"/>
              <w:right w:val="nil"/>
            </w:tcBorders>
          </w:tcPr>
          <w:p w:rsidR="00EE13F6" w:rsidRDefault="002E5BC4">
            <w:pPr>
              <w:spacing w:after="0"/>
              <w:ind w:left="247"/>
            </w:pPr>
            <w:r>
              <w:rPr>
                <w:sz w:val="16"/>
              </w:rPr>
              <w:t>7.32</w:t>
            </w:r>
          </w:p>
          <w:p w:rsidR="00EE13F6" w:rsidRDefault="002E5BC4">
            <w:pPr>
              <w:spacing w:after="0"/>
              <w:ind w:left="247"/>
            </w:pPr>
            <w:r>
              <w:rPr>
                <w:sz w:val="16"/>
              </w:rPr>
              <w:t>3.82</w:t>
            </w:r>
          </w:p>
        </w:tc>
        <w:tc>
          <w:tcPr>
            <w:tcW w:w="700" w:type="dxa"/>
            <w:tcBorders>
              <w:top w:val="single" w:sz="5" w:space="0" w:color="841F27"/>
              <w:left w:val="nil"/>
              <w:bottom w:val="nil"/>
              <w:right w:val="nil"/>
            </w:tcBorders>
          </w:tcPr>
          <w:p w:rsidR="00EE13F6" w:rsidRDefault="002E5BC4">
            <w:pPr>
              <w:spacing w:after="0"/>
              <w:ind w:left="187" w:right="63" w:hanging="76"/>
            </w:pPr>
            <w:r>
              <w:rPr>
                <w:sz w:val="16"/>
              </w:rPr>
              <w:t>14.5 7.5</w:t>
            </w:r>
          </w:p>
        </w:tc>
        <w:tc>
          <w:tcPr>
            <w:tcW w:w="941" w:type="dxa"/>
            <w:tcBorders>
              <w:top w:val="single" w:sz="5" w:space="0" w:color="841F27"/>
              <w:left w:val="nil"/>
              <w:bottom w:val="nil"/>
              <w:right w:val="nil"/>
            </w:tcBorders>
          </w:tcPr>
          <w:p w:rsidR="00EE13F6" w:rsidRDefault="002E5BC4">
            <w:pPr>
              <w:spacing w:after="0"/>
              <w:ind w:left="2"/>
              <w:jc w:val="center"/>
            </w:pPr>
            <w:r>
              <w:rPr>
                <w:sz w:val="16"/>
              </w:rPr>
              <w:t>0.732</w:t>
            </w:r>
          </w:p>
          <w:p w:rsidR="00EE13F6" w:rsidRDefault="002E5BC4">
            <w:pPr>
              <w:spacing w:after="0"/>
              <w:ind w:left="2"/>
              <w:jc w:val="center"/>
            </w:pPr>
            <w:r>
              <w:rPr>
                <w:sz w:val="16"/>
              </w:rPr>
              <w:t>0.382</w:t>
            </w:r>
          </w:p>
        </w:tc>
      </w:tr>
      <w:tr w:rsidR="00EE13F6">
        <w:trPr>
          <w:trHeight w:val="531"/>
        </w:trPr>
        <w:tc>
          <w:tcPr>
            <w:tcW w:w="2177" w:type="dxa"/>
            <w:tcBorders>
              <w:top w:val="nil"/>
              <w:left w:val="nil"/>
              <w:bottom w:val="single" w:sz="5" w:space="0" w:color="841F27"/>
              <w:right w:val="nil"/>
            </w:tcBorders>
            <w:vAlign w:val="center"/>
          </w:tcPr>
          <w:p w:rsidR="00EE13F6" w:rsidRDefault="002E5BC4">
            <w:pPr>
              <w:spacing w:after="0"/>
              <w:ind w:left="81"/>
            </w:pPr>
            <w:r>
              <w:rPr>
                <w:sz w:val="16"/>
              </w:rPr>
              <w:t>ΔΔΔstt ¼¼ 11σ==p2522ðffi Δ; DailytÞ252 ; twice a day</w:t>
            </w:r>
          </w:p>
        </w:tc>
        <w:tc>
          <w:tcPr>
            <w:tcW w:w="897" w:type="dxa"/>
            <w:tcBorders>
              <w:top w:val="nil"/>
              <w:left w:val="nil"/>
              <w:bottom w:val="single" w:sz="5" w:space="0" w:color="841F27"/>
              <w:right w:val="nil"/>
            </w:tcBorders>
          </w:tcPr>
          <w:p w:rsidR="00EE13F6" w:rsidRDefault="002E5BC4">
            <w:pPr>
              <w:spacing w:after="7"/>
              <w:ind w:left="247"/>
            </w:pPr>
            <w:r>
              <w:rPr>
                <w:sz w:val="16"/>
              </w:rPr>
              <w:t>4.26</w:t>
            </w:r>
          </w:p>
          <w:p w:rsidR="00EE13F6" w:rsidRDefault="002E5BC4">
            <w:pPr>
              <w:spacing w:after="0"/>
              <w:ind w:left="247"/>
            </w:pPr>
            <w:r>
              <w:rPr>
                <w:sz w:val="16"/>
              </w:rPr>
              <w:t>2.46</w:t>
            </w:r>
          </w:p>
          <w:p w:rsidR="00EE13F6" w:rsidRDefault="002E5BC4">
            <w:pPr>
              <w:spacing w:after="0"/>
              <w:ind w:left="247"/>
            </w:pPr>
            <w:r>
              <w:rPr>
                <w:sz w:val="16"/>
              </w:rPr>
              <w:t>3.44</w:t>
            </w:r>
          </w:p>
        </w:tc>
        <w:tc>
          <w:tcPr>
            <w:tcW w:w="700" w:type="dxa"/>
            <w:tcBorders>
              <w:top w:val="nil"/>
              <w:left w:val="nil"/>
              <w:bottom w:val="single" w:sz="5" w:space="0" w:color="841F27"/>
              <w:right w:val="nil"/>
            </w:tcBorders>
          </w:tcPr>
          <w:p w:rsidR="00EE13F6" w:rsidRDefault="002E5BC4">
            <w:pPr>
              <w:spacing w:after="7"/>
              <w:ind w:left="187"/>
            </w:pPr>
            <w:r>
              <w:rPr>
                <w:sz w:val="16"/>
              </w:rPr>
              <w:t>8.5</w:t>
            </w:r>
          </w:p>
          <w:p w:rsidR="00EE13F6" w:rsidRDefault="002E5BC4">
            <w:pPr>
              <w:spacing w:after="0"/>
              <w:ind w:left="187"/>
            </w:pPr>
            <w:r>
              <w:rPr>
                <w:sz w:val="16"/>
              </w:rPr>
              <w:t>4.85</w:t>
            </w:r>
          </w:p>
          <w:p w:rsidR="00EE13F6" w:rsidRDefault="002E5BC4">
            <w:pPr>
              <w:spacing w:after="0"/>
              <w:ind w:left="187"/>
            </w:pPr>
            <w:r>
              <w:rPr>
                <w:sz w:val="16"/>
              </w:rPr>
              <w:t>6.8</w:t>
            </w:r>
          </w:p>
        </w:tc>
        <w:tc>
          <w:tcPr>
            <w:tcW w:w="941" w:type="dxa"/>
            <w:tcBorders>
              <w:top w:val="nil"/>
              <w:left w:val="nil"/>
              <w:bottom w:val="single" w:sz="5" w:space="0" w:color="841F27"/>
              <w:right w:val="nil"/>
            </w:tcBorders>
          </w:tcPr>
          <w:p w:rsidR="00EE13F6" w:rsidRDefault="002E5BC4">
            <w:pPr>
              <w:spacing w:after="7"/>
              <w:ind w:left="2"/>
              <w:jc w:val="center"/>
            </w:pPr>
            <w:r>
              <w:rPr>
                <w:sz w:val="16"/>
              </w:rPr>
              <w:t>0.426</w:t>
            </w:r>
          </w:p>
          <w:p w:rsidR="00EE13F6" w:rsidRDefault="002E5BC4">
            <w:pPr>
              <w:spacing w:after="0"/>
              <w:ind w:left="2"/>
              <w:jc w:val="center"/>
            </w:pPr>
            <w:r>
              <w:rPr>
                <w:sz w:val="16"/>
              </w:rPr>
              <w:t>0.246</w:t>
            </w:r>
          </w:p>
          <w:p w:rsidR="00EE13F6" w:rsidRDefault="002E5BC4">
            <w:pPr>
              <w:spacing w:after="0"/>
              <w:ind w:left="1"/>
              <w:jc w:val="center"/>
            </w:pPr>
            <w:r>
              <w:rPr>
                <w:sz w:val="16"/>
              </w:rPr>
              <w:t>0.344</w:t>
            </w:r>
          </w:p>
        </w:tc>
      </w:tr>
    </w:tbl>
    <w:p w:rsidR="00EE13F6" w:rsidRDefault="002E5BC4">
      <w:pPr>
        <w:tabs>
          <w:tab w:val="center" w:pos="335"/>
          <w:tab w:val="center" w:pos="745"/>
          <w:tab w:val="center" w:pos="1186"/>
        </w:tabs>
        <w:spacing w:after="535"/>
      </w:pPr>
      <w:r>
        <w:tab/>
      </w:r>
      <w:r>
        <w:rPr>
          <w:sz w:val="16"/>
        </w:rPr>
        <w:t>¼</w:t>
      </w:r>
      <w:r>
        <w:rPr>
          <w:sz w:val="16"/>
        </w:rPr>
        <w:tab/>
        <w:t xml:space="preserve">ð </w:t>
      </w:r>
      <w:r>
        <w:rPr>
          <w:sz w:val="16"/>
        </w:rPr>
        <w:tab/>
        <w:t>Þ</w:t>
      </w:r>
    </w:p>
    <w:p w:rsidR="00EE13F6" w:rsidRDefault="002E5BC4">
      <w:pPr>
        <w:spacing w:after="536" w:line="271" w:lineRule="auto"/>
        <w:ind w:left="-4" w:hanging="10"/>
        <w:jc w:val="both"/>
      </w:pPr>
      <w:r>
        <w:rPr>
          <w:rFonts w:ascii="Times New Roman" w:eastAsia="Times New Roman" w:hAnsi="Times New Roman" w:cs="Times New Roman"/>
        </w:rPr>
        <w:t xml:space="preserve">to carry until maturity. According to both Leland and Boyle and Vorst, a market-maker buying an option on cash equity and carrying the position until maturity will have conversely to decrease the volatility it will quote to accommodate for the expected </w:t>
      </w:r>
      <w:r>
        <w:rPr>
          <w:rFonts w:ascii="Times New Roman" w:eastAsia="Times New Roman" w:hAnsi="Times New Roman" w:cs="Times New Roman"/>
        </w:rPr>
        <w:t>hedging costs.</w:t>
      </w:r>
    </w:p>
    <w:p w:rsidR="00EE13F6" w:rsidRDefault="002E5BC4">
      <w:pPr>
        <w:spacing w:after="141" w:line="261" w:lineRule="auto"/>
        <w:ind w:left="-5" w:hanging="10"/>
      </w:pPr>
      <w:r>
        <w:rPr>
          <w:color w:val="841F27"/>
          <w:sz w:val="21"/>
        </w:rPr>
        <w:t>FTT volatility impact depending upon market structure and liquidity</w:t>
      </w:r>
    </w:p>
    <w:p w:rsidR="00EE13F6" w:rsidRDefault="002E5BC4">
      <w:pPr>
        <w:spacing w:after="2" w:line="261" w:lineRule="auto"/>
        <w:ind w:left="-5" w:hanging="10"/>
      </w:pPr>
      <w:r>
        <w:rPr>
          <w:color w:val="841F27"/>
          <w:sz w:val="21"/>
        </w:rPr>
        <w:lastRenderedPageBreak/>
        <w:t>Low liquidity option markets: a rule of thumb</w:t>
      </w:r>
    </w:p>
    <w:p w:rsidR="00EE13F6" w:rsidRDefault="002E5BC4">
      <w:pPr>
        <w:spacing w:after="5" w:line="271" w:lineRule="auto"/>
        <w:ind w:left="-4" w:hanging="10"/>
        <w:jc w:val="both"/>
      </w:pPr>
      <w:r>
        <w:rPr>
          <w:rFonts w:ascii="Times New Roman" w:eastAsia="Times New Roman" w:hAnsi="Times New Roman" w:cs="Times New Roman"/>
        </w:rPr>
        <w:t xml:space="preserve">We consider here equity option markets with a low liquidity. Generally, such markets rely heavily upon a </w:t>
      </w:r>
      <w:r>
        <w:t>‘</w:t>
      </w:r>
      <w:r>
        <w:rPr>
          <w:rFonts w:ascii="Times New Roman" w:eastAsia="Times New Roman" w:hAnsi="Times New Roman" w:cs="Times New Roman"/>
        </w:rPr>
        <w:t>human</w:t>
      </w:r>
      <w:r>
        <w:t xml:space="preserve">’ </w:t>
      </w:r>
      <w:r>
        <w:rPr>
          <w:rFonts w:ascii="Times New Roman" w:eastAsia="Times New Roman" w:hAnsi="Times New Roman" w:cs="Times New Roman"/>
        </w:rPr>
        <w:t>market-maker n</w:t>
      </w:r>
      <w:r>
        <w:rPr>
          <w:rFonts w:ascii="Times New Roman" w:eastAsia="Times New Roman" w:hAnsi="Times New Roman" w:cs="Times New Roman"/>
        </w:rPr>
        <w:t xml:space="preserve">etwork. Those markets can be opposed to </w:t>
      </w:r>
      <w:r>
        <w:t>‘</w:t>
      </w:r>
      <w:r>
        <w:rPr>
          <w:rFonts w:ascii="Times New Roman" w:eastAsia="Times New Roman" w:hAnsi="Times New Roman" w:cs="Times New Roman"/>
        </w:rPr>
        <w:t>auction exchange-based</w:t>
      </w:r>
      <w:r>
        <w:t xml:space="preserve">’ </w:t>
      </w:r>
      <w:r>
        <w:rPr>
          <w:rFonts w:ascii="Times New Roman" w:eastAsia="Times New Roman" w:hAnsi="Times New Roman" w:cs="Times New Roman"/>
        </w:rPr>
        <w:t xml:space="preserve">markets ruled by </w:t>
      </w:r>
      <w:r>
        <w:t>‘</w:t>
      </w:r>
      <w:r>
        <w:rPr>
          <w:rFonts w:ascii="Times New Roman" w:eastAsia="Times New Roman" w:hAnsi="Times New Roman" w:cs="Times New Roman"/>
        </w:rPr>
        <w:t>automatic robot trading</w:t>
      </w:r>
      <w:r>
        <w:t>’</w:t>
      </w:r>
      <w:r>
        <w:rPr>
          <w:rFonts w:ascii="Times New Roman" w:eastAsia="Times New Roman" w:hAnsi="Times New Roman" w:cs="Times New Roman"/>
        </w:rPr>
        <w:t>.</w:t>
      </w:r>
    </w:p>
    <w:p w:rsidR="00EE13F6" w:rsidRDefault="002E5BC4">
      <w:pPr>
        <w:spacing w:after="5" w:line="271" w:lineRule="auto"/>
        <w:ind w:left="-14" w:firstLine="241"/>
        <w:jc w:val="both"/>
      </w:pPr>
      <w:r>
        <w:rPr>
          <w:rFonts w:ascii="Times New Roman" w:eastAsia="Times New Roman" w:hAnsi="Times New Roman" w:cs="Times New Roman"/>
        </w:rPr>
        <w:t>Let us assume that the cost of carrying one unit of inventory until maturity (</w:t>
      </w:r>
      <w:r>
        <w:t>‘</w:t>
      </w:r>
      <w:r>
        <w:rPr>
          <w:rFonts w:ascii="Times New Roman" w:eastAsia="Times New Roman" w:hAnsi="Times New Roman" w:cs="Times New Roman"/>
        </w:rPr>
        <w:t>frozen inventory</w:t>
      </w:r>
      <w:r>
        <w:t>’</w:t>
      </w:r>
      <w:r>
        <w:rPr>
          <w:rFonts w:ascii="Times New Roman" w:eastAsia="Times New Roman" w:hAnsi="Times New Roman" w:cs="Times New Roman"/>
        </w:rPr>
        <w:t xml:space="preserve">) is </w:t>
      </w:r>
      <w:r>
        <w:t>X</w:t>
      </w:r>
      <w:r>
        <w:rPr>
          <w:vertAlign w:val="subscript"/>
        </w:rPr>
        <w:t xml:space="preserve">t </w:t>
      </w:r>
      <w:r>
        <w:rPr>
          <w:rFonts w:ascii="Times New Roman" w:eastAsia="Times New Roman" w:hAnsi="Times New Roman" w:cs="Times New Roman"/>
        </w:rPr>
        <w:t>which can be computed according either to L</w:t>
      </w:r>
      <w:r>
        <w:rPr>
          <w:rFonts w:ascii="Times New Roman" w:eastAsia="Times New Roman" w:hAnsi="Times New Roman" w:cs="Times New Roman"/>
        </w:rPr>
        <w:t xml:space="preserve">eland or Boyle and Vorst rules if we assume a constant volatility. Let us assume as well that the market-maker has some knowledge of the market demand for options. In that case, it knows the function </w:t>
      </w:r>
      <w:r>
        <w:t>ðT  t</w:t>
      </w:r>
      <w:r>
        <w:rPr>
          <w:vertAlign w:val="superscript"/>
        </w:rPr>
        <w:t>0</w:t>
      </w:r>
      <w:r>
        <w:t xml:space="preserve">ÞðqÞ </w:t>
      </w:r>
      <w:r>
        <w:rPr>
          <w:rFonts w:ascii="Times New Roman" w:eastAsia="Times New Roman" w:hAnsi="Times New Roman" w:cs="Times New Roman"/>
        </w:rPr>
        <w:t xml:space="preserve">which is the average expected time to unwind </w:t>
      </w:r>
      <w:r>
        <w:t xml:space="preserve">q </w:t>
      </w:r>
      <w:r>
        <w:rPr>
          <w:rFonts w:ascii="Times New Roman" w:eastAsia="Times New Roman" w:hAnsi="Times New Roman" w:cs="Times New Roman"/>
        </w:rPr>
        <w:t>units of short inventory.</w:t>
      </w:r>
    </w:p>
    <w:p w:rsidR="00EE13F6" w:rsidRDefault="002E5BC4">
      <w:pPr>
        <w:spacing w:after="5" w:line="271" w:lineRule="auto"/>
        <w:ind w:left="-14" w:firstLine="240"/>
        <w:jc w:val="both"/>
      </w:pPr>
      <w:r>
        <w:rPr>
          <w:rFonts w:ascii="Times New Roman" w:eastAsia="Times New Roman" w:hAnsi="Times New Roman" w:cs="Times New Roman"/>
        </w:rPr>
        <w:t xml:space="preserve">A good </w:t>
      </w:r>
      <w:r>
        <w:t>‘</w:t>
      </w:r>
      <w:r>
        <w:rPr>
          <w:rFonts w:ascii="Times New Roman" w:eastAsia="Times New Roman" w:hAnsi="Times New Roman" w:cs="Times New Roman"/>
        </w:rPr>
        <w:t>rule of thumb</w:t>
      </w:r>
      <w:r>
        <w:t xml:space="preserve">’ </w:t>
      </w:r>
      <w:r>
        <w:rPr>
          <w:rFonts w:ascii="Times New Roman" w:eastAsia="Times New Roman" w:hAnsi="Times New Roman" w:cs="Times New Roman"/>
        </w:rPr>
        <w:t>for the market-maker is to compute its total cost by discounting or averaging the total inventory cost on the time needed to unwind it into the market. Furthermore, the market-maker will seek to minimize its expected inventory costs by finding opposite int</w:t>
      </w:r>
      <w:r>
        <w:rPr>
          <w:rFonts w:ascii="Times New Roman" w:eastAsia="Times New Roman" w:hAnsi="Times New Roman" w:cs="Times New Roman"/>
        </w:rPr>
        <w:t>erests in the market.</w:t>
      </w:r>
    </w:p>
    <w:p w:rsidR="00EE13F6" w:rsidRDefault="002E5BC4">
      <w:pPr>
        <w:spacing w:after="192" w:line="333" w:lineRule="auto"/>
        <w:ind w:left="-14" w:firstLine="240"/>
        <w:jc w:val="both"/>
      </w:pPr>
      <w:r>
        <w:rPr>
          <w:noProof/>
        </w:rPr>
        <mc:AlternateContent>
          <mc:Choice Requires="wpg">
            <w:drawing>
              <wp:anchor distT="0" distB="0" distL="114300" distR="114300" simplePos="0" relativeHeight="251675648" behindDoc="0" locked="0" layoutInCell="1" allowOverlap="1">
                <wp:simplePos x="0" y="0"/>
                <wp:positionH relativeFrom="column">
                  <wp:posOffset>1255996</wp:posOffset>
                </wp:positionH>
                <wp:positionV relativeFrom="paragraph">
                  <wp:posOffset>959865</wp:posOffset>
                </wp:positionV>
                <wp:extent cx="750240" cy="5766"/>
                <wp:effectExtent l="0" t="0" r="0" b="0"/>
                <wp:wrapNone/>
                <wp:docPr id="215781" name="Group 215781"/>
                <wp:cNvGraphicFramePr/>
                <a:graphic xmlns:a="http://schemas.openxmlformats.org/drawingml/2006/main">
                  <a:graphicData uri="http://schemas.microsoft.com/office/word/2010/wordprocessingGroup">
                    <wpg:wgp>
                      <wpg:cNvGrpSpPr/>
                      <wpg:grpSpPr>
                        <a:xfrm>
                          <a:off x="0" y="0"/>
                          <a:ext cx="750240" cy="5766"/>
                          <a:chOff x="0" y="0"/>
                          <a:chExt cx="750240" cy="5766"/>
                        </a:xfrm>
                      </wpg:grpSpPr>
                      <wps:wsp>
                        <wps:cNvPr id="230948" name="Shape 230948"/>
                        <wps:cNvSpPr/>
                        <wps:spPr>
                          <a:xfrm>
                            <a:off x="0" y="0"/>
                            <a:ext cx="750240" cy="9144"/>
                          </a:xfrm>
                          <a:custGeom>
                            <a:avLst/>
                            <a:gdLst/>
                            <a:ahLst/>
                            <a:cxnLst/>
                            <a:rect l="0" t="0" r="0" b="0"/>
                            <a:pathLst>
                              <a:path w="750240" h="9144">
                                <a:moveTo>
                                  <a:pt x="0" y="0"/>
                                </a:moveTo>
                                <a:lnTo>
                                  <a:pt x="750240" y="0"/>
                                </a:lnTo>
                                <a:lnTo>
                                  <a:pt x="750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EDB23A" id="Group 215781" o:spid="_x0000_s1026" style="position:absolute;margin-left:98.9pt;margin-top:75.6pt;width:59.05pt;height:.45pt;z-index:251675648" coordsize="75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">
                <v:shape id="Shape 230948" o:spid="_x0000_s1027" style="position:absolute;width:7502;height:91;visibility:visible;mso-wrap-style:square;v-text-anchor:top" coordsize="7502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LysUA&#10;AADfAAAADwAAAGRycy9kb3ducmV2LnhtbERPzWrCQBC+C77DMkIvohujlJi6EVsqWHoojT7AkJ0m&#10;IdnZkN0maZ++eyh4/Pj+D8fJtGKg3tWWFWzWEQjiwuqaSwW363mVgHAeWWNrmRT8kINjNp8dMNV2&#10;5E8acl+KEMIuRQWV910qpSsqMujWtiMO3JftDfoA+1LqHscQbloZR9GjNFhzaKiwo5eKiib/NgqG&#10;54/ktXuvPb2NS85/jZHNJVbqYTGdnkB4mvxd/O++aAXxNtrvwuDwJ3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AvKxQAAAN8AAAAPAAAAAAAAAAAAAAAAAJgCAABkcnMv&#10;ZG93bnJldi54bWxQSwUGAAAAAAQABAD1AAAAigMAAAAA&#10;" path="m,l750240,r,9144l,9144,,e" fillcolor="black" stroked="f" strokeweight="0">
                  <v:stroke miterlimit="83231f" joinstyle="miter"/>
                  <v:path arrowok="t" textboxrect="0,0,750240,9144"/>
                </v:shape>
              </v:group>
            </w:pict>
          </mc:Fallback>
        </mc:AlternateContent>
      </w:r>
      <w:r>
        <w:rPr>
          <w:rFonts w:ascii="Times New Roman" w:eastAsia="Times New Roman" w:hAnsi="Times New Roman" w:cs="Times New Roman"/>
        </w:rPr>
        <w:t xml:space="preserve">For doing so, the market-maker which carries a short inventory of </w:t>
      </w:r>
      <w:r>
        <w:t xml:space="preserve">q </w:t>
      </w:r>
      <w:r>
        <w:rPr>
          <w:rFonts w:ascii="Times New Roman" w:eastAsia="Times New Roman" w:hAnsi="Times New Roman" w:cs="Times New Roman"/>
        </w:rPr>
        <w:t xml:space="preserve">units will quote aggressively on the buy side. It will bump its reservation price for each unit of the inventory </w:t>
      </w:r>
      <w:r>
        <w:t xml:space="preserve">q </w:t>
      </w:r>
      <w:r>
        <w:rPr>
          <w:rFonts w:ascii="Times New Roman" w:eastAsia="Times New Roman" w:hAnsi="Times New Roman" w:cs="Times New Roman"/>
        </w:rPr>
        <w:t xml:space="preserve">by a quantity up to </w:t>
      </w:r>
      <w:r>
        <w:t>x</w:t>
      </w:r>
      <w:r>
        <w:rPr>
          <w:sz w:val="15"/>
        </w:rPr>
        <w:t xml:space="preserve">t </w:t>
      </w:r>
      <w:r>
        <w:t>¼ X</w:t>
      </w:r>
      <w:r>
        <w:rPr>
          <w:sz w:val="15"/>
        </w:rPr>
        <w:t>t</w:t>
      </w:r>
      <w:r>
        <w:t>ðT t</w:t>
      </w:r>
      <w:r>
        <w:rPr>
          <w:sz w:val="15"/>
        </w:rPr>
        <w:t>0</w:t>
      </w:r>
      <w:r>
        <w:t>ÞðqÞ</w:t>
      </w:r>
    </w:p>
    <w:p w:rsidR="00EE13F6" w:rsidRDefault="002E5BC4">
      <w:pPr>
        <w:tabs>
          <w:tab w:val="center" w:pos="2393"/>
          <w:tab w:val="center" w:pos="2770"/>
        </w:tabs>
        <w:spacing w:after="75"/>
      </w:pPr>
      <w:r>
        <w:tab/>
      </w:r>
      <w:r>
        <w:t>T</w:t>
      </w:r>
      <w:r>
        <w:tab/>
        <w:t>t</w:t>
      </w:r>
    </w:p>
    <w:p w:rsidR="00EE13F6" w:rsidRDefault="002E5BC4">
      <w:pPr>
        <w:spacing w:after="108" w:line="271" w:lineRule="auto"/>
        <w:ind w:left="-4" w:hanging="10"/>
        <w:jc w:val="both"/>
      </w:pPr>
      <w:r>
        <w:rPr>
          <w:rFonts w:ascii="Times New Roman" w:eastAsia="Times New Roman" w:hAnsi="Times New Roman" w:cs="Times New Roman"/>
        </w:rPr>
        <w:t xml:space="preserve">It will quote </w:t>
      </w:r>
      <w:r>
        <w:t>b</w:t>
      </w:r>
      <w:r>
        <w:rPr>
          <w:vertAlign w:val="subscript"/>
        </w:rPr>
        <w:t xml:space="preserve">t </w:t>
      </w:r>
      <w:r>
        <w:t>¼ r</w:t>
      </w:r>
      <w:r>
        <w:rPr>
          <w:vertAlign w:val="subscript"/>
        </w:rPr>
        <w:t xml:space="preserve">t </w:t>
      </w:r>
      <w:r>
        <w:t>þ x</w:t>
      </w:r>
      <w:r>
        <w:rPr>
          <w:vertAlign w:val="subscript"/>
        </w:rPr>
        <w:t xml:space="preserve">t </w:t>
      </w:r>
      <w:r>
        <w:rPr>
          <w:rFonts w:ascii="Times New Roman" w:eastAsia="Times New Roman" w:hAnsi="Times New Roman" w:cs="Times New Roman"/>
        </w:rPr>
        <w:t>for each unit of its inventory.</w:t>
      </w:r>
    </w:p>
    <w:p w:rsidR="00EE13F6" w:rsidRDefault="002E5BC4">
      <w:pPr>
        <w:spacing w:after="5" w:line="271" w:lineRule="auto"/>
        <w:ind w:left="-14" w:firstLine="240"/>
        <w:jc w:val="both"/>
      </w:pPr>
      <w:r>
        <w:rPr>
          <w:rFonts w:ascii="Times New Roman" w:eastAsia="Times New Roman" w:hAnsi="Times New Roman" w:cs="Times New Roman"/>
        </w:rPr>
        <w:t xml:space="preserve">In other words, the market-maker will purchase insurance against being short by buying options at a competitive price up to </w:t>
      </w:r>
      <w:r>
        <w:t>b</w:t>
      </w:r>
      <w:r>
        <w:rPr>
          <w:vertAlign w:val="subscript"/>
        </w:rPr>
        <w:t xml:space="preserve">t </w:t>
      </w:r>
      <w:r>
        <w:t>þ x</w:t>
      </w:r>
      <w:r>
        <w:rPr>
          <w:vertAlign w:val="subscript"/>
        </w:rPr>
        <w:t>t</w:t>
      </w:r>
      <w:r>
        <w:rPr>
          <w:rFonts w:ascii="Times New Roman" w:eastAsia="Times New Roman" w:hAnsi="Times New Roman" w:cs="Times New Roman"/>
        </w:rPr>
        <w:t xml:space="preserve">. It </w:t>
      </w:r>
      <w:r>
        <w:rPr>
          <w:rFonts w:ascii="Times New Roman" w:eastAsia="Times New Roman" w:hAnsi="Times New Roman" w:cs="Times New Roman"/>
        </w:rPr>
        <w:t xml:space="preserve">will give immediately </w:t>
      </w:r>
      <w:r>
        <w:t>x</w:t>
      </w:r>
      <w:r>
        <w:rPr>
          <w:vertAlign w:val="subscript"/>
        </w:rPr>
        <w:t xml:space="preserve">t </w:t>
      </w:r>
      <w:r>
        <w:rPr>
          <w:rFonts w:ascii="Times New Roman" w:eastAsia="Times New Roman" w:hAnsi="Times New Roman" w:cs="Times New Roman"/>
        </w:rPr>
        <w:t xml:space="preserve">to the market in exchange for offsetting the expectation of its inventory risk which is also </w:t>
      </w:r>
      <w:r>
        <w:t>x</w:t>
      </w:r>
      <w:r>
        <w:rPr>
          <w:vertAlign w:val="subscript"/>
        </w:rPr>
        <w:t>t</w:t>
      </w:r>
      <w:r>
        <w:rPr>
          <w:rFonts w:ascii="Times New Roman" w:eastAsia="Times New Roman" w:hAnsi="Times New Roman" w:cs="Times New Roman"/>
        </w:rPr>
        <w:t>.</w:t>
      </w:r>
    </w:p>
    <w:p w:rsidR="00EE13F6" w:rsidRDefault="002E5BC4">
      <w:pPr>
        <w:spacing w:after="397" w:line="271" w:lineRule="auto"/>
        <w:ind w:left="-14" w:firstLine="239"/>
        <w:jc w:val="both"/>
      </w:pPr>
      <w:r>
        <w:rPr>
          <w:rFonts w:ascii="Times New Roman" w:eastAsia="Times New Roman" w:hAnsi="Times New Roman" w:cs="Times New Roman"/>
        </w:rPr>
        <w:t xml:space="preserve">In such case where the market-maker is short inventory, it will quote the bid-ask interval </w:t>
      </w:r>
      <w:r>
        <w:t>½b</w:t>
      </w:r>
      <w:r>
        <w:rPr>
          <w:vertAlign w:val="subscript"/>
        </w:rPr>
        <w:t xml:space="preserve">t </w:t>
      </w:r>
      <w:r>
        <w:t>þ x</w:t>
      </w:r>
      <w:r>
        <w:rPr>
          <w:vertAlign w:val="subscript"/>
        </w:rPr>
        <w:t>t</w:t>
      </w:r>
      <w:r>
        <w:t>; a</w:t>
      </w:r>
      <w:r>
        <w:rPr>
          <w:vertAlign w:val="subscript"/>
        </w:rPr>
        <w:t xml:space="preserve">t </w:t>
      </w:r>
      <w:r>
        <w:t>þ x</w:t>
      </w:r>
      <w:r>
        <w:rPr>
          <w:vertAlign w:val="subscript"/>
        </w:rPr>
        <w:t>t</w:t>
      </w:r>
      <w:r>
        <w:rPr>
          <w:rFonts w:ascii="Times New Roman" w:eastAsia="Times New Roman" w:hAnsi="Times New Roman" w:cs="Times New Roman"/>
        </w:rPr>
        <w:t xml:space="preserve">. By the same token, when </w:t>
      </w:r>
      <w:r>
        <w:rPr>
          <w:rFonts w:ascii="Times New Roman" w:eastAsia="Times New Roman" w:hAnsi="Times New Roman" w:cs="Times New Roman"/>
        </w:rPr>
        <w:t>it will carry a long inventory, it will quote the bid-ask interval:</w:t>
      </w:r>
    </w:p>
    <w:p w:rsidR="00EE13F6" w:rsidRDefault="002E5BC4">
      <w:pPr>
        <w:tabs>
          <w:tab w:val="center" w:pos="1077"/>
          <w:tab w:val="center" w:pos="3182"/>
        </w:tabs>
        <w:spacing w:after="193" w:line="265" w:lineRule="auto"/>
      </w:pPr>
      <w:r>
        <w:rPr>
          <w:noProof/>
        </w:rPr>
        <mc:AlternateContent>
          <mc:Choice Requires="wpg">
            <w:drawing>
              <wp:anchor distT="0" distB="0" distL="114300" distR="114300" simplePos="0" relativeHeight="251677696" behindDoc="0" locked="0" layoutInCell="1" allowOverlap="1">
                <wp:simplePos x="0" y="0"/>
                <wp:positionH relativeFrom="column">
                  <wp:posOffset>1998860</wp:posOffset>
                </wp:positionH>
                <wp:positionV relativeFrom="paragraph">
                  <wp:posOffset>88421</wp:posOffset>
                </wp:positionV>
                <wp:extent cx="746646" cy="5766"/>
                <wp:effectExtent l="0" t="0" r="0" b="0"/>
                <wp:wrapNone/>
                <wp:docPr id="215782" name="Group 215782"/>
                <wp:cNvGraphicFramePr/>
                <a:graphic xmlns:a="http://schemas.openxmlformats.org/drawingml/2006/main">
                  <a:graphicData uri="http://schemas.microsoft.com/office/word/2010/wordprocessingGroup">
                    <wpg:wgp>
                      <wpg:cNvGrpSpPr/>
                      <wpg:grpSpPr>
                        <a:xfrm>
                          <a:off x="0" y="0"/>
                          <a:ext cx="746646" cy="5766"/>
                          <a:chOff x="0" y="0"/>
                          <a:chExt cx="746646" cy="5766"/>
                        </a:xfrm>
                      </wpg:grpSpPr>
                      <wps:wsp>
                        <wps:cNvPr id="230949" name="Shape 230949"/>
                        <wps:cNvSpPr/>
                        <wps:spPr>
                          <a:xfrm>
                            <a:off x="0" y="0"/>
                            <a:ext cx="746646" cy="9144"/>
                          </a:xfrm>
                          <a:custGeom>
                            <a:avLst/>
                            <a:gdLst/>
                            <a:ahLst/>
                            <a:cxnLst/>
                            <a:rect l="0" t="0" r="0" b="0"/>
                            <a:pathLst>
                              <a:path w="746646" h="9144">
                                <a:moveTo>
                                  <a:pt x="0" y="0"/>
                                </a:moveTo>
                                <a:lnTo>
                                  <a:pt x="746646" y="0"/>
                                </a:lnTo>
                                <a:lnTo>
                                  <a:pt x="746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0D3985" id="Group 215782" o:spid="_x0000_s1026" style="position:absolute;margin-left:157.4pt;margin-top:6.95pt;width:58.8pt;height:.45pt;z-index:251677696" coordsize="74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">
                <v:shape id="Shape 230949" o:spid="_x0000_s1027" style="position:absolute;width:7466;height:91;visibility:visible;mso-wrap-style:square;v-text-anchor:top" coordsize="7466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bAsYA&#10;AADfAAAADwAAAGRycy9kb3ducmV2LnhtbESPQWsCMRSE74X+h/AK3mpSldLdGqUVBE+VrqXn183r&#10;JnTzsmziuv57UxA8DjPzDbNcj74VA/XRBdbwNFUgiOtgHDcavg7bxxcQMSEbbAOThjNFWK/u75ZY&#10;mnDiTxqq1IgM4ViiBptSV0oZa0se4zR0xNn7Db3HlGXfSNPjKcN9K2dKPUuPjvOCxY42luq/6ug1&#10;fCy+cT+4TbA/RhXVbnD799FpPXkY315BJBrTLXxt74yG2VwViwL+/+Qv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QbAsYAAADfAAAADwAAAAAAAAAAAAAAAACYAgAAZHJz&#10;L2Rvd25yZXYueG1sUEsFBgAAAAAEAAQA9QAAAIsDAAAAAA==&#10;" path="m,l746646,r,9144l,9144,,e" fillcolor="black" stroked="f" strokeweight="0">
                  <v:stroke miterlimit="83231f" joinstyle="miter"/>
                  <v:path arrowok="t" textboxrect="0,0,746646,9144"/>
                </v:shape>
              </v:group>
            </w:pict>
          </mc:Fallback>
        </mc:AlternateContent>
      </w:r>
      <w:r>
        <w:tab/>
      </w:r>
      <w:r>
        <w:t>½b</w:t>
      </w:r>
      <w:r>
        <w:rPr>
          <w:sz w:val="15"/>
        </w:rPr>
        <w:t xml:space="preserve">t </w:t>
      </w:r>
      <w:r>
        <w:t xml:space="preserve"> α</w:t>
      </w:r>
      <w:r>
        <w:rPr>
          <w:sz w:val="15"/>
        </w:rPr>
        <w:t>t</w:t>
      </w:r>
      <w:r>
        <w:t>; a</w:t>
      </w:r>
      <w:r>
        <w:rPr>
          <w:sz w:val="15"/>
        </w:rPr>
        <w:t xml:space="preserve">t </w:t>
      </w:r>
      <w:r>
        <w:t xml:space="preserve"> α</w:t>
      </w:r>
      <w:r>
        <w:rPr>
          <w:sz w:val="15"/>
        </w:rPr>
        <w:t>t</w:t>
      </w:r>
      <w:r>
        <w:tab/>
      </w:r>
      <w:r>
        <w:rPr>
          <w:rFonts w:ascii="Times New Roman" w:eastAsia="Times New Roman" w:hAnsi="Times New Roman" w:cs="Times New Roman"/>
        </w:rPr>
        <w:t xml:space="preserve">with </w:t>
      </w:r>
      <w:r>
        <w:t>α</w:t>
      </w:r>
      <w:r>
        <w:rPr>
          <w:sz w:val="15"/>
        </w:rPr>
        <w:t xml:space="preserve">t </w:t>
      </w:r>
      <w:r>
        <w:t>¼ Y</w:t>
      </w:r>
      <w:r>
        <w:rPr>
          <w:sz w:val="15"/>
        </w:rPr>
        <w:t>t</w:t>
      </w:r>
      <w:r>
        <w:t>ðT t</w:t>
      </w:r>
      <w:r>
        <w:rPr>
          <w:sz w:val="15"/>
        </w:rPr>
        <w:t>0</w:t>
      </w:r>
      <w:r>
        <w:t>ÞðqÞ</w:t>
      </w:r>
    </w:p>
    <w:p w:rsidR="00EE13F6" w:rsidRDefault="002E5BC4">
      <w:pPr>
        <w:tabs>
          <w:tab w:val="center" w:pos="3561"/>
          <w:tab w:val="center" w:pos="3938"/>
        </w:tabs>
        <w:spacing w:after="38"/>
      </w:pPr>
      <w:r>
        <w:tab/>
      </w:r>
      <w:r>
        <w:t>T</w:t>
      </w:r>
      <w:r>
        <w:tab/>
        <w:t>t</w:t>
      </w:r>
    </w:p>
    <w:p w:rsidR="00EE13F6" w:rsidRDefault="002E5BC4">
      <w:pPr>
        <w:spacing w:after="311" w:line="271" w:lineRule="auto"/>
        <w:ind w:left="-4" w:hanging="10"/>
        <w:jc w:val="both"/>
      </w:pPr>
      <w:r>
        <w:rPr>
          <w:rFonts w:ascii="Times New Roman" w:eastAsia="Times New Roman" w:hAnsi="Times New Roman" w:cs="Times New Roman"/>
        </w:rPr>
        <w:t>Let us consider, now, the equity option markets dominated by market-makers. In a nutshell, those option markets are such that the market-makers</w:t>
      </w:r>
      <w:r>
        <w:rPr>
          <w:rFonts w:ascii="Times New Roman" w:eastAsia="Times New Roman" w:hAnsi="Times New Roman" w:cs="Times New Roman"/>
        </w:rPr>
        <w:t xml:space="preserve"> are the main sellers against the rest of the market, and carry </w:t>
      </w:r>
      <w:r>
        <w:rPr>
          <w:rFonts w:ascii="Times New Roman" w:eastAsia="Times New Roman" w:hAnsi="Times New Roman" w:cs="Times New Roman"/>
        </w:rPr>
        <w:lastRenderedPageBreak/>
        <w:t xml:space="preserve">at all times, a short inventory. By applying the </w:t>
      </w:r>
      <w:r>
        <w:t>‘</w:t>
      </w:r>
      <w:r>
        <w:rPr>
          <w:rFonts w:ascii="Times New Roman" w:eastAsia="Times New Roman" w:hAnsi="Times New Roman" w:cs="Times New Roman"/>
        </w:rPr>
        <w:t>rule of thumb</w:t>
      </w:r>
      <w:r>
        <w:t xml:space="preserve">’ </w:t>
      </w:r>
      <w:r>
        <w:rPr>
          <w:rFonts w:ascii="Times New Roman" w:eastAsia="Times New Roman" w:hAnsi="Times New Roman" w:cs="Times New Roman"/>
        </w:rPr>
        <w:t>described earlier, we can see that the increase in the FTT will generate an upward shift of the reservation price of the option</w:t>
      </w:r>
      <w:r>
        <w:rPr>
          <w:rFonts w:ascii="Times New Roman" w:eastAsia="Times New Roman" w:hAnsi="Times New Roman" w:cs="Times New Roman"/>
        </w:rPr>
        <w:t>, because the market-makers are structurally short and need to offset their inventory in the market. This increase in the mid (reservation) price of the option will be consistent with an increase of the implied volatility mid-price.</w:t>
      </w:r>
    </w:p>
    <w:p w:rsidR="00EE13F6" w:rsidRDefault="002E5BC4">
      <w:pPr>
        <w:spacing w:after="2" w:line="261" w:lineRule="auto"/>
        <w:ind w:left="-5" w:hanging="10"/>
      </w:pPr>
      <w:r>
        <w:rPr>
          <w:color w:val="841F27"/>
          <w:sz w:val="21"/>
        </w:rPr>
        <w:t>The FTT impact on liqui</w:t>
      </w:r>
      <w:r>
        <w:rPr>
          <w:color w:val="841F27"/>
          <w:sz w:val="21"/>
        </w:rPr>
        <w:t>d option markets</w:t>
      </w:r>
    </w:p>
    <w:p w:rsidR="00EE13F6" w:rsidRDefault="002E5BC4">
      <w:pPr>
        <w:spacing w:after="335" w:line="271" w:lineRule="auto"/>
        <w:ind w:left="-4" w:hanging="10"/>
        <w:jc w:val="both"/>
      </w:pPr>
      <w:r>
        <w:rPr>
          <w:rFonts w:ascii="Times New Roman" w:eastAsia="Times New Roman" w:hAnsi="Times New Roman" w:cs="Times New Roman"/>
        </w:rPr>
        <w:t xml:space="preserve">Let us consider now highly liquid markets which are generally based on </w:t>
      </w:r>
      <w:r>
        <w:t>‘</w:t>
      </w:r>
      <w:r>
        <w:rPr>
          <w:rFonts w:ascii="Times New Roman" w:eastAsia="Times New Roman" w:hAnsi="Times New Roman" w:cs="Times New Roman"/>
        </w:rPr>
        <w:t>auction exchange</w:t>
      </w:r>
      <w:r>
        <w:t xml:space="preserve">’ </w:t>
      </w:r>
      <w:r>
        <w:rPr>
          <w:rFonts w:ascii="Times New Roman" w:eastAsia="Times New Roman" w:hAnsi="Times New Roman" w:cs="Times New Roman"/>
        </w:rPr>
        <w:t xml:space="preserve">based and animated by automated </w:t>
      </w:r>
      <w:r>
        <w:t>‘</w:t>
      </w:r>
      <w:r>
        <w:rPr>
          <w:rFonts w:ascii="Times New Roman" w:eastAsia="Times New Roman" w:hAnsi="Times New Roman" w:cs="Times New Roman"/>
        </w:rPr>
        <w:t>robot</w:t>
      </w:r>
      <w:r>
        <w:t xml:space="preserve">’ </w:t>
      </w:r>
      <w:r>
        <w:rPr>
          <w:rFonts w:ascii="Times New Roman" w:eastAsia="Times New Roman" w:hAnsi="Times New Roman" w:cs="Times New Roman"/>
        </w:rPr>
        <w:t xml:space="preserve">trading, especially </w:t>
      </w:r>
      <w:r>
        <w:t>‘</w:t>
      </w:r>
      <w:r>
        <w:rPr>
          <w:rFonts w:ascii="Times New Roman" w:eastAsia="Times New Roman" w:hAnsi="Times New Roman" w:cs="Times New Roman"/>
        </w:rPr>
        <w:t>highfrequency</w:t>
      </w:r>
      <w:r>
        <w:t xml:space="preserve">’ </w:t>
      </w:r>
      <w:r>
        <w:rPr>
          <w:rFonts w:ascii="Times New Roman" w:eastAsia="Times New Roman" w:hAnsi="Times New Roman" w:cs="Times New Roman"/>
        </w:rPr>
        <w:t xml:space="preserve">trading. Such markets are opposed to the broker-based markets discussed earlier which are </w:t>
      </w:r>
      <w:r>
        <w:t>‘</w:t>
      </w:r>
      <w:r>
        <w:rPr>
          <w:rFonts w:ascii="Times New Roman" w:eastAsia="Times New Roman" w:hAnsi="Times New Roman" w:cs="Times New Roman"/>
        </w:rPr>
        <w:t>human-based</w:t>
      </w:r>
      <w:r>
        <w:t>’</w:t>
      </w:r>
      <w:r>
        <w:rPr>
          <w:rFonts w:ascii="Times New Roman" w:eastAsia="Times New Roman" w:hAnsi="Times New Roman" w:cs="Times New Roman"/>
        </w:rPr>
        <w:t xml:space="preserve">. They are characterized by a very high liquidity. This allows the presence of high-frequency traders as well as the possibility of placing </w:t>
      </w:r>
      <w:r>
        <w:t>‘</w:t>
      </w:r>
      <w:r>
        <w:rPr>
          <w:rFonts w:ascii="Times New Roman" w:eastAsia="Times New Roman" w:hAnsi="Times New Roman" w:cs="Times New Roman"/>
        </w:rPr>
        <w:t>limit</w:t>
      </w:r>
      <w:r>
        <w:t xml:space="preserve">’ </w:t>
      </w:r>
      <w:r>
        <w:rPr>
          <w:rFonts w:ascii="Times New Roman" w:eastAsia="Times New Roman" w:hAnsi="Times New Roman" w:cs="Times New Roman"/>
        </w:rPr>
        <w:t>order</w:t>
      </w:r>
      <w:r>
        <w:rPr>
          <w:rFonts w:ascii="Times New Roman" w:eastAsia="Times New Roman" w:hAnsi="Times New Roman" w:cs="Times New Roman"/>
        </w:rPr>
        <w:t xml:space="preserve">s in the market. The market-making behaviour in such markets can be described by the Hamilton Jacobi Bellman (HJB) equation (see Ho and Stoll </w:t>
      </w:r>
      <w:r>
        <w:rPr>
          <w:rFonts w:ascii="Times New Roman" w:eastAsia="Times New Roman" w:hAnsi="Times New Roman" w:cs="Times New Roman"/>
          <w:color w:val="00007F"/>
        </w:rPr>
        <w:t>1980</w:t>
      </w:r>
      <w:r>
        <w:rPr>
          <w:rFonts w:ascii="Times New Roman" w:eastAsia="Times New Roman" w:hAnsi="Times New Roman" w:cs="Times New Roman"/>
        </w:rPr>
        <w:t>) which describes the maximization of the market-makers</w:t>
      </w:r>
      <w:r>
        <w:t>’</w:t>
      </w:r>
      <w:r>
        <w:rPr>
          <w:rFonts w:ascii="Times New Roman" w:eastAsia="Times New Roman" w:hAnsi="Times New Roman" w:cs="Times New Roman"/>
        </w:rPr>
        <w:t>s utility function depending upon its terminal wealth.</w:t>
      </w:r>
      <w:r>
        <w:rPr>
          <w:rFonts w:ascii="Times New Roman" w:eastAsia="Times New Roman" w:hAnsi="Times New Roman" w:cs="Times New Roman"/>
        </w:rPr>
        <w:t xml:space="preserve"> Such markets have been abundantly studied in the literature. According to the results established by Avellaneda and Stoikov (</w:t>
      </w:r>
      <w:r>
        <w:rPr>
          <w:rFonts w:ascii="Times New Roman" w:eastAsia="Times New Roman" w:hAnsi="Times New Roman" w:cs="Times New Roman"/>
          <w:color w:val="00007F"/>
        </w:rPr>
        <w:t>2008</w:t>
      </w:r>
      <w:r>
        <w:rPr>
          <w:rFonts w:ascii="Times New Roman" w:eastAsia="Times New Roman" w:hAnsi="Times New Roman" w:cs="Times New Roman"/>
        </w:rPr>
        <w:t>), it is possible to have a simple asymptotic expression of the prices quoted by the market-maker.</w:t>
      </w:r>
    </w:p>
    <w:p w:rsidR="00EE13F6" w:rsidRDefault="002E5BC4">
      <w:pPr>
        <w:spacing w:after="5" w:line="271" w:lineRule="auto"/>
        <w:ind w:left="-4" w:hanging="10"/>
        <w:jc w:val="both"/>
      </w:pPr>
      <w:r>
        <w:rPr>
          <w:rFonts w:ascii="Times New Roman" w:eastAsia="Times New Roman" w:hAnsi="Times New Roman" w:cs="Times New Roman"/>
          <w:color w:val="841F27"/>
        </w:rPr>
        <w:t>Asymptotic approximation of</w:t>
      </w:r>
      <w:r>
        <w:rPr>
          <w:rFonts w:ascii="Times New Roman" w:eastAsia="Times New Roman" w:hAnsi="Times New Roman" w:cs="Times New Roman"/>
          <w:color w:val="841F27"/>
        </w:rPr>
        <w:t xml:space="preserve"> Hamilton Jacobi Bellman equation solution. </w:t>
      </w:r>
      <w:r>
        <w:rPr>
          <w:rFonts w:ascii="Times New Roman" w:eastAsia="Times New Roman" w:hAnsi="Times New Roman" w:cs="Times New Roman"/>
        </w:rPr>
        <w:t>We follow the steps of Avellaneda and Stoikov (</w:t>
      </w:r>
      <w:r>
        <w:rPr>
          <w:rFonts w:ascii="Times New Roman" w:eastAsia="Times New Roman" w:hAnsi="Times New Roman" w:cs="Times New Roman"/>
          <w:color w:val="00007F"/>
        </w:rPr>
        <w:t>2008</w:t>
      </w:r>
      <w:r>
        <w:rPr>
          <w:rFonts w:ascii="Times New Roman" w:eastAsia="Times New Roman" w:hAnsi="Times New Roman" w:cs="Times New Roman"/>
        </w:rPr>
        <w:t xml:space="preserve">) who have provided an asymptotic solution for the price quoted by any market maker in a highly liquid market. </w:t>
      </w:r>
      <w:r>
        <w:rPr>
          <w:color w:val="841F27"/>
        </w:rPr>
        <w:t xml:space="preserve">Assumptions. </w:t>
      </w:r>
      <w:r>
        <w:rPr>
          <w:rFonts w:ascii="Times New Roman" w:eastAsia="Times New Roman" w:hAnsi="Times New Roman" w:cs="Times New Roman"/>
        </w:rPr>
        <w:t>(a) d</w:t>
      </w:r>
      <w:r>
        <w:t>S</w:t>
      </w:r>
      <w:r>
        <w:rPr>
          <w:vertAlign w:val="subscript"/>
        </w:rPr>
        <w:t xml:space="preserve">t </w:t>
      </w:r>
      <w:r>
        <w:t>¼ σ W</w:t>
      </w:r>
      <w:r>
        <w:rPr>
          <w:vertAlign w:val="subscript"/>
        </w:rPr>
        <w:t xml:space="preserve">t </w:t>
      </w:r>
      <w:r>
        <w:rPr>
          <w:rFonts w:ascii="Times New Roman" w:eastAsia="Times New Roman" w:hAnsi="Times New Roman" w:cs="Times New Roman"/>
        </w:rPr>
        <w:t xml:space="preserve">where </w:t>
      </w:r>
      <w:r>
        <w:t>W</w:t>
      </w:r>
      <w:r>
        <w:rPr>
          <w:vertAlign w:val="subscript"/>
        </w:rPr>
        <w:t xml:space="preserve">t </w:t>
      </w:r>
      <w:r>
        <w:rPr>
          <w:rFonts w:ascii="Times New Roman" w:eastAsia="Times New Roman" w:hAnsi="Times New Roman" w:cs="Times New Roman"/>
        </w:rPr>
        <w:t>is a standard</w:t>
      </w:r>
      <w:r>
        <w:rPr>
          <w:rFonts w:ascii="Times New Roman" w:eastAsia="Times New Roman" w:hAnsi="Times New Roman" w:cs="Times New Roman"/>
        </w:rPr>
        <w:t xml:space="preserve"> Wiener process and </w:t>
      </w:r>
      <w:r>
        <w:t xml:space="preserve">σ </w:t>
      </w:r>
      <w:r>
        <w:rPr>
          <w:rFonts w:ascii="Times New Roman" w:eastAsia="Times New Roman" w:hAnsi="Times New Roman" w:cs="Times New Roman"/>
        </w:rPr>
        <w:t>is the constant volatility.</w:t>
      </w:r>
    </w:p>
    <w:p w:rsidR="00EE13F6" w:rsidRDefault="002E5BC4" w:rsidP="002E5BC4">
      <w:pPr>
        <w:numPr>
          <w:ilvl w:val="0"/>
          <w:numId w:val="49"/>
        </w:numPr>
        <w:spacing w:after="317" w:line="271" w:lineRule="auto"/>
        <w:ind w:firstLine="241"/>
        <w:jc w:val="both"/>
      </w:pPr>
      <w:r>
        <w:rPr>
          <w:rFonts w:ascii="Times New Roman" w:eastAsia="Times New Roman" w:hAnsi="Times New Roman" w:cs="Times New Roman"/>
        </w:rPr>
        <w:t>The market-maker maximises its expectedutility function:</w:t>
      </w:r>
    </w:p>
    <w:p w:rsidR="00EE13F6" w:rsidRDefault="002E5BC4">
      <w:pPr>
        <w:spacing w:after="193" w:line="265" w:lineRule="auto"/>
        <w:ind w:left="247" w:right="237" w:hanging="10"/>
        <w:jc w:val="center"/>
      </w:pPr>
      <w:r>
        <w:t>vðx; s; q; tÞ ¼ E</w:t>
      </w:r>
      <w:r>
        <w:rPr>
          <w:vertAlign w:val="subscript"/>
        </w:rPr>
        <w:t>t</w:t>
      </w:r>
      <w:r>
        <w:t>½expðγðx þ qTÞÞ</w:t>
      </w:r>
    </w:p>
    <w:p w:rsidR="00EE13F6" w:rsidRDefault="002E5BC4">
      <w:pPr>
        <w:spacing w:after="5" w:line="271" w:lineRule="auto"/>
        <w:ind w:left="-4" w:hanging="10"/>
        <w:jc w:val="both"/>
      </w:pPr>
      <w:r>
        <w:rPr>
          <w:rFonts w:ascii="Times New Roman" w:eastAsia="Times New Roman" w:hAnsi="Times New Roman" w:cs="Times New Roman"/>
        </w:rPr>
        <w:t xml:space="preserve">where </w:t>
      </w:r>
      <w:r>
        <w:t xml:space="preserve">x </w:t>
      </w:r>
      <w:r>
        <w:rPr>
          <w:rFonts w:ascii="Times New Roman" w:eastAsia="Times New Roman" w:hAnsi="Times New Roman" w:cs="Times New Roman"/>
        </w:rPr>
        <w:t>is the market-maker</w:t>
      </w:r>
      <w:r>
        <w:t>’</w:t>
      </w:r>
      <w:r>
        <w:rPr>
          <w:rFonts w:ascii="Times New Roman" w:eastAsia="Times New Roman" w:hAnsi="Times New Roman" w:cs="Times New Roman"/>
        </w:rPr>
        <w:t xml:space="preserve">s initial capital, and </w:t>
      </w:r>
      <w:r>
        <w:t xml:space="preserve">γ </w:t>
      </w:r>
      <w:r>
        <w:rPr>
          <w:rFonts w:ascii="Times New Roman" w:eastAsia="Times New Roman" w:hAnsi="Times New Roman" w:cs="Times New Roman"/>
        </w:rPr>
        <w:t>is the market-maker</w:t>
      </w:r>
      <w:r>
        <w:t>’</w:t>
      </w:r>
      <w:r>
        <w:rPr>
          <w:rFonts w:ascii="Times New Roman" w:eastAsia="Times New Roman" w:hAnsi="Times New Roman" w:cs="Times New Roman"/>
        </w:rPr>
        <w:t>s risk aversion coefficient (</w:t>
      </w:r>
      <w:r>
        <w:t xml:space="preserve">γ ¼ </w:t>
      </w:r>
      <w:r>
        <w:rPr>
          <w:rFonts w:ascii="Times New Roman" w:eastAsia="Times New Roman" w:hAnsi="Times New Roman" w:cs="Times New Roman"/>
        </w:rPr>
        <w:t xml:space="preserve">0 </w:t>
      </w:r>
      <w:r>
        <w:rPr>
          <w:rFonts w:ascii="Times New Roman" w:eastAsia="Times New Roman" w:hAnsi="Times New Roman" w:cs="Times New Roman"/>
        </w:rPr>
        <w:t xml:space="preserve">meaning it is risk neutral). We note </w:t>
      </w:r>
      <w:r>
        <w:t xml:space="preserve">q </w:t>
      </w:r>
      <w:r>
        <w:rPr>
          <w:rFonts w:ascii="Times New Roman" w:eastAsia="Times New Roman" w:hAnsi="Times New Roman" w:cs="Times New Roman"/>
        </w:rPr>
        <w:t>the number of units in the market-maker</w:t>
      </w:r>
      <w:r>
        <w:t>’</w:t>
      </w:r>
      <w:r>
        <w:rPr>
          <w:rFonts w:ascii="Times New Roman" w:eastAsia="Times New Roman" w:hAnsi="Times New Roman" w:cs="Times New Roman"/>
        </w:rPr>
        <w:t xml:space="preserve">s inventory, and </w:t>
      </w:r>
      <w:r>
        <w:t xml:space="preserve">T </w:t>
      </w:r>
      <w:r>
        <w:rPr>
          <w:rFonts w:ascii="Times New Roman" w:eastAsia="Times New Roman" w:hAnsi="Times New Roman" w:cs="Times New Roman"/>
        </w:rPr>
        <w:t>is the time horizon on which the market-maker considers its maximization program.</w:t>
      </w:r>
    </w:p>
    <w:p w:rsidR="00EE13F6" w:rsidRDefault="002E5BC4" w:rsidP="002E5BC4">
      <w:pPr>
        <w:numPr>
          <w:ilvl w:val="0"/>
          <w:numId w:val="49"/>
        </w:numPr>
        <w:spacing w:after="5" w:line="271" w:lineRule="auto"/>
        <w:ind w:firstLine="241"/>
        <w:jc w:val="both"/>
      </w:pPr>
      <w:r>
        <w:rPr>
          <w:rFonts w:ascii="Times New Roman" w:eastAsia="Times New Roman" w:hAnsi="Times New Roman" w:cs="Times New Roman"/>
        </w:rPr>
        <w:lastRenderedPageBreak/>
        <w:t xml:space="preserve">Trading intensity is defined as the Poisson process intensity </w:t>
      </w:r>
      <w:r>
        <w:t xml:space="preserve">λðδÞ </w:t>
      </w:r>
      <w:r>
        <w:rPr>
          <w:rFonts w:ascii="Times New Roman" w:eastAsia="Times New Roman" w:hAnsi="Times New Roman" w:cs="Times New Roman"/>
        </w:rPr>
        <w:t xml:space="preserve">at which </w:t>
      </w:r>
      <w:r>
        <w:rPr>
          <w:rFonts w:ascii="Times New Roman" w:eastAsia="Times New Roman" w:hAnsi="Times New Roman" w:cs="Times New Roman"/>
        </w:rPr>
        <w:t xml:space="preserve">a </w:t>
      </w:r>
      <w:r>
        <w:t>‘</w:t>
      </w:r>
      <w:r>
        <w:rPr>
          <w:rFonts w:ascii="Times New Roman" w:eastAsia="Times New Roman" w:hAnsi="Times New Roman" w:cs="Times New Roman"/>
        </w:rPr>
        <w:t>limit</w:t>
      </w:r>
      <w:r>
        <w:t xml:space="preserve">’ </w:t>
      </w:r>
      <w:r>
        <w:rPr>
          <w:rFonts w:ascii="Times New Roman" w:eastAsia="Times New Roman" w:hAnsi="Times New Roman" w:cs="Times New Roman"/>
        </w:rPr>
        <w:t xml:space="preserve">order will be executed as a function of its distance </w:t>
      </w:r>
      <w:r>
        <w:t xml:space="preserve">δ </w:t>
      </w:r>
      <w:r>
        <w:rPr>
          <w:rFonts w:ascii="Times New Roman" w:eastAsia="Times New Roman" w:hAnsi="Times New Roman" w:cs="Times New Roman"/>
        </w:rPr>
        <w:t xml:space="preserve">to the midprice quoted by the market-maker. The frequency of market-orders is constant. In this model and in </w:t>
      </w:r>
      <w:r>
        <w:t>‘</w:t>
      </w:r>
      <w:r>
        <w:rPr>
          <w:rFonts w:ascii="Times New Roman" w:eastAsia="Times New Roman" w:hAnsi="Times New Roman" w:cs="Times New Roman"/>
        </w:rPr>
        <w:t>real life</w:t>
      </w:r>
      <w:r>
        <w:t>’</w:t>
      </w:r>
      <w:r>
        <w:rPr>
          <w:rFonts w:ascii="Times New Roman" w:eastAsia="Times New Roman" w:hAnsi="Times New Roman" w:cs="Times New Roman"/>
        </w:rPr>
        <w:t xml:space="preserve">, the closer the </w:t>
      </w:r>
      <w:r>
        <w:t>‘</w:t>
      </w:r>
      <w:r>
        <w:rPr>
          <w:rFonts w:ascii="Times New Roman" w:eastAsia="Times New Roman" w:hAnsi="Times New Roman" w:cs="Times New Roman"/>
        </w:rPr>
        <w:t>limit</w:t>
      </w:r>
      <w:r>
        <w:t xml:space="preserve">’ </w:t>
      </w:r>
      <w:r>
        <w:rPr>
          <w:rFonts w:ascii="Times New Roman" w:eastAsia="Times New Roman" w:hAnsi="Times New Roman" w:cs="Times New Roman"/>
        </w:rPr>
        <w:t>order is to the mid-price, the better is the c</w:t>
      </w:r>
      <w:r>
        <w:rPr>
          <w:rFonts w:ascii="Times New Roman" w:eastAsia="Times New Roman" w:hAnsi="Times New Roman" w:cs="Times New Roman"/>
        </w:rPr>
        <w:t>hance to have this order executed.</w:t>
      </w:r>
    </w:p>
    <w:p w:rsidR="00EE13F6" w:rsidRDefault="002E5BC4">
      <w:pPr>
        <w:spacing w:after="5"/>
        <w:ind w:left="10" w:right="-12" w:hanging="10"/>
        <w:jc w:val="right"/>
      </w:pPr>
      <w:r>
        <w:rPr>
          <w:rFonts w:ascii="Times New Roman" w:eastAsia="Times New Roman" w:hAnsi="Times New Roman" w:cs="Times New Roman"/>
        </w:rPr>
        <w:t>d. The distribution of the size of market-orders</w:t>
      </w:r>
    </w:p>
    <w:p w:rsidR="00EE13F6" w:rsidRDefault="002E5BC4">
      <w:pPr>
        <w:spacing w:after="5" w:line="457" w:lineRule="auto"/>
        <w:ind w:left="-4" w:right="1480" w:hanging="10"/>
        <w:jc w:val="both"/>
      </w:pPr>
      <w:r>
        <w:rPr>
          <w:rFonts w:ascii="Times New Roman" w:eastAsia="Times New Roman" w:hAnsi="Times New Roman" w:cs="Times New Roman"/>
        </w:rPr>
        <w:t>obeys a power law such that d</w:t>
      </w:r>
      <w:r>
        <w:t>P</w:t>
      </w:r>
      <w:r>
        <w:rPr>
          <w:vertAlign w:val="subscript"/>
        </w:rPr>
        <w:t>Q</w:t>
      </w:r>
      <w:r>
        <w:t>ðxÞ ¼ K</w:t>
      </w:r>
      <w:r>
        <w:rPr>
          <w:rFonts w:ascii="Times New Roman" w:eastAsia="Times New Roman" w:hAnsi="Times New Roman" w:cs="Times New Roman"/>
          <w:vertAlign w:val="subscript"/>
        </w:rPr>
        <w:t>1</w:t>
      </w:r>
      <w:r>
        <w:t>x</w:t>
      </w:r>
      <w:r>
        <w:rPr>
          <w:sz w:val="15"/>
        </w:rPr>
        <w:t>ð</w:t>
      </w:r>
      <w:r>
        <w:rPr>
          <w:rFonts w:ascii="Times New Roman" w:eastAsia="Times New Roman" w:hAnsi="Times New Roman" w:cs="Times New Roman"/>
          <w:sz w:val="24"/>
          <w:vertAlign w:val="superscript"/>
        </w:rPr>
        <w:t>1</w:t>
      </w:r>
      <w:r>
        <w:rPr>
          <w:sz w:val="15"/>
        </w:rPr>
        <w:t>þ</w:t>
      </w:r>
      <w:r>
        <w:rPr>
          <w:sz w:val="24"/>
          <w:vertAlign w:val="superscript"/>
        </w:rPr>
        <w:t>α</w:t>
      </w:r>
      <w:r>
        <w:rPr>
          <w:sz w:val="15"/>
        </w:rPr>
        <w:t xml:space="preserve">Þ </w:t>
      </w:r>
      <w:r>
        <w:rPr>
          <w:rFonts w:ascii="Times New Roman" w:eastAsia="Times New Roman" w:hAnsi="Times New Roman" w:cs="Times New Roman"/>
        </w:rPr>
        <w:t xml:space="preserve">where </w:t>
      </w:r>
      <w:r>
        <w:t>K</w:t>
      </w:r>
      <w:r>
        <w:rPr>
          <w:rFonts w:ascii="Times New Roman" w:eastAsia="Times New Roman" w:hAnsi="Times New Roman" w:cs="Times New Roman"/>
          <w:vertAlign w:val="subscript"/>
        </w:rPr>
        <w:t xml:space="preserve">1 </w:t>
      </w:r>
      <w:r>
        <w:rPr>
          <w:rFonts w:ascii="Times New Roman" w:eastAsia="Times New Roman" w:hAnsi="Times New Roman" w:cs="Times New Roman"/>
        </w:rPr>
        <w:t>is a constant.</w:t>
      </w:r>
    </w:p>
    <w:p w:rsidR="00EE13F6" w:rsidRDefault="002E5BC4">
      <w:pPr>
        <w:spacing w:after="218"/>
        <w:ind w:left="10" w:right="1" w:hanging="10"/>
        <w:jc w:val="center"/>
      </w:pPr>
      <w:r>
        <w:t>Δp ¼ K</w:t>
      </w:r>
      <w:r>
        <w:rPr>
          <w:rFonts w:ascii="Times New Roman" w:eastAsia="Times New Roman" w:hAnsi="Times New Roman" w:cs="Times New Roman"/>
          <w:vertAlign w:val="subscript"/>
        </w:rPr>
        <w:t xml:space="preserve">2 </w:t>
      </w:r>
      <w:r>
        <w:rPr>
          <w:rFonts w:ascii="Times New Roman" w:eastAsia="Times New Roman" w:hAnsi="Times New Roman" w:cs="Times New Roman"/>
        </w:rPr>
        <w:t>log</w:t>
      </w:r>
      <w:r>
        <w:t>ðQÞ</w:t>
      </w:r>
    </w:p>
    <w:p w:rsidR="00EE13F6" w:rsidRDefault="002E5BC4">
      <w:pPr>
        <w:spacing w:after="5" w:line="271" w:lineRule="auto"/>
        <w:ind w:left="-4" w:hanging="10"/>
        <w:jc w:val="both"/>
      </w:pPr>
      <w:r>
        <w:rPr>
          <w:rFonts w:ascii="Times New Roman" w:eastAsia="Times New Roman" w:hAnsi="Times New Roman" w:cs="Times New Roman"/>
        </w:rPr>
        <w:t xml:space="preserve">where </w:t>
      </w:r>
      <w:r>
        <w:t xml:space="preserve">Δp </w:t>
      </w:r>
      <w:r>
        <w:rPr>
          <w:rFonts w:ascii="Times New Roman" w:eastAsia="Times New Roman" w:hAnsi="Times New Roman" w:cs="Times New Roman"/>
        </w:rPr>
        <w:t xml:space="preserve">is the absolute price change following a market order of size </w:t>
      </w:r>
      <w:r>
        <w:t>Q</w:t>
      </w:r>
      <w:r>
        <w:rPr>
          <w:rFonts w:ascii="Times New Roman" w:eastAsia="Times New Roman" w:hAnsi="Times New Roman" w:cs="Times New Roman"/>
        </w:rPr>
        <w:t>.</w:t>
      </w:r>
    </w:p>
    <w:p w:rsidR="00EE13F6" w:rsidRDefault="002E5BC4">
      <w:pPr>
        <w:spacing w:after="322" w:line="271" w:lineRule="auto"/>
        <w:ind w:left="-4" w:hanging="10"/>
        <w:jc w:val="both"/>
      </w:pPr>
      <w:r>
        <w:rPr>
          <w:color w:val="841F27"/>
        </w:rPr>
        <w:t xml:space="preserve">Results. </w:t>
      </w:r>
      <w:r>
        <w:rPr>
          <w:rFonts w:ascii="Times New Roman" w:eastAsia="Times New Roman" w:hAnsi="Times New Roman" w:cs="Times New Roman"/>
        </w:rPr>
        <w:t>Then according to Avellaneda and Stoikov (</w:t>
      </w:r>
      <w:r>
        <w:rPr>
          <w:rFonts w:ascii="Times New Roman" w:eastAsia="Times New Roman" w:hAnsi="Times New Roman" w:cs="Times New Roman"/>
          <w:color w:val="00007F"/>
        </w:rPr>
        <w:t>2008</w:t>
      </w:r>
      <w:r>
        <w:rPr>
          <w:rFonts w:ascii="Times New Roman" w:eastAsia="Times New Roman" w:hAnsi="Times New Roman" w:cs="Times New Roman"/>
        </w:rPr>
        <w:t>), the solution of the market-maker</w:t>
      </w:r>
      <w:r>
        <w:t>’</w:t>
      </w:r>
      <w:r>
        <w:rPr>
          <w:rFonts w:ascii="Times New Roman" w:eastAsia="Times New Roman" w:hAnsi="Times New Roman" w:cs="Times New Roman"/>
        </w:rPr>
        <w:t xml:space="preserve">s optimization program at time </w:t>
      </w:r>
      <w:r>
        <w:t xml:space="preserve">t </w:t>
      </w:r>
      <w:r>
        <w:rPr>
          <w:rFonts w:ascii="Times New Roman" w:eastAsia="Times New Roman" w:hAnsi="Times New Roman" w:cs="Times New Roman"/>
        </w:rPr>
        <w:t xml:space="preserve">for the horizon </w:t>
      </w:r>
      <w:r>
        <w:t xml:space="preserve">T </w:t>
      </w:r>
      <w:r>
        <w:rPr>
          <w:rFonts w:ascii="Times New Roman" w:eastAsia="Times New Roman" w:hAnsi="Times New Roman" w:cs="Times New Roman"/>
        </w:rPr>
        <w:t>is as follows, in terms of bid-ask spread and reservation (mid) price.</w:t>
      </w:r>
    </w:p>
    <w:p w:rsidR="00EE13F6" w:rsidRDefault="002E5BC4" w:rsidP="002E5BC4">
      <w:pPr>
        <w:numPr>
          <w:ilvl w:val="0"/>
          <w:numId w:val="50"/>
        </w:numPr>
        <w:spacing w:after="110" w:line="271" w:lineRule="auto"/>
        <w:ind w:right="658" w:hanging="243"/>
        <w:jc w:val="both"/>
      </w:pPr>
      <w:r>
        <w:rPr>
          <w:rFonts w:ascii="Times New Roman" w:eastAsia="Times New Roman" w:hAnsi="Times New Roman" w:cs="Times New Roman"/>
        </w:rPr>
        <w:t xml:space="preserve">Reservation price is given by </w:t>
      </w:r>
      <w:r>
        <w:t>rðs; tÞ ¼ s  qγσ</w:t>
      </w:r>
      <w:r>
        <w:rPr>
          <w:rFonts w:ascii="Times New Roman" w:eastAsia="Times New Roman" w:hAnsi="Times New Roman" w:cs="Times New Roman"/>
          <w:sz w:val="15"/>
        </w:rPr>
        <w:t xml:space="preserve">2 </w:t>
      </w:r>
      <w:r>
        <w:t xml:space="preserve">ðT  </w:t>
      </w:r>
      <w:r>
        <w:t>tÞ</w:t>
      </w:r>
    </w:p>
    <w:p w:rsidR="00EE13F6" w:rsidRDefault="002E5BC4" w:rsidP="002E5BC4">
      <w:pPr>
        <w:numPr>
          <w:ilvl w:val="0"/>
          <w:numId w:val="50"/>
        </w:numPr>
        <w:spacing w:after="5" w:line="619" w:lineRule="auto"/>
        <w:ind w:right="658" w:hanging="243"/>
        <w:jc w:val="both"/>
      </w:pPr>
      <w:r>
        <w:rPr>
          <w:rFonts w:ascii="Times New Roman" w:eastAsia="Times New Roman" w:hAnsi="Times New Roman" w:cs="Times New Roman"/>
        </w:rPr>
        <w:t xml:space="preserve">Bid-ask spread at time </w:t>
      </w:r>
      <w:r>
        <w:t xml:space="preserve">t </w:t>
      </w:r>
      <w:r>
        <w:rPr>
          <w:rFonts w:ascii="Times New Roman" w:eastAsia="Times New Roman" w:hAnsi="Times New Roman" w:cs="Times New Roman"/>
        </w:rPr>
        <w:t xml:space="preserve">is </w:t>
      </w:r>
      <w:r>
        <w:t>δ</w:t>
      </w:r>
      <w:r>
        <w:rPr>
          <w:sz w:val="15"/>
        </w:rPr>
        <w:t xml:space="preserve">a </w:t>
      </w:r>
      <w:r>
        <w:t>þ δ</w:t>
      </w:r>
      <w:r>
        <w:rPr>
          <w:sz w:val="15"/>
        </w:rPr>
        <w:t xml:space="preserve">b </w:t>
      </w:r>
      <w:r>
        <w:t>¼ γσ</w:t>
      </w:r>
      <w:r>
        <w:rPr>
          <w:rFonts w:ascii="Times New Roman" w:eastAsia="Times New Roman" w:hAnsi="Times New Roman" w:cs="Times New Roman"/>
          <w:sz w:val="15"/>
        </w:rPr>
        <w:t xml:space="preserve">2 </w:t>
      </w:r>
      <w:r>
        <w:t xml:space="preserve">ðT  tÞ þ </w:t>
      </w:r>
      <w:r>
        <w:rPr>
          <w:rFonts w:ascii="Times New Roman" w:eastAsia="Times New Roman" w:hAnsi="Times New Roman" w:cs="Times New Roman"/>
        </w:rPr>
        <w:t>2</w:t>
      </w:r>
      <w:r>
        <w:t>γ</w:t>
      </w:r>
      <w:r>
        <w:rPr>
          <w:noProof/>
        </w:rPr>
        <mc:AlternateContent>
          <mc:Choice Requires="wpg">
            <w:drawing>
              <wp:inline distT="0" distB="0" distL="0" distR="0">
                <wp:extent cx="66954" cy="5766"/>
                <wp:effectExtent l="0" t="0" r="0" b="0"/>
                <wp:docPr id="216348" name="Group 216348"/>
                <wp:cNvGraphicFramePr/>
                <a:graphic xmlns:a="http://schemas.openxmlformats.org/drawingml/2006/main">
                  <a:graphicData uri="http://schemas.microsoft.com/office/word/2010/wordprocessingGroup">
                    <wpg:wgp>
                      <wpg:cNvGrpSpPr/>
                      <wpg:grpSpPr>
                        <a:xfrm>
                          <a:off x="0" y="0"/>
                          <a:ext cx="66954" cy="5766"/>
                          <a:chOff x="0" y="0"/>
                          <a:chExt cx="66954" cy="5766"/>
                        </a:xfrm>
                      </wpg:grpSpPr>
                      <wps:wsp>
                        <wps:cNvPr id="230952" name="Shape 230952"/>
                        <wps:cNvSpPr/>
                        <wps:spPr>
                          <a:xfrm>
                            <a:off x="0" y="0"/>
                            <a:ext cx="66954" cy="9144"/>
                          </a:xfrm>
                          <a:custGeom>
                            <a:avLst/>
                            <a:gdLst/>
                            <a:ahLst/>
                            <a:cxnLst/>
                            <a:rect l="0" t="0" r="0" b="0"/>
                            <a:pathLst>
                              <a:path w="66954" h="9144">
                                <a:moveTo>
                                  <a:pt x="0" y="0"/>
                                </a:moveTo>
                                <a:lnTo>
                                  <a:pt x="66954" y="0"/>
                                </a:lnTo>
                                <a:lnTo>
                                  <a:pt x="669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A0E51B" id="Group 216348" o:spid="_x0000_s1026" style="width:5.25pt;height:.45pt;mso-position-horizontal-relative:char;mso-position-vertical-relative:line" coordsize="66954,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">
                <v:shape id="Shape 230952" o:spid="_x0000_s1027" style="position:absolute;width:66954;height:9144;visibility:visible;mso-wrap-style:square;v-text-anchor:top" coordsize="669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q68cA&#10;AADfAAAADwAAAGRycy9kb3ducmV2LnhtbESPT0vEMBTE78J+h/AWvLmpLbpu3ewigiJ4kP1jYW+P&#10;5pkUm5eSxG399kYQPA4z8xtmvZ1cL84UYudZwfWiAEHcet2xUXA8PF3dgYgJWWPvmRR8U4TtZnax&#10;xlr7kXd03icjMoRjjQpsSkMtZWwtOYwLPxBn78MHhynLYKQOOGa462VZFLfSYcd5weJAj5baz/2X&#10;U7CsnpuxMdaMpqlsdcLX97djUOpyPj3cg0g0pf/wX/tFKyirYnVTwu+f/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5KuvHAAAA3wAAAA8AAAAAAAAAAAAAAAAAmAIAAGRy&#10;cy9kb3ducmV2LnhtbFBLBQYAAAAABAAEAPUAAACMAwAAAAA=&#10;" path="m,l66954,r,9144l,9144,,e" fillcolor="black" stroked="f" strokeweight="0">
                  <v:stroke miterlimit="83231f" joinstyle="miter"/>
                  <v:path arrowok="t" textboxrect="0,0,66954,9144"/>
                </v:shape>
                <w10:anchorlock/>
              </v:group>
            </w:pict>
          </mc:Fallback>
        </mc:AlternateContent>
      </w:r>
      <w:r>
        <w:t xml:space="preserve"> </w:t>
      </w:r>
      <w:r>
        <w:rPr>
          <w:rFonts w:ascii="Times New Roman" w:eastAsia="Times New Roman" w:hAnsi="Times New Roman" w:cs="Times New Roman"/>
        </w:rPr>
        <w:t>ln</w:t>
      </w:r>
      <w:r>
        <w:t>ð</w:t>
      </w:r>
      <w:r>
        <w:rPr>
          <w:rFonts w:ascii="Times New Roman" w:eastAsia="Times New Roman" w:hAnsi="Times New Roman" w:cs="Times New Roman"/>
        </w:rPr>
        <w:t xml:space="preserve">1 </w:t>
      </w:r>
      <w:r>
        <w:t>þ γkÞ</w:t>
      </w:r>
    </w:p>
    <w:p w:rsidR="00EE13F6" w:rsidRDefault="002E5BC4">
      <w:pPr>
        <w:spacing w:after="82" w:line="271" w:lineRule="auto"/>
        <w:ind w:left="-4" w:hanging="10"/>
        <w:jc w:val="both"/>
      </w:pPr>
      <w:r>
        <w:rPr>
          <w:rFonts w:ascii="Times New Roman" w:eastAsia="Times New Roman" w:hAnsi="Times New Roman" w:cs="Times New Roman"/>
        </w:rPr>
        <w:t xml:space="preserve">with </w:t>
      </w:r>
      <w:r>
        <w:t xml:space="preserve">k ¼ Kα </w:t>
      </w:r>
      <w:r>
        <w:rPr>
          <w:rFonts w:ascii="Times New Roman" w:eastAsia="Times New Roman" w:hAnsi="Times New Roman" w:cs="Times New Roman"/>
        </w:rPr>
        <w:t xml:space="preserve">and </w:t>
      </w:r>
      <w:r>
        <w:t>σ</w:t>
      </w:r>
      <w:r>
        <w:rPr>
          <w:rFonts w:ascii="Times New Roman" w:eastAsia="Times New Roman" w:hAnsi="Times New Roman" w:cs="Times New Roman"/>
          <w:vertAlign w:val="superscript"/>
        </w:rPr>
        <w:t>2</w:t>
      </w:r>
      <w:r>
        <w:t xml:space="preserve">ðT  tÞ </w:t>
      </w:r>
      <w:r>
        <w:rPr>
          <w:rFonts w:ascii="Times New Roman" w:eastAsia="Times New Roman" w:hAnsi="Times New Roman" w:cs="Times New Roman"/>
        </w:rPr>
        <w:t>is the cost incurred by the market-maker, if it carries the position until maturity. Clearly, this is an opportunity cost, as the market-maker is exposed to the m</w:t>
      </w:r>
      <w:r>
        <w:rPr>
          <w:rFonts w:ascii="Times New Roman" w:eastAsia="Times New Roman" w:hAnsi="Times New Roman" w:cs="Times New Roman"/>
        </w:rPr>
        <w:t>arket risk without having the opportunity to unwind its position.</w:t>
      </w:r>
    </w:p>
    <w:p w:rsidR="00EE13F6" w:rsidRDefault="002E5BC4">
      <w:pPr>
        <w:spacing w:after="752" w:line="271" w:lineRule="auto"/>
        <w:ind w:left="-4" w:hanging="10"/>
        <w:jc w:val="both"/>
      </w:pPr>
      <w:r>
        <w:rPr>
          <w:noProof/>
        </w:rPr>
        <mc:AlternateContent>
          <mc:Choice Requires="wpg">
            <w:drawing>
              <wp:anchor distT="0" distB="0" distL="114300" distR="114300" simplePos="0" relativeHeight="251678720" behindDoc="0" locked="0" layoutInCell="1" allowOverlap="1">
                <wp:simplePos x="0" y="0"/>
                <wp:positionH relativeFrom="column">
                  <wp:posOffset>1167426</wp:posOffset>
                </wp:positionH>
                <wp:positionV relativeFrom="paragraph">
                  <wp:posOffset>82574</wp:posOffset>
                </wp:positionV>
                <wp:extent cx="46799" cy="5766"/>
                <wp:effectExtent l="0" t="0" r="0" b="0"/>
                <wp:wrapSquare wrapText="bothSides"/>
                <wp:docPr id="216349" name="Group 216349"/>
                <wp:cNvGraphicFramePr/>
                <a:graphic xmlns:a="http://schemas.openxmlformats.org/drawingml/2006/main">
                  <a:graphicData uri="http://schemas.microsoft.com/office/word/2010/wordprocessingGroup">
                    <wpg:wgp>
                      <wpg:cNvGrpSpPr/>
                      <wpg:grpSpPr>
                        <a:xfrm>
                          <a:off x="0" y="0"/>
                          <a:ext cx="46799" cy="5766"/>
                          <a:chOff x="0" y="0"/>
                          <a:chExt cx="46799" cy="5766"/>
                        </a:xfrm>
                      </wpg:grpSpPr>
                      <wps:wsp>
                        <wps:cNvPr id="230953" name="Shape 230953"/>
                        <wps:cNvSpPr/>
                        <wps:spPr>
                          <a:xfrm>
                            <a:off x="0" y="0"/>
                            <a:ext cx="46799" cy="9144"/>
                          </a:xfrm>
                          <a:custGeom>
                            <a:avLst/>
                            <a:gdLst/>
                            <a:ahLst/>
                            <a:cxnLst/>
                            <a:rect l="0" t="0" r="0" b="0"/>
                            <a:pathLst>
                              <a:path w="46799" h="9144">
                                <a:moveTo>
                                  <a:pt x="0" y="0"/>
                                </a:moveTo>
                                <a:lnTo>
                                  <a:pt x="46799" y="0"/>
                                </a:lnTo>
                                <a:lnTo>
                                  <a:pt x="467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C37033" id="Group 216349" o:spid="_x0000_s1026" style="position:absolute;margin-left:91.9pt;margin-top:6.5pt;width:3.7pt;height:.45pt;z-index:251678720" coordsize="46799,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">
                <v:shape id="Shape 230953" o:spid="_x0000_s1027" style="position:absolute;width:46799;height:9144;visibility:visible;mso-wrap-style:square;v-text-anchor:top" coordsize="467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dcQA&#10;AADfAAAADwAAAGRycy9kb3ducmV2LnhtbESPQWvCQBSE74X+h+UVvNVdFWsbXUWCQo9tFM+P7DMb&#10;zL4N2TWJ/75bKPQ4zMw3zGY3ukb01IXas4bZVIEgLr2pudJwPh1f30GEiGyw8UwaHhRgt31+2mBm&#10;/MDf1BexEgnCIUMNNsY2kzKUlhyGqW+Jk3f1ncOYZFdJ0+GQ4K6Rc6XepMOa04LFlnJL5a24u0Sx&#10;l/6QUxzUyqyWVX4s5Ne90HryMu7XICKN8T/81/40GuYL9bFcwO+f9A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53XEAAAA3wAAAA8AAAAAAAAAAAAAAAAAmAIAAGRycy9k&#10;b3ducmV2LnhtbFBLBQYAAAAABAAEAPUAAACJAwAAAAA=&#10;" path="m,l46799,r,9144l,9144,,e" fillcolor="black" stroked="f" strokeweight="0">
                  <v:stroke miterlimit="83231f" joinstyle="miter"/>
                  <v:path arrowok="t" textboxrect="0,0,46799,9144"/>
                </v:shape>
                <w10:wrap type="square"/>
              </v:group>
            </w:pict>
          </mc:Fallback>
        </mc:AlternateContent>
      </w:r>
      <w:r>
        <w:rPr>
          <w:rFonts w:ascii="Times New Roman" w:eastAsia="Times New Roman" w:hAnsi="Times New Roman" w:cs="Times New Roman"/>
        </w:rPr>
        <w:t>the market-makerFinally,</w:t>
      </w:r>
      <w:r>
        <w:rPr>
          <w:noProof/>
        </w:rPr>
        <w:drawing>
          <wp:inline distT="0" distB="0" distL="0" distR="0">
            <wp:extent cx="51816" cy="188976"/>
            <wp:effectExtent l="0" t="0" r="0" b="0"/>
            <wp:docPr id="222044" name="Picture 222044"/>
            <wp:cNvGraphicFramePr/>
            <a:graphic xmlns:a="http://schemas.openxmlformats.org/drawingml/2006/main">
              <a:graphicData uri="http://schemas.openxmlformats.org/drawingml/2006/picture">
                <pic:pic xmlns:pic="http://schemas.openxmlformats.org/drawingml/2006/picture">
                  <pic:nvPicPr>
                    <pic:cNvPr id="222044" name="Picture 222044"/>
                    <pic:cNvPicPr/>
                  </pic:nvPicPr>
                  <pic:blipFill>
                    <a:blip r:embed="rId302"/>
                    <a:stretch>
                      <a:fillRect/>
                    </a:stretch>
                  </pic:blipFill>
                  <pic:spPr>
                    <a:xfrm>
                      <a:off x="0" y="0"/>
                      <a:ext cx="51816" cy="188976"/>
                    </a:xfrm>
                    <a:prstGeom prst="rect">
                      <a:avLst/>
                    </a:prstGeom>
                  </pic:spPr>
                </pic:pic>
              </a:graphicData>
            </a:graphic>
          </wp:inline>
        </w:drawing>
      </w:r>
      <w:r>
        <w:t>ð</w:t>
      </w:r>
      <w:r>
        <w:rPr>
          <w:rFonts w:ascii="Times New Roman" w:eastAsia="Times New Roman" w:hAnsi="Times New Roman" w:cs="Times New Roman"/>
        </w:rPr>
        <w:t>ln</w:t>
      </w:r>
      <w:r>
        <w:t>ð</w:t>
      </w:r>
      <w:r>
        <w:rPr>
          <w:rFonts w:ascii="Times New Roman" w:eastAsia="Times New Roman" w:hAnsi="Times New Roman" w:cs="Times New Roman"/>
        </w:rPr>
        <w:t xml:space="preserve">1 </w:t>
      </w:r>
      <w:r>
        <w:t>’þ</w:t>
      </w:r>
      <w:r>
        <w:rPr>
          <w:rFonts w:ascii="Times New Roman" w:eastAsia="Times New Roman" w:hAnsi="Times New Roman" w:cs="Times New Roman"/>
        </w:rPr>
        <w:t>s quote on the market.</w:t>
      </w:r>
      <w:r>
        <w:rPr>
          <w:vertAlign w:val="superscript"/>
        </w:rPr>
        <w:t>γ</w:t>
      </w:r>
      <w:r>
        <w:rPr>
          <w:vertAlign w:val="subscript"/>
        </w:rPr>
        <w:t>k</w:t>
      </w:r>
      <w:r>
        <w:t xml:space="preserve">Þ </w:t>
      </w:r>
      <w:r>
        <w:rPr>
          <w:rFonts w:ascii="Times New Roman" w:eastAsia="Times New Roman" w:hAnsi="Times New Roman" w:cs="Times New Roman"/>
        </w:rPr>
        <w:t>measures the price impact of</w:t>
      </w:r>
    </w:p>
    <w:p w:rsidR="00EE13F6" w:rsidRDefault="002E5BC4">
      <w:pPr>
        <w:spacing w:after="5" w:line="271" w:lineRule="auto"/>
        <w:ind w:left="-4" w:hanging="10"/>
        <w:jc w:val="both"/>
      </w:pPr>
      <w:r>
        <w:rPr>
          <w:rFonts w:ascii="Times New Roman" w:eastAsia="Times New Roman" w:hAnsi="Times New Roman" w:cs="Times New Roman"/>
          <w:color w:val="841F27"/>
        </w:rPr>
        <w:t xml:space="preserve">Application to liquid option equity markets. </w:t>
      </w:r>
      <w:r>
        <w:rPr>
          <w:rFonts w:ascii="Times New Roman" w:eastAsia="Times New Roman" w:hAnsi="Times New Roman" w:cs="Times New Roman"/>
        </w:rPr>
        <w:t>Through these two equations, we can assess the impact of the introduction of the FTT on the prices</w:t>
      </w:r>
    </w:p>
    <w:p w:rsidR="00EE13F6" w:rsidRDefault="002E5BC4">
      <w:pPr>
        <w:spacing w:after="304" w:line="314" w:lineRule="auto"/>
        <w:ind w:left="10" w:right="-12" w:hanging="10"/>
        <w:jc w:val="right"/>
      </w:pPr>
      <w:r>
        <w:rPr>
          <w:sz w:val="15"/>
        </w:rPr>
        <w:t>5</w:t>
      </w:r>
    </w:p>
    <w:p w:rsidR="00EE13F6" w:rsidRDefault="002E5BC4">
      <w:pPr>
        <w:spacing w:after="273" w:line="271" w:lineRule="auto"/>
        <w:ind w:left="-4" w:hanging="10"/>
        <w:jc w:val="both"/>
      </w:pPr>
      <w:r>
        <w:rPr>
          <w:rFonts w:ascii="Times New Roman" w:eastAsia="Times New Roman" w:hAnsi="Times New Roman" w:cs="Times New Roman"/>
        </w:rPr>
        <w:t xml:space="preserve">quoted by market-makers in order to derive any possible effect on the implied volatility. </w:t>
      </w:r>
      <w:r>
        <w:rPr>
          <w:color w:val="841F27"/>
        </w:rPr>
        <w:t>Synt</w:t>
      </w:r>
      <w:r>
        <w:rPr>
          <w:color w:val="841F27"/>
        </w:rPr>
        <w:t xml:space="preserve">hetic stock market-making. </w:t>
      </w:r>
      <w:r>
        <w:rPr>
          <w:rFonts w:ascii="Times New Roman" w:eastAsia="Times New Roman" w:hAnsi="Times New Roman" w:cs="Times New Roman"/>
        </w:rPr>
        <w:t xml:space="preserve">Applying directly HJB to the </w:t>
      </w:r>
      <w:r>
        <w:rPr>
          <w:rFonts w:ascii="Times New Roman" w:eastAsia="Times New Roman" w:hAnsi="Times New Roman" w:cs="Times New Roman"/>
        </w:rPr>
        <w:lastRenderedPageBreak/>
        <w:t>option would prove difficult, as we would need to determine the volatility of the call option itself. Instead, we apply the HJB asymptotic solution described earlier to the long synthetic stock positi</w:t>
      </w:r>
      <w:r>
        <w:rPr>
          <w:rFonts w:ascii="Times New Roman" w:eastAsia="Times New Roman" w:hAnsi="Times New Roman" w:cs="Times New Roman"/>
        </w:rPr>
        <w:t>on consisting in buying a call and selling a put. From the definition of a synthetic stock, it follows immediately that the bid-ask spread on the synthetic is twice the bid-ask spread on each of the two options. We consider at the money forward options. Th</w:t>
      </w:r>
      <w:r>
        <w:rPr>
          <w:rFonts w:ascii="Times New Roman" w:eastAsia="Times New Roman" w:hAnsi="Times New Roman" w:cs="Times New Roman"/>
        </w:rPr>
        <w:t>e Black</w:t>
      </w:r>
      <w:r>
        <w:t>–</w:t>
      </w:r>
      <w:r>
        <w:rPr>
          <w:rFonts w:ascii="Times New Roman" w:eastAsia="Times New Roman" w:hAnsi="Times New Roman" w:cs="Times New Roman"/>
        </w:rPr>
        <w:t>Scholes volatility of the synthetic stock is equal to the volatility of the cash stock. We assume that the bid-ask spread is the same for the call and the put.</w:t>
      </w:r>
    </w:p>
    <w:p w:rsidR="00EE13F6" w:rsidRDefault="002E5BC4" w:rsidP="002E5BC4">
      <w:pPr>
        <w:numPr>
          <w:ilvl w:val="0"/>
          <w:numId w:val="51"/>
        </w:numPr>
        <w:spacing w:after="5" w:line="271" w:lineRule="auto"/>
        <w:ind w:hanging="264"/>
        <w:jc w:val="both"/>
      </w:pPr>
      <w:r>
        <w:rPr>
          <w:rFonts w:ascii="Times New Roman" w:eastAsia="Times New Roman" w:hAnsi="Times New Roman" w:cs="Times New Roman"/>
        </w:rPr>
        <w:t>Opportunity costs:</w:t>
      </w:r>
    </w:p>
    <w:p w:rsidR="00EE13F6" w:rsidRDefault="002E5BC4">
      <w:pPr>
        <w:spacing w:after="44" w:line="271" w:lineRule="auto"/>
        <w:ind w:left="513" w:hanging="10"/>
        <w:jc w:val="both"/>
      </w:pPr>
      <w:r>
        <w:rPr>
          <w:rFonts w:ascii="Times New Roman" w:eastAsia="Times New Roman" w:hAnsi="Times New Roman" w:cs="Times New Roman"/>
        </w:rPr>
        <w:t>Consequently, the full opportunity costs after impact of the FTT on the synthetic stock, in the case the synthetic is held until maturity is 2</w:t>
      </w:r>
      <w:r>
        <w:t>γσ</w:t>
      </w:r>
      <w:r>
        <w:rPr>
          <w:rFonts w:ascii="Times New Roman" w:eastAsia="Times New Roman" w:hAnsi="Times New Roman" w:cs="Times New Roman"/>
          <w:vertAlign w:val="superscript"/>
        </w:rPr>
        <w:t>2</w:t>
      </w:r>
      <w:r>
        <w:rPr>
          <w:vertAlign w:val="subscript"/>
        </w:rPr>
        <w:t xml:space="preserve">A </w:t>
      </w:r>
      <w:r>
        <w:t>ðT  tÞ</w:t>
      </w:r>
      <w:r>
        <w:rPr>
          <w:rFonts w:ascii="Times New Roman" w:eastAsia="Times New Roman" w:hAnsi="Times New Roman" w:cs="Times New Roman"/>
        </w:rPr>
        <w:t xml:space="preserve">, where </w:t>
      </w:r>
      <w:r>
        <w:t>σ</w:t>
      </w:r>
      <w:r>
        <w:rPr>
          <w:vertAlign w:val="subscript"/>
        </w:rPr>
        <w:t xml:space="preserve">A </w:t>
      </w:r>
      <w:r>
        <w:rPr>
          <w:rFonts w:ascii="Times New Roman" w:eastAsia="Times New Roman" w:hAnsi="Times New Roman" w:cs="Times New Roman"/>
        </w:rPr>
        <w:t xml:space="preserve">represents the modified </w:t>
      </w:r>
      <w:r>
        <w:t>‘</w:t>
      </w:r>
      <w:r>
        <w:rPr>
          <w:rFonts w:ascii="Times New Roman" w:eastAsia="Times New Roman" w:hAnsi="Times New Roman" w:cs="Times New Roman"/>
        </w:rPr>
        <w:t>Normal</w:t>
      </w:r>
      <w:r>
        <w:t xml:space="preserve">’ </w:t>
      </w:r>
      <w:r>
        <w:rPr>
          <w:rFonts w:ascii="Times New Roman" w:eastAsia="Times New Roman" w:hAnsi="Times New Roman" w:cs="Times New Roman"/>
        </w:rPr>
        <w:t>volatility according to Boyle and Vorst. According to HJB f</w:t>
      </w:r>
      <w:r>
        <w:rPr>
          <w:rFonts w:ascii="Times New Roman" w:eastAsia="Times New Roman" w:hAnsi="Times New Roman" w:cs="Times New Roman"/>
        </w:rPr>
        <w:t xml:space="preserve">ramework, the term </w:t>
      </w:r>
      <w:r>
        <w:t xml:space="preserve">ðT  tÞ </w:t>
      </w:r>
      <w:r>
        <w:rPr>
          <w:rFonts w:ascii="Times New Roman" w:eastAsia="Times New Roman" w:hAnsi="Times New Roman" w:cs="Times New Roman"/>
        </w:rPr>
        <w:t xml:space="preserve">represents the time horizon on which the market-maker maximizes its expected utility. We will consider that </w:t>
      </w:r>
      <w:r>
        <w:t xml:space="preserve">T  t </w:t>
      </w:r>
      <w:r>
        <w:rPr>
          <w:rFonts w:ascii="Times New Roman" w:eastAsia="Times New Roman" w:hAnsi="Times New Roman" w:cs="Times New Roman"/>
        </w:rPr>
        <w:t>represents the time needed by the market-maker to find opposite interests in the market, and unwind its inventory pos</w:t>
      </w:r>
      <w:r>
        <w:rPr>
          <w:rFonts w:ascii="Times New Roman" w:eastAsia="Times New Roman" w:hAnsi="Times New Roman" w:cs="Times New Roman"/>
        </w:rPr>
        <w:t>ition.</w:t>
      </w:r>
    </w:p>
    <w:p w:rsidR="00EE13F6" w:rsidRDefault="002E5BC4" w:rsidP="002E5BC4">
      <w:pPr>
        <w:numPr>
          <w:ilvl w:val="0"/>
          <w:numId w:val="51"/>
        </w:numPr>
        <w:spacing w:after="127" w:line="271" w:lineRule="auto"/>
        <w:ind w:hanging="264"/>
        <w:jc w:val="both"/>
      </w:pPr>
      <w:r>
        <w:rPr>
          <w:rFonts w:ascii="Times New Roman" w:eastAsia="Times New Roman" w:hAnsi="Times New Roman" w:cs="Times New Roman"/>
        </w:rPr>
        <w:t xml:space="preserve">Market price impact and fiscal arbitrage </w:t>
      </w:r>
      <w:r>
        <w:rPr>
          <w:noProof/>
        </w:rPr>
        <w:drawing>
          <wp:inline distT="0" distB="0" distL="0" distR="0">
            <wp:extent cx="54864" cy="188976"/>
            <wp:effectExtent l="0" t="0" r="0" b="0"/>
            <wp:docPr id="222043" name="Picture 222043"/>
            <wp:cNvGraphicFramePr/>
            <a:graphic xmlns:a="http://schemas.openxmlformats.org/drawingml/2006/main">
              <a:graphicData uri="http://schemas.openxmlformats.org/drawingml/2006/picture">
                <pic:pic xmlns:pic="http://schemas.openxmlformats.org/drawingml/2006/picture">
                  <pic:nvPicPr>
                    <pic:cNvPr id="222043" name="Picture 222043"/>
                    <pic:cNvPicPr/>
                  </pic:nvPicPr>
                  <pic:blipFill>
                    <a:blip r:embed="rId303"/>
                    <a:stretch>
                      <a:fillRect/>
                    </a:stretch>
                  </pic:blipFill>
                  <pic:spPr>
                    <a:xfrm>
                      <a:off x="0" y="0"/>
                      <a:ext cx="54864" cy="188976"/>
                    </a:xfrm>
                    <a:prstGeom prst="rect">
                      <a:avLst/>
                    </a:prstGeom>
                  </pic:spPr>
                </pic:pic>
              </a:graphicData>
            </a:graphic>
          </wp:inline>
        </w:drawing>
      </w:r>
      <w:r>
        <w:t>ð</w:t>
      </w:r>
      <w:r>
        <w:rPr>
          <w:rFonts w:ascii="Times New Roman" w:eastAsia="Times New Roman" w:hAnsi="Times New Roman" w:cs="Times New Roman"/>
        </w:rPr>
        <w:t>ln</w:t>
      </w:r>
      <w:r>
        <w:t>ð</w:t>
      </w:r>
      <w:r>
        <w:rPr>
          <w:rFonts w:ascii="Times New Roman" w:eastAsia="Times New Roman" w:hAnsi="Times New Roman" w:cs="Times New Roman"/>
        </w:rPr>
        <w:t xml:space="preserve">1 </w:t>
      </w:r>
      <w:r>
        <w:t xml:space="preserve">þ </w:t>
      </w:r>
      <w:r>
        <w:rPr>
          <w:vertAlign w:val="superscript"/>
        </w:rPr>
        <w:t>γ</w:t>
      </w:r>
      <w:r>
        <w:rPr>
          <w:vertAlign w:val="subscript"/>
        </w:rPr>
        <w:t>k</w:t>
      </w:r>
      <w:r>
        <w:t xml:space="preserve">Þ </w:t>
      </w:r>
      <w:r>
        <w:rPr>
          <w:rFonts w:ascii="Times New Roman" w:eastAsia="Times New Roman" w:hAnsi="Times New Roman" w:cs="Times New Roman"/>
        </w:rPr>
        <w:t>measures the price impact of the</w:t>
      </w:r>
    </w:p>
    <w:p w:rsidR="00EE13F6" w:rsidRDefault="002E5BC4">
      <w:pPr>
        <w:spacing w:after="5" w:line="271" w:lineRule="auto"/>
        <w:ind w:left="514" w:hanging="10"/>
        <w:jc w:val="both"/>
      </w:pPr>
      <w:r>
        <w:rPr>
          <w:rFonts w:ascii="Times New Roman" w:eastAsia="Times New Roman" w:hAnsi="Times New Roman" w:cs="Times New Roman"/>
        </w:rPr>
        <w:t>quote on the market.</w:t>
      </w:r>
    </w:p>
    <w:p w:rsidR="00EE13F6" w:rsidRDefault="002E5BC4">
      <w:pPr>
        <w:spacing w:after="5" w:line="271" w:lineRule="auto"/>
        <w:ind w:left="504" w:firstLine="227"/>
        <w:jc w:val="both"/>
      </w:pPr>
      <w:r>
        <w:rPr>
          <w:rFonts w:ascii="Times New Roman" w:eastAsia="Times New Roman" w:hAnsi="Times New Roman" w:cs="Times New Roman"/>
        </w:rPr>
        <w:t>One can expect that because the synthetic is taxed at 0.04% of the notional (roundtrip), this will impact the demand for synthetic stocks and</w:t>
      </w:r>
      <w:r>
        <w:rPr>
          <w:rFonts w:ascii="Times New Roman" w:eastAsia="Times New Roman" w:hAnsi="Times New Roman" w:cs="Times New Roman"/>
        </w:rPr>
        <w:t xml:space="preserve"> decrease the volumes. In that case, the impact of one additional unit will be less diluted because of the volume decrease. All things being equal, this should increase the price impact.</w:t>
      </w:r>
    </w:p>
    <w:p w:rsidR="00EE13F6" w:rsidRDefault="002E5BC4">
      <w:pPr>
        <w:spacing w:after="5" w:line="271" w:lineRule="auto"/>
        <w:ind w:left="504" w:firstLine="227"/>
        <w:jc w:val="both"/>
      </w:pPr>
      <w:r>
        <w:rPr>
          <w:rFonts w:ascii="Times New Roman" w:eastAsia="Times New Roman" w:hAnsi="Times New Roman" w:cs="Times New Roman"/>
        </w:rPr>
        <w:t>Conversely, we consider that the difference in tax rates between cash</w:t>
      </w:r>
      <w:r>
        <w:rPr>
          <w:rFonts w:ascii="Times New Roman" w:eastAsia="Times New Roman" w:hAnsi="Times New Roman" w:cs="Times New Roman"/>
        </w:rPr>
        <w:t xml:space="preserve"> products (taxed at 0.4% roundtrip, if we consider the repo taxation) and the equivalent derivatives products (0.02%) should allow a fiscal arbitrage and a massive transfer from cash products to delta one products such as synthetic stocks or futures. As a </w:t>
      </w:r>
      <w:r>
        <w:rPr>
          <w:rFonts w:ascii="Times New Roman" w:eastAsia="Times New Roman" w:hAnsi="Times New Roman" w:cs="Times New Roman"/>
        </w:rPr>
        <w:t>consequence, delta one markets</w:t>
      </w:r>
    </w:p>
    <w:p w:rsidR="00EE13F6" w:rsidRDefault="002E5BC4">
      <w:pPr>
        <w:spacing w:after="312" w:line="313" w:lineRule="auto"/>
        <w:ind w:left="-5" w:hanging="10"/>
      </w:pPr>
      <w:r>
        <w:rPr>
          <w:sz w:val="15"/>
        </w:rPr>
        <w:t>6</w:t>
      </w:r>
    </w:p>
    <w:p w:rsidR="00EE13F6" w:rsidRDefault="002E5BC4">
      <w:pPr>
        <w:spacing w:after="27" w:line="271" w:lineRule="auto"/>
        <w:ind w:left="515" w:hanging="10"/>
        <w:jc w:val="both"/>
      </w:pPr>
      <w:r>
        <w:rPr>
          <w:rFonts w:ascii="Times New Roman" w:eastAsia="Times New Roman" w:hAnsi="Times New Roman" w:cs="Times New Roman"/>
        </w:rPr>
        <w:lastRenderedPageBreak/>
        <w:t>including synthetic stocks should record a strong increase in the volumes. Therefore, the term</w:t>
      </w:r>
      <w:r>
        <w:rPr>
          <w:noProof/>
        </w:rPr>
        <w:drawing>
          <wp:inline distT="0" distB="0" distL="0" distR="0">
            <wp:extent cx="54864" cy="192024"/>
            <wp:effectExtent l="0" t="0" r="0" b="0"/>
            <wp:docPr id="222045" name="Picture 222045"/>
            <wp:cNvGraphicFramePr/>
            <a:graphic xmlns:a="http://schemas.openxmlformats.org/drawingml/2006/main">
              <a:graphicData uri="http://schemas.openxmlformats.org/drawingml/2006/picture">
                <pic:pic xmlns:pic="http://schemas.openxmlformats.org/drawingml/2006/picture">
                  <pic:nvPicPr>
                    <pic:cNvPr id="222045" name="Picture 222045"/>
                    <pic:cNvPicPr/>
                  </pic:nvPicPr>
                  <pic:blipFill>
                    <a:blip r:embed="rId304"/>
                    <a:stretch>
                      <a:fillRect/>
                    </a:stretch>
                  </pic:blipFill>
                  <pic:spPr>
                    <a:xfrm>
                      <a:off x="0" y="0"/>
                      <a:ext cx="54864" cy="192024"/>
                    </a:xfrm>
                    <a:prstGeom prst="rect">
                      <a:avLst/>
                    </a:prstGeom>
                  </pic:spPr>
                </pic:pic>
              </a:graphicData>
            </a:graphic>
          </wp:inline>
        </w:drawing>
      </w:r>
      <w:r>
        <w:t>ð</w:t>
      </w:r>
      <w:r>
        <w:rPr>
          <w:rFonts w:ascii="Times New Roman" w:eastAsia="Times New Roman" w:hAnsi="Times New Roman" w:cs="Times New Roman"/>
        </w:rPr>
        <w:t>ln</w:t>
      </w:r>
      <w:r>
        <w:t>ð</w:t>
      </w:r>
      <w:r>
        <w:rPr>
          <w:rFonts w:ascii="Times New Roman" w:eastAsia="Times New Roman" w:hAnsi="Times New Roman" w:cs="Times New Roman"/>
        </w:rPr>
        <w:t xml:space="preserve">1 </w:t>
      </w:r>
      <w:r>
        <w:t xml:space="preserve">þ </w:t>
      </w:r>
      <w:r>
        <w:rPr>
          <w:vertAlign w:val="superscript"/>
        </w:rPr>
        <w:t>γ</w:t>
      </w:r>
      <w:r>
        <w:rPr>
          <w:vertAlign w:val="subscript"/>
        </w:rPr>
        <w:t>k</w:t>
      </w:r>
      <w:r>
        <w:t xml:space="preserve">Þ </w:t>
      </w:r>
      <w:r>
        <w:rPr>
          <w:rFonts w:ascii="Times New Roman" w:eastAsia="Times New Roman" w:hAnsi="Times New Roman" w:cs="Times New Roman"/>
        </w:rPr>
        <w:t>should be assumed to be constant or decreasing.</w:t>
      </w:r>
    </w:p>
    <w:p w:rsidR="00EE13F6" w:rsidRDefault="002E5BC4">
      <w:pPr>
        <w:spacing w:after="5" w:line="271" w:lineRule="auto"/>
        <w:ind w:left="251" w:hanging="10"/>
        <w:jc w:val="both"/>
      </w:pPr>
      <w:r>
        <w:rPr>
          <w:rFonts w:ascii="Times New Roman" w:eastAsia="Times New Roman" w:hAnsi="Times New Roman" w:cs="Times New Roman"/>
        </w:rPr>
        <w:t>c. Fiscal arbitrage and delta one products</w:t>
      </w:r>
    </w:p>
    <w:p w:rsidR="00EE13F6" w:rsidRDefault="002E5BC4">
      <w:pPr>
        <w:spacing w:after="5" w:line="271" w:lineRule="auto"/>
        <w:ind w:left="505" w:firstLine="227"/>
        <w:jc w:val="both"/>
      </w:pPr>
      <w:r>
        <w:rPr>
          <w:rFonts w:ascii="Times New Roman" w:eastAsia="Times New Roman" w:hAnsi="Times New Roman" w:cs="Times New Roman"/>
        </w:rPr>
        <w:t xml:space="preserve">Because of the massive development of delta one products, especially synthetic securities and futures, we can expect in fact a further reduction of the bid-ask spread on synthetic securities. This reduction will occur because of the increased liquidity on </w:t>
      </w:r>
      <w:r>
        <w:rPr>
          <w:rFonts w:ascii="Times New Roman" w:eastAsia="Times New Roman" w:hAnsi="Times New Roman" w:cs="Times New Roman"/>
        </w:rPr>
        <w:t xml:space="preserve">the delta one markets and can be estimated using the asymptotic approximation of the HJB equation. The transfer of transaction from cash to delta one trades will not increase the overall volumes of transactions on the </w:t>
      </w:r>
      <w:r>
        <w:t>‘</w:t>
      </w:r>
      <w:r>
        <w:rPr>
          <w:rFonts w:ascii="Times New Roman" w:eastAsia="Times New Roman" w:hAnsi="Times New Roman" w:cs="Times New Roman"/>
        </w:rPr>
        <w:t>whole</w:t>
      </w:r>
      <w:r>
        <w:t xml:space="preserve">’ </w:t>
      </w:r>
      <w:r>
        <w:rPr>
          <w:rFonts w:ascii="Times New Roman" w:eastAsia="Times New Roman" w:hAnsi="Times New Roman" w:cs="Times New Roman"/>
        </w:rPr>
        <w:t>equity market consisting of ca</w:t>
      </w:r>
      <w:r>
        <w:rPr>
          <w:rFonts w:ascii="Times New Roman" w:eastAsia="Times New Roman" w:hAnsi="Times New Roman" w:cs="Times New Roman"/>
        </w:rPr>
        <w:t>sh and delta one derivatives for the same product, because it will merely consist in a substitution.</w:t>
      </w:r>
    </w:p>
    <w:p w:rsidR="00EE13F6" w:rsidRDefault="002E5BC4">
      <w:pPr>
        <w:spacing w:after="48"/>
        <w:ind w:left="10" w:right="-12" w:hanging="10"/>
        <w:jc w:val="right"/>
      </w:pPr>
      <w:r>
        <w:rPr>
          <w:rFonts w:ascii="Times New Roman" w:eastAsia="Times New Roman" w:hAnsi="Times New Roman" w:cs="Times New Roman"/>
        </w:rPr>
        <w:t>Using the asymptotic HJP approximation,</w:t>
      </w:r>
    </w:p>
    <w:p w:rsidR="00EE13F6" w:rsidRDefault="002E5BC4">
      <w:pPr>
        <w:spacing w:after="34" w:line="271" w:lineRule="auto"/>
        <w:ind w:left="515" w:hanging="10"/>
        <w:jc w:val="both"/>
      </w:pPr>
      <w:r>
        <w:rPr>
          <w:rFonts w:ascii="Times New Roman" w:eastAsia="Times New Roman" w:hAnsi="Times New Roman" w:cs="Times New Roman"/>
        </w:rPr>
        <w:t>we are looking for a reduction of (</w:t>
      </w:r>
      <w:r>
        <w:t>T − t</w:t>
      </w:r>
      <w:r>
        <w:rPr>
          <w:rFonts w:ascii="Times New Roman" w:eastAsia="Times New Roman" w:hAnsi="Times New Roman" w:cs="Times New Roman"/>
        </w:rPr>
        <w:t>), the time needed to unwind a synthetic position, which will offset the 0.02% tax effect on the Bid-ask price.</w:t>
      </w:r>
    </w:p>
    <w:p w:rsidR="00EE13F6" w:rsidRDefault="002E5BC4">
      <w:pPr>
        <w:spacing w:after="71" w:line="387" w:lineRule="auto"/>
        <w:ind w:left="515" w:hanging="10"/>
        <w:jc w:val="both"/>
      </w:pPr>
      <w:r>
        <w:rPr>
          <w:rFonts w:ascii="Times New Roman" w:eastAsia="Times New Roman" w:hAnsi="Times New Roman" w:cs="Times New Roman"/>
        </w:rPr>
        <w:t xml:space="preserve">If </w:t>
      </w:r>
      <w:r>
        <w:t>σ</w:t>
      </w:r>
      <w:r>
        <w:rPr>
          <w:vertAlign w:val="superscript"/>
        </w:rPr>
        <w:t>N</w:t>
      </w:r>
      <w:r>
        <w:rPr>
          <w:vertAlign w:val="subscript"/>
        </w:rPr>
        <w:t xml:space="preserve">A </w:t>
      </w:r>
      <w:r>
        <w:rPr>
          <w:rFonts w:ascii="Times New Roman" w:eastAsia="Times New Roman" w:hAnsi="Times New Roman" w:cs="Times New Roman"/>
        </w:rPr>
        <w:t xml:space="preserve">is the normal volatility of the underlying asset after transaction costs, we proxy the corresponding log-normal volatility by </w:t>
      </w:r>
      <w:r>
        <w:t>σ</w:t>
      </w:r>
      <w:r>
        <w:rPr>
          <w:vertAlign w:val="subscript"/>
        </w:rPr>
        <w:t xml:space="preserve">A </w:t>
      </w:r>
      <w:r>
        <w:t>¼ σ</w:t>
      </w:r>
      <w:r>
        <w:rPr>
          <w:vertAlign w:val="superscript"/>
        </w:rPr>
        <w:t>N</w:t>
      </w:r>
      <w:r>
        <w:rPr>
          <w:vertAlign w:val="subscript"/>
        </w:rPr>
        <w:t>A</w:t>
      </w:r>
      <w:r>
        <w:t>=S</w:t>
      </w:r>
      <w:r>
        <w:rPr>
          <w:rFonts w:ascii="Times New Roman" w:eastAsia="Times New Roman" w:hAnsi="Times New Roman" w:cs="Times New Roman"/>
          <w:vertAlign w:val="subscript"/>
        </w:rPr>
        <w:t>0</w:t>
      </w:r>
      <w:r>
        <w:rPr>
          <w:rFonts w:ascii="Times New Roman" w:eastAsia="Times New Roman" w:hAnsi="Times New Roman" w:cs="Times New Roman"/>
        </w:rPr>
        <w:t xml:space="preserve">. This is </w:t>
      </w:r>
      <w:r>
        <w:t>γσ</w:t>
      </w:r>
      <w:r>
        <w:rPr>
          <w:rFonts w:ascii="Times New Roman" w:eastAsia="Times New Roman" w:hAnsi="Times New Roman" w:cs="Times New Roman"/>
          <w:vertAlign w:val="superscript"/>
        </w:rPr>
        <w:t>2</w:t>
      </w:r>
      <w:r>
        <w:t>ΔðT  tÞ S</w:t>
      </w:r>
      <w:r>
        <w:rPr>
          <w:rFonts w:ascii="Times New Roman" w:eastAsia="Times New Roman" w:hAnsi="Times New Roman" w:cs="Times New Roman"/>
          <w:vertAlign w:val="superscript"/>
        </w:rPr>
        <w:t>2</w:t>
      </w:r>
      <w:r>
        <w:rPr>
          <w:rFonts w:ascii="Times New Roman" w:eastAsia="Times New Roman" w:hAnsi="Times New Roman" w:cs="Times New Roman"/>
          <w:vertAlign w:val="subscript"/>
        </w:rPr>
        <w:t xml:space="preserve">0 </w:t>
      </w:r>
      <w:r>
        <w:t xml:space="preserve">¼ </w:t>
      </w:r>
      <w:r>
        <w:rPr>
          <w:rFonts w:ascii="Times New Roman" w:eastAsia="Times New Roman" w:hAnsi="Times New Roman" w:cs="Times New Roman"/>
        </w:rPr>
        <w:t>2</w:t>
      </w:r>
      <w:r>
        <w:t>τS</w:t>
      </w:r>
      <w:r>
        <w:rPr>
          <w:rFonts w:ascii="Times New Roman" w:eastAsia="Times New Roman" w:hAnsi="Times New Roman" w:cs="Times New Roman"/>
          <w:vertAlign w:val="subscript"/>
        </w:rPr>
        <w:t>0</w:t>
      </w:r>
    </w:p>
    <w:p w:rsidR="00EE13F6" w:rsidRDefault="002E5BC4">
      <w:pPr>
        <w:spacing w:after="33" w:line="271" w:lineRule="auto"/>
        <w:ind w:left="515" w:hanging="10"/>
        <w:jc w:val="both"/>
      </w:pPr>
      <w:r>
        <w:rPr>
          <w:rFonts w:ascii="Times New Roman" w:eastAsia="Times New Roman" w:hAnsi="Times New Roman" w:cs="Times New Roman"/>
        </w:rPr>
        <w:t xml:space="preserve">We can see that a reduction of 1% of the time to unwind a synthetic security in the market would allow the offset of 0.02% increase on the bid-ask due to the FTT, for one monetary unit of underlying share. This reduction in </w:t>
      </w:r>
      <w:r>
        <w:rPr>
          <w:rFonts w:ascii="Times New Roman" w:eastAsia="Times New Roman" w:hAnsi="Times New Roman" w:cs="Times New Roman"/>
        </w:rPr>
        <w:t>bid-ask spreads should allow market-makers to quote option prices without adding the 0.01% increase in the bid-ask spread due to the FTT.</w:t>
      </w:r>
    </w:p>
    <w:p w:rsidR="00EE13F6" w:rsidRDefault="002E5BC4">
      <w:pPr>
        <w:spacing w:after="5" w:line="271" w:lineRule="auto"/>
        <w:ind w:left="505" w:hanging="264"/>
        <w:jc w:val="both"/>
      </w:pPr>
      <w:r>
        <w:rPr>
          <w:rFonts w:ascii="Times New Roman" w:eastAsia="Times New Roman" w:hAnsi="Times New Roman" w:cs="Times New Roman"/>
        </w:rPr>
        <w:t xml:space="preserve">d. Consistency between the HJB approach and the </w:t>
      </w:r>
      <w:r>
        <w:t>‘</w:t>
      </w:r>
      <w:r>
        <w:rPr>
          <w:rFonts w:ascii="Times New Roman" w:eastAsia="Times New Roman" w:hAnsi="Times New Roman" w:cs="Times New Roman"/>
        </w:rPr>
        <w:t>rule of thumb</w:t>
      </w:r>
      <w:r>
        <w:t>’</w:t>
      </w:r>
    </w:p>
    <w:p w:rsidR="00EE13F6" w:rsidRDefault="002E5BC4">
      <w:pPr>
        <w:spacing w:after="5" w:line="271" w:lineRule="auto"/>
        <w:ind w:left="505" w:firstLine="227"/>
        <w:jc w:val="both"/>
      </w:pPr>
      <w:r>
        <w:rPr>
          <w:rFonts w:ascii="Times New Roman" w:eastAsia="Times New Roman" w:hAnsi="Times New Roman" w:cs="Times New Roman"/>
        </w:rPr>
        <w:t xml:space="preserve">We can try to calibrate the </w:t>
      </w:r>
      <w:r>
        <w:t>‘</w:t>
      </w:r>
      <w:r>
        <w:rPr>
          <w:rFonts w:ascii="Times New Roman" w:eastAsia="Times New Roman" w:hAnsi="Times New Roman" w:cs="Times New Roman"/>
        </w:rPr>
        <w:t>HJB</w:t>
      </w:r>
      <w:r>
        <w:t xml:space="preserve">’ </w:t>
      </w:r>
      <w:r>
        <w:rPr>
          <w:rFonts w:ascii="Times New Roman" w:eastAsia="Times New Roman" w:hAnsi="Times New Roman" w:cs="Times New Roman"/>
        </w:rPr>
        <w:t xml:space="preserve">equation, using the </w:t>
      </w:r>
      <w:r>
        <w:t>‘</w:t>
      </w:r>
      <w:r>
        <w:rPr>
          <w:rFonts w:ascii="Times New Roman" w:eastAsia="Times New Roman" w:hAnsi="Times New Roman" w:cs="Times New Roman"/>
        </w:rPr>
        <w:t>boundary condition</w:t>
      </w:r>
      <w:r>
        <w:t xml:space="preserve">’ </w:t>
      </w:r>
      <w:r>
        <w:rPr>
          <w:rFonts w:ascii="Times New Roman" w:eastAsia="Times New Roman" w:hAnsi="Times New Roman" w:cs="Times New Roman"/>
        </w:rPr>
        <w:t>that the HJB solution must respect in case the inventory is held until maturity. In that case, we can compare the results to the Boyle and Vorst calculations.</w:t>
      </w:r>
    </w:p>
    <w:p w:rsidR="00EE13F6" w:rsidRDefault="002E5BC4">
      <w:pPr>
        <w:spacing w:after="5" w:line="271" w:lineRule="auto"/>
        <w:ind w:left="505" w:firstLine="227"/>
        <w:jc w:val="both"/>
      </w:pPr>
      <w:r>
        <w:rPr>
          <w:rFonts w:ascii="Times New Roman" w:eastAsia="Times New Roman" w:hAnsi="Times New Roman" w:cs="Times New Roman"/>
        </w:rPr>
        <w:t>From the bid-as</w:t>
      </w:r>
      <w:r>
        <w:rPr>
          <w:rFonts w:ascii="Times New Roman" w:eastAsia="Times New Roman" w:hAnsi="Times New Roman" w:cs="Times New Roman"/>
        </w:rPr>
        <w:t xml:space="preserve">k spread formulation, we get </w:t>
      </w:r>
      <w:r>
        <w:t>δ</w:t>
      </w:r>
      <w:r>
        <w:rPr>
          <w:vertAlign w:val="superscript"/>
        </w:rPr>
        <w:t xml:space="preserve">a </w:t>
      </w:r>
      <w:r>
        <w:t>þ δ</w:t>
      </w:r>
      <w:r>
        <w:rPr>
          <w:vertAlign w:val="superscript"/>
        </w:rPr>
        <w:t xml:space="preserve">b </w:t>
      </w:r>
      <w:r>
        <w:t>¼ γσ</w:t>
      </w:r>
      <w:r>
        <w:rPr>
          <w:rFonts w:ascii="Times New Roman" w:eastAsia="Times New Roman" w:hAnsi="Times New Roman" w:cs="Times New Roman"/>
          <w:vertAlign w:val="superscript"/>
        </w:rPr>
        <w:t xml:space="preserve">2 </w:t>
      </w:r>
      <w:r>
        <w:t>ðT  tÞ</w:t>
      </w:r>
      <w:r>
        <w:rPr>
          <w:rFonts w:ascii="Times New Roman" w:eastAsia="Times New Roman" w:hAnsi="Times New Roman" w:cs="Times New Roman"/>
        </w:rPr>
        <w:t>.</w:t>
      </w:r>
    </w:p>
    <w:p w:rsidR="00EE13F6" w:rsidRDefault="002E5BC4">
      <w:pPr>
        <w:spacing w:after="470" w:line="271" w:lineRule="auto"/>
        <w:ind w:left="504" w:firstLine="227"/>
        <w:jc w:val="both"/>
      </w:pPr>
      <w:r>
        <w:rPr>
          <w:rFonts w:ascii="Times New Roman" w:eastAsia="Times New Roman" w:hAnsi="Times New Roman" w:cs="Times New Roman"/>
        </w:rPr>
        <w:lastRenderedPageBreak/>
        <w:t xml:space="preserve">If </w:t>
      </w:r>
      <w:r>
        <w:t>σ</w:t>
      </w:r>
      <w:r>
        <w:rPr>
          <w:vertAlign w:val="superscript"/>
        </w:rPr>
        <w:t>N</w:t>
      </w:r>
      <w:r>
        <w:rPr>
          <w:vertAlign w:val="subscript"/>
        </w:rPr>
        <w:t xml:space="preserve">A </w:t>
      </w:r>
      <w:r>
        <w:rPr>
          <w:rFonts w:ascii="Times New Roman" w:eastAsia="Times New Roman" w:hAnsi="Times New Roman" w:cs="Times New Roman"/>
        </w:rPr>
        <w:t>is the normal volatility of the underlying asset after transaction costs, we proxy the corresponding log-normal volatility by</w:t>
      </w:r>
    </w:p>
    <w:p w:rsidR="00EE13F6" w:rsidRDefault="002E5BC4">
      <w:pPr>
        <w:spacing w:after="507" w:line="261" w:lineRule="auto"/>
        <w:ind w:left="481" w:right="287" w:hanging="10"/>
        <w:jc w:val="center"/>
      </w:pPr>
      <w:r>
        <w:t>σ</w:t>
      </w:r>
      <w:r>
        <w:rPr>
          <w:sz w:val="15"/>
        </w:rPr>
        <w:t xml:space="preserve">A </w:t>
      </w:r>
      <w:r>
        <w:t>¼ σS</w:t>
      </w:r>
      <w:r>
        <w:rPr>
          <w:sz w:val="15"/>
        </w:rPr>
        <w:t>N</w:t>
      </w:r>
      <w:r>
        <w:rPr>
          <w:sz w:val="24"/>
          <w:u w:val="single" w:color="000000"/>
          <w:vertAlign w:val="subscript"/>
        </w:rPr>
        <w:t>A</w:t>
      </w:r>
      <w:r>
        <w:rPr>
          <w:rFonts w:ascii="Times New Roman" w:eastAsia="Times New Roman" w:hAnsi="Times New Roman" w:cs="Times New Roman"/>
          <w:sz w:val="15"/>
        </w:rPr>
        <w:t>0</w:t>
      </w:r>
    </w:p>
    <w:p w:rsidR="00EE13F6" w:rsidRDefault="002E5BC4">
      <w:pPr>
        <w:spacing w:after="330" w:line="271" w:lineRule="auto"/>
        <w:ind w:left="-4" w:hanging="10"/>
        <w:jc w:val="both"/>
      </w:pPr>
      <w:r>
        <w:rPr>
          <w:rFonts w:ascii="Times New Roman" w:eastAsia="Times New Roman" w:hAnsi="Times New Roman" w:cs="Times New Roman"/>
        </w:rPr>
        <w:t>then</w:t>
      </w:r>
    </w:p>
    <w:p w:rsidR="00EE13F6" w:rsidRDefault="002E5BC4">
      <w:pPr>
        <w:spacing w:after="695" w:line="296" w:lineRule="auto"/>
        <w:ind w:left="93"/>
      </w:pPr>
      <w:r>
        <w:rPr>
          <w:noProof/>
        </w:rPr>
        <mc:AlternateContent>
          <mc:Choice Requires="wpg">
            <w:drawing>
              <wp:anchor distT="0" distB="0" distL="114300" distR="114300" simplePos="0" relativeHeight="251681792" behindDoc="0" locked="0" layoutInCell="1" allowOverlap="1">
                <wp:simplePos x="0" y="0"/>
                <wp:positionH relativeFrom="column">
                  <wp:posOffset>465277</wp:posOffset>
                </wp:positionH>
                <wp:positionV relativeFrom="paragraph">
                  <wp:posOffset>80213</wp:posOffset>
                </wp:positionV>
                <wp:extent cx="786955" cy="5766"/>
                <wp:effectExtent l="0" t="0" r="0" b="0"/>
                <wp:wrapNone/>
                <wp:docPr id="217022" name="Group 217022"/>
                <wp:cNvGraphicFramePr/>
                <a:graphic xmlns:a="http://schemas.openxmlformats.org/drawingml/2006/main">
                  <a:graphicData uri="http://schemas.microsoft.com/office/word/2010/wordprocessingGroup">
                    <wpg:wgp>
                      <wpg:cNvGrpSpPr/>
                      <wpg:grpSpPr>
                        <a:xfrm>
                          <a:off x="0" y="0"/>
                          <a:ext cx="786955" cy="5766"/>
                          <a:chOff x="0" y="0"/>
                          <a:chExt cx="786955" cy="5766"/>
                        </a:xfrm>
                      </wpg:grpSpPr>
                      <wps:wsp>
                        <wps:cNvPr id="230956" name="Shape 230956"/>
                        <wps:cNvSpPr/>
                        <wps:spPr>
                          <a:xfrm>
                            <a:off x="0" y="0"/>
                            <a:ext cx="786955" cy="9144"/>
                          </a:xfrm>
                          <a:custGeom>
                            <a:avLst/>
                            <a:gdLst/>
                            <a:ahLst/>
                            <a:cxnLst/>
                            <a:rect l="0" t="0" r="0" b="0"/>
                            <a:pathLst>
                              <a:path w="786955" h="9144">
                                <a:moveTo>
                                  <a:pt x="0" y="0"/>
                                </a:moveTo>
                                <a:lnTo>
                                  <a:pt x="786955" y="0"/>
                                </a:lnTo>
                                <a:lnTo>
                                  <a:pt x="7869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ECC484" id="Group 217022" o:spid="_x0000_s1026" style="position:absolute;margin-left:36.65pt;margin-top:6.3pt;width:61.95pt;height:.45pt;z-index:251681792" coordsize="78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">
                <v:shape id="Shape 230956" o:spid="_x0000_s1027" style="position:absolute;width:7869;height:91;visibility:visible;mso-wrap-style:square;v-text-anchor:top" coordsize="7869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368oA&#10;AADfAAAADwAAAGRycy9kb3ducmV2LnhtbESPzWrCQBSF94W+w3ALbqROjK22qaNIQYkWCqbdZHfJ&#10;3CbBzJ2Qmcb49h1B6PJwfj7Ocj2YRvTUudqygukkAkFcWF1zqeD7a/v4AsJ5ZI2NZVJwIQfr1f3d&#10;EhNtz3ykPvOlCCPsElRQed8mUrqiIoNuYlvi4P3YzqAPsiul7vAcxk0j4yiaS4M1B0KFLb1XVJyy&#10;XxO4i89df0jz/SzO84/9NnvaTMepUqOHYfMGwtPg/8O3dqoVxLPo9XkO1z/hC8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hGd+vKAAAA3wAAAA8AAAAAAAAAAAAAAAAAmAIA&#10;AGRycy9kb3ducmV2LnhtbFBLBQYAAAAABAAEAPUAAACPAwAAAAA=&#10;" path="m,l786955,r,9144l,9144,,e" fillcolor="black" stroked="f" strokeweight="0">
                  <v:stroke miterlimit="83231f" joinstyle="miter"/>
                  <v:path arrowok="t" textboxrect="0,0,786955,9144"/>
                </v:shape>
              </v:group>
            </w:pict>
          </mc:Fallback>
        </mc:AlternateContent>
      </w:r>
      <w:r>
        <w:t>Δ</w:t>
      </w:r>
      <w:r>
        <w:rPr>
          <w:sz w:val="15"/>
        </w:rPr>
        <w:t xml:space="preserve">σA </w:t>
      </w:r>
      <w:r>
        <w:t>¼ ½</w:t>
      </w:r>
      <w:r>
        <w:rPr>
          <w:sz w:val="15"/>
        </w:rPr>
        <w:t>γ σ</w:t>
      </w:r>
      <w:r>
        <w:t xml:space="preserve">½ </w:t>
      </w:r>
      <w:r>
        <w:rPr>
          <w:rFonts w:ascii="Times New Roman" w:eastAsia="Times New Roman" w:hAnsi="Times New Roman" w:cs="Times New Roman"/>
          <w:sz w:val="11"/>
        </w:rPr>
        <w:t>2</w:t>
      </w:r>
      <w:r>
        <w:rPr>
          <w:sz w:val="11"/>
        </w:rPr>
        <w:t>a</w:t>
      </w:r>
      <w:r>
        <w:rPr>
          <w:sz w:val="15"/>
        </w:rPr>
        <w:t>σ</w:t>
      </w:r>
      <w:r>
        <w:rPr>
          <w:rFonts w:ascii="Times New Roman" w:eastAsia="Times New Roman" w:hAnsi="Times New Roman" w:cs="Times New Roman"/>
          <w:sz w:val="11"/>
        </w:rPr>
        <w:t>2</w:t>
      </w:r>
      <w:r>
        <w:rPr>
          <w:rFonts w:ascii="Times New Roman" w:eastAsia="Times New Roman" w:hAnsi="Times New Roman" w:cs="Times New Roman"/>
          <w:sz w:val="15"/>
        </w:rPr>
        <w:t>2</w:t>
      </w:r>
      <w:r>
        <w:rPr>
          <w:sz w:val="15"/>
        </w:rPr>
        <w:t>ðTtÞS</w:t>
      </w:r>
      <w:r>
        <w:rPr>
          <w:rFonts w:ascii="Times New Roman" w:eastAsia="Times New Roman" w:hAnsi="Times New Roman" w:cs="Times New Roman"/>
          <w:sz w:val="11"/>
        </w:rPr>
        <w:t>20</w:t>
      </w:r>
      <w:r>
        <w:t xml:space="preserve"> ¼ Vega Sð </w:t>
      </w:r>
      <w:r>
        <w:rPr>
          <w:rFonts w:ascii="Times New Roman" w:eastAsia="Times New Roman" w:hAnsi="Times New Roman" w:cs="Times New Roman"/>
          <w:sz w:val="15"/>
        </w:rPr>
        <w:t>0</w:t>
      </w:r>
      <w:r>
        <w:t>; K;σT; tÞðσ</w:t>
      </w:r>
      <w:r>
        <w:rPr>
          <w:sz w:val="15"/>
        </w:rPr>
        <w:t xml:space="preserve">A </w:t>
      </w:r>
      <w:r>
        <w:t xml:space="preserve"> σÞ</w:t>
      </w:r>
    </w:p>
    <w:p w:rsidR="00EE13F6" w:rsidRDefault="002E5BC4">
      <w:pPr>
        <w:spacing w:after="203"/>
        <w:ind w:left="103" w:hanging="10"/>
      </w:pPr>
      <w:r>
        <w:t xml:space="preserve">Vega Sð </w:t>
      </w:r>
      <w:r>
        <w:rPr>
          <w:rFonts w:ascii="Times New Roman" w:eastAsia="Times New Roman" w:hAnsi="Times New Roman" w:cs="Times New Roman"/>
          <w:sz w:val="15"/>
        </w:rPr>
        <w:t>0</w:t>
      </w:r>
      <w:r>
        <w:t>; K;σT; tÞ ¼ S</w:t>
      </w:r>
      <w:r>
        <w:rPr>
          <w:rFonts w:ascii="Times New Roman" w:eastAsia="Times New Roman" w:hAnsi="Times New Roman" w:cs="Times New Roman"/>
          <w:vertAlign w:val="subscript"/>
        </w:rPr>
        <w:t>0</w:t>
      </w:r>
      <w:r>
        <w:t>σðT  tÞΓðS</w:t>
      </w:r>
      <w:r>
        <w:rPr>
          <w:rFonts w:ascii="Times New Roman" w:eastAsia="Times New Roman" w:hAnsi="Times New Roman" w:cs="Times New Roman"/>
          <w:vertAlign w:val="subscript"/>
        </w:rPr>
        <w:t>0</w:t>
      </w:r>
      <w:r>
        <w:t>; K;σT; tÞ</w:t>
      </w:r>
    </w:p>
    <w:p w:rsidR="00EE13F6" w:rsidRDefault="002E5BC4">
      <w:pPr>
        <w:spacing w:after="495" w:line="271" w:lineRule="auto"/>
        <w:ind w:left="-4" w:hanging="10"/>
        <w:jc w:val="both"/>
      </w:pPr>
      <w:r>
        <w:rPr>
          <w:rFonts w:ascii="Times New Roman" w:eastAsia="Times New Roman" w:hAnsi="Times New Roman" w:cs="Times New Roman"/>
        </w:rPr>
        <w:t>then</w:t>
      </w:r>
    </w:p>
    <w:p w:rsidR="00EE13F6" w:rsidRDefault="002E5BC4">
      <w:pPr>
        <w:spacing w:after="135" w:line="265" w:lineRule="auto"/>
        <w:ind w:left="247" w:right="240" w:hanging="10"/>
        <w:jc w:val="center"/>
      </w:pPr>
      <w:r>
        <w:rPr>
          <w:noProof/>
        </w:rPr>
        <mc:AlternateContent>
          <mc:Choice Requires="wpg">
            <w:drawing>
              <wp:anchor distT="0" distB="0" distL="114300" distR="114300" simplePos="0" relativeHeight="251682816" behindDoc="0" locked="0" layoutInCell="1" allowOverlap="1">
                <wp:simplePos x="0" y="0"/>
                <wp:positionH relativeFrom="column">
                  <wp:posOffset>794321</wp:posOffset>
                </wp:positionH>
                <wp:positionV relativeFrom="paragraph">
                  <wp:posOffset>259524</wp:posOffset>
                </wp:positionV>
                <wp:extent cx="977761" cy="5042"/>
                <wp:effectExtent l="0" t="0" r="0" b="0"/>
                <wp:wrapNone/>
                <wp:docPr id="217023" name="Group 217023"/>
                <wp:cNvGraphicFramePr/>
                <a:graphic xmlns:a="http://schemas.openxmlformats.org/drawingml/2006/main">
                  <a:graphicData uri="http://schemas.microsoft.com/office/word/2010/wordprocessingGroup">
                    <wpg:wgp>
                      <wpg:cNvGrpSpPr/>
                      <wpg:grpSpPr>
                        <a:xfrm>
                          <a:off x="0" y="0"/>
                          <a:ext cx="977761" cy="5042"/>
                          <a:chOff x="0" y="0"/>
                          <a:chExt cx="977761" cy="5042"/>
                        </a:xfrm>
                      </wpg:grpSpPr>
                      <wps:wsp>
                        <wps:cNvPr id="230957" name="Shape 230957"/>
                        <wps:cNvSpPr/>
                        <wps:spPr>
                          <a:xfrm>
                            <a:off x="0" y="0"/>
                            <a:ext cx="977761" cy="9144"/>
                          </a:xfrm>
                          <a:custGeom>
                            <a:avLst/>
                            <a:gdLst/>
                            <a:ahLst/>
                            <a:cxnLst/>
                            <a:rect l="0" t="0" r="0" b="0"/>
                            <a:pathLst>
                              <a:path w="977761" h="9144">
                                <a:moveTo>
                                  <a:pt x="0" y="0"/>
                                </a:moveTo>
                                <a:lnTo>
                                  <a:pt x="977761" y="0"/>
                                </a:lnTo>
                                <a:lnTo>
                                  <a:pt x="9777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366B5F" id="Group 217023" o:spid="_x0000_s1026" style="position:absolute;margin-left:62.55pt;margin-top:20.45pt;width:77pt;height:.4pt;z-index:251682816" coordsize="97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">
                <v:shape id="Shape 230957" o:spid="_x0000_s1027" style="position:absolute;width:9777;height:91;visibility:visible;mso-wrap-style:square;v-text-anchor:top" coordsize="9777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3pcgA&#10;AADfAAAADwAAAGRycy9kb3ducmV2LnhtbESPS0/DMBCE70j8B2uReqMOKaVtqFvxitRDOfRx6W0V&#10;L3FEvI5sk4R/j5GQOI5m5hvNejvaVvTkQ+NYwd00A0FcOd1wreB8Km+XIEJE1tg6JgXfFGC7ub5a&#10;Y6HdwAfqj7EWCcKhQAUmxq6QMlSGLIap64iT9+G8xZikr6X2OCS4bWWeZQ/SYsNpwWBHL4aqz+OX&#10;VXApX82+HHt/eg7D4s3O3/Nwv1JqcjM+PYKINMb/8F97pxXks2w1X8Dvn/Q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M3elyAAAAN8AAAAPAAAAAAAAAAAAAAAAAJgCAABk&#10;cnMvZG93bnJldi54bWxQSwUGAAAAAAQABAD1AAAAjQMAAAAA&#10;" path="m,l977761,r,9144l,9144,,e" fillcolor="black" stroked="f" strokeweight="0">
                  <v:stroke miterlimit="83231f" joinstyle="miter"/>
                  <v:path arrowok="t" textboxrect="0,0,977761,9144"/>
                </v:shape>
              </v:group>
            </w:pict>
          </mc:Fallback>
        </mc:AlternateContent>
      </w:r>
      <w:r>
        <w:t>ΓðS¼</w:t>
      </w:r>
      <w:r>
        <w:rPr>
          <w:rFonts w:ascii="Times New Roman" w:eastAsia="Times New Roman" w:hAnsi="Times New Roman" w:cs="Times New Roman"/>
          <w:sz w:val="15"/>
        </w:rPr>
        <w:t>0</w:t>
      </w:r>
      <w:r>
        <w:t>;γK½σ;</w:t>
      </w:r>
      <w:r>
        <w:rPr>
          <w:rFonts w:ascii="Times New Roman" w:eastAsia="Times New Roman" w:hAnsi="Times New Roman" w:cs="Times New Roman"/>
          <w:sz w:val="15"/>
        </w:rPr>
        <w:t>2</w:t>
      </w:r>
      <w:r>
        <w:rPr>
          <w:sz w:val="15"/>
        </w:rPr>
        <w:t>a</w:t>
      </w:r>
      <w:r>
        <w:t>σT;σt</w:t>
      </w:r>
      <w:r>
        <w:rPr>
          <w:rFonts w:ascii="Times New Roman" w:eastAsia="Times New Roman" w:hAnsi="Times New Roman" w:cs="Times New Roman"/>
        </w:rPr>
        <w:t>2</w:t>
      </w:r>
      <w:r>
        <w:t>Þ</w:t>
      </w:r>
      <w:r>
        <w:rPr>
          <w:rFonts w:ascii="Times New Roman" w:eastAsia="Times New Roman" w:hAnsi="Times New Roman" w:cs="Times New Roman"/>
          <w:sz w:val="15"/>
        </w:rPr>
        <w:t>2</w:t>
      </w:r>
      <w:r>
        <w:t>ðST</w:t>
      </w:r>
      <w:r>
        <w:rPr>
          <w:rFonts w:ascii="Times New Roman" w:eastAsia="Times New Roman" w:hAnsi="Times New Roman" w:cs="Times New Roman"/>
          <w:sz w:val="15"/>
        </w:rPr>
        <w:t>20</w:t>
      </w:r>
      <w:r>
        <w:t>σðTtÞ St</w:t>
      </w:r>
      <w:r>
        <w:rPr>
          <w:rFonts w:ascii="Times New Roman" w:eastAsia="Times New Roman" w:hAnsi="Times New Roman" w:cs="Times New Roman"/>
          <w:sz w:val="15"/>
        </w:rPr>
        <w:t>02</w:t>
      </w:r>
      <w:r>
        <w:t>Þðσ</w:t>
      </w:r>
      <w:r>
        <w:rPr>
          <w:sz w:val="15"/>
        </w:rPr>
        <w:t xml:space="preserve">A </w:t>
      </w:r>
      <w:r>
        <w:t xml:space="preserve"> σ Þ</w:t>
      </w:r>
    </w:p>
    <w:p w:rsidR="00EE13F6" w:rsidRDefault="002E5BC4">
      <w:pPr>
        <w:spacing w:before="371" w:after="161" w:line="271" w:lineRule="auto"/>
        <w:ind w:left="-4" w:hanging="10"/>
        <w:jc w:val="both"/>
      </w:pPr>
      <w:r>
        <w:rPr>
          <w:rFonts w:ascii="Times New Roman" w:eastAsia="Times New Roman" w:hAnsi="Times New Roman" w:cs="Times New Roman"/>
        </w:rPr>
        <w:t>This simplifies into:</w:t>
      </w:r>
    </w:p>
    <w:p w:rsidR="00EE13F6" w:rsidRDefault="002E5BC4">
      <w:pPr>
        <w:spacing w:after="0" w:line="296" w:lineRule="auto"/>
        <w:ind w:left="1370" w:right="1375" w:firstLine="396"/>
      </w:pPr>
      <w:r>
        <w:rPr>
          <w:noProof/>
        </w:rPr>
        <mc:AlternateContent>
          <mc:Choice Requires="wpg">
            <w:drawing>
              <wp:anchor distT="0" distB="0" distL="114300" distR="114300" simplePos="0" relativeHeight="251683840" behindDoc="0" locked="0" layoutInCell="1" allowOverlap="1">
                <wp:simplePos x="0" y="0"/>
                <wp:positionH relativeFrom="column">
                  <wp:posOffset>1121194</wp:posOffset>
                </wp:positionH>
                <wp:positionV relativeFrom="paragraph">
                  <wp:posOffset>158694</wp:posOffset>
                </wp:positionV>
                <wp:extent cx="979919" cy="5766"/>
                <wp:effectExtent l="0" t="0" r="0" b="0"/>
                <wp:wrapSquare wrapText="bothSides"/>
                <wp:docPr id="217024" name="Group 217024"/>
                <wp:cNvGraphicFramePr/>
                <a:graphic xmlns:a="http://schemas.openxmlformats.org/drawingml/2006/main">
                  <a:graphicData uri="http://schemas.microsoft.com/office/word/2010/wordprocessingGroup">
                    <wpg:wgp>
                      <wpg:cNvGrpSpPr/>
                      <wpg:grpSpPr>
                        <a:xfrm>
                          <a:off x="0" y="0"/>
                          <a:ext cx="979919" cy="5766"/>
                          <a:chOff x="0" y="0"/>
                          <a:chExt cx="979919" cy="5766"/>
                        </a:xfrm>
                      </wpg:grpSpPr>
                      <wps:wsp>
                        <wps:cNvPr id="230958" name="Shape 230958"/>
                        <wps:cNvSpPr/>
                        <wps:spPr>
                          <a:xfrm>
                            <a:off x="0" y="0"/>
                            <a:ext cx="979919" cy="9144"/>
                          </a:xfrm>
                          <a:custGeom>
                            <a:avLst/>
                            <a:gdLst/>
                            <a:ahLst/>
                            <a:cxnLst/>
                            <a:rect l="0" t="0" r="0" b="0"/>
                            <a:pathLst>
                              <a:path w="979919" h="9144">
                                <a:moveTo>
                                  <a:pt x="0" y="0"/>
                                </a:moveTo>
                                <a:lnTo>
                                  <a:pt x="979919" y="0"/>
                                </a:lnTo>
                                <a:lnTo>
                                  <a:pt x="9799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4AFAC0" id="Group 217024" o:spid="_x0000_s1026" style="position:absolute;margin-left:88.3pt;margin-top:12.5pt;width:77.15pt;height:.45pt;z-index:251683840" coordsize="97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">
                <v:shape id="Shape 230958" o:spid="_x0000_s1027" style="position:absolute;width:9799;height:91;visibility:visible;mso-wrap-style:square;v-text-anchor:top" coordsize="9799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t7sYA&#10;AADfAAAADwAAAGRycy9kb3ducmV2LnhtbERPz2vCMBS+D/wfwhN2m6kOpVajjLENdxGtIh7fmrem&#10;2Lx0TdT63y8HwePH93u+7GwtLtT6yrGC4SABQVw4XXGpYL/7fElB+ICssXZMCm7kYbnoPc0x0+7K&#10;W7rkoRQxhH2GCkwITSalLwxZ9APXEEfu17UWQ4RtKXWL1xhuazlKkom0WHFsMNjQu6HilJ+tgmP6&#10;sz78rfLbR3qQX+vN93Z48kap5373NgMRqAsP8d290gpGr8l0HAfHP/E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Rt7sYAAADfAAAADwAAAAAAAAAAAAAAAACYAgAAZHJz&#10;L2Rvd25yZXYueG1sUEsFBgAAAAAEAAQA9QAAAIsDAAAAAA==&#10;" path="m,l979919,r,9144l,9144,,e" fillcolor="black" stroked="f" strokeweight="0">
                  <v:stroke miterlimit="83231f" joinstyle="miter"/>
                  <v:path arrowok="t" textboxrect="0,0,979919,9144"/>
                </v:shape>
                <w10:wrap type="square"/>
              </v:group>
            </w:pict>
          </mc:Fallback>
        </mc:AlternateContent>
      </w:r>
      <w:r>
        <w:rPr>
          <w:rFonts w:ascii="Times New Roman" w:eastAsia="Times New Roman" w:hAnsi="Times New Roman" w:cs="Times New Roman"/>
        </w:rPr>
        <w:t>2</w:t>
      </w:r>
      <w:r>
        <w:t>ΓðS</w:t>
      </w:r>
      <w:r>
        <w:rPr>
          <w:rFonts w:ascii="Times New Roman" w:eastAsia="Times New Roman" w:hAnsi="Times New Roman" w:cs="Times New Roman"/>
          <w:sz w:val="15"/>
        </w:rPr>
        <w:t>0</w:t>
      </w:r>
      <w:r>
        <w:t>; K;σT; tÞσ γ ¼ ð</w:t>
      </w:r>
      <w:r>
        <w:rPr>
          <w:sz w:val="34"/>
          <w:vertAlign w:val="subscript"/>
        </w:rPr>
        <w:t xml:space="preserve">σ </w:t>
      </w:r>
      <w:r>
        <w:t xml:space="preserve">þ </w:t>
      </w:r>
      <w:r>
        <w:rPr>
          <w:sz w:val="34"/>
          <w:vertAlign w:val="subscript"/>
        </w:rPr>
        <w:t>σ</w:t>
      </w:r>
      <w:r>
        <w:rPr>
          <w:sz w:val="15"/>
        </w:rPr>
        <w:t>A</w:t>
      </w:r>
      <w:r>
        <w:t>Þ</w:t>
      </w:r>
    </w:p>
    <w:p w:rsidR="00EE13F6" w:rsidRDefault="002E5BC4">
      <w:pPr>
        <w:spacing w:after="270" w:line="271" w:lineRule="auto"/>
        <w:ind w:left="-4" w:hanging="10"/>
        <w:jc w:val="both"/>
      </w:pPr>
      <w:r>
        <w:rPr>
          <w:color w:val="841F27"/>
        </w:rPr>
        <w:t xml:space="preserve">Interpretation. </w:t>
      </w:r>
      <w:r>
        <w:rPr>
          <w:rFonts w:ascii="Times New Roman" w:eastAsia="Times New Roman" w:hAnsi="Times New Roman" w:cs="Times New Roman"/>
        </w:rPr>
        <w:t xml:space="preserve">The preceding relationship is valid when </w:t>
      </w:r>
      <w:r>
        <w:t>σ</w:t>
      </w:r>
      <w:r>
        <w:rPr>
          <w:vertAlign w:val="subscript"/>
        </w:rPr>
        <w:t xml:space="preserve">A </w:t>
      </w:r>
      <w:r>
        <w:rPr>
          <w:rFonts w:ascii="Times New Roman" w:eastAsia="Times New Roman" w:hAnsi="Times New Roman" w:cs="Times New Roman"/>
        </w:rPr>
        <w:t xml:space="preserve">tends towards </w:t>
      </w:r>
      <w:r>
        <w:t xml:space="preserve">σ </w:t>
      </w:r>
      <w:r>
        <w:rPr>
          <w:rFonts w:ascii="Times New Roman" w:eastAsia="Times New Roman" w:hAnsi="Times New Roman" w:cs="Times New Roman"/>
        </w:rPr>
        <w:t xml:space="preserve">then </w:t>
      </w:r>
      <w:r>
        <w:t>ΓðS</w:t>
      </w:r>
      <w:r>
        <w:rPr>
          <w:rFonts w:ascii="Times New Roman" w:eastAsia="Times New Roman" w:hAnsi="Times New Roman" w:cs="Times New Roman"/>
          <w:vertAlign w:val="subscript"/>
        </w:rPr>
        <w:t>0</w:t>
      </w:r>
      <w:r>
        <w:t>; K;σT; tÞ ¼ γ</w:t>
      </w:r>
      <w:r>
        <w:rPr>
          <w:rFonts w:ascii="Times New Roman" w:eastAsia="Times New Roman" w:hAnsi="Times New Roman" w:cs="Times New Roman"/>
        </w:rPr>
        <w:t xml:space="preserve">, </w:t>
      </w:r>
      <w:r>
        <w:rPr>
          <w:rFonts w:ascii="Times New Roman" w:eastAsia="Times New Roman" w:hAnsi="Times New Roman" w:cs="Times New Roman"/>
        </w:rPr>
        <w:t xml:space="preserve">where </w:t>
      </w:r>
      <w:r>
        <w:t xml:space="preserve">γ </w:t>
      </w:r>
      <w:r>
        <w:rPr>
          <w:rFonts w:ascii="Times New Roman" w:eastAsia="Times New Roman" w:hAnsi="Times New Roman" w:cs="Times New Roman"/>
        </w:rPr>
        <w:t>designates the risk aversion of the marketmaker. Therefore, we find a very interesting proposition regarding the maximization of the option market-maker</w:t>
      </w:r>
      <w:r>
        <w:t>’</w:t>
      </w:r>
      <w:r>
        <w:rPr>
          <w:rFonts w:ascii="Times New Roman" w:eastAsia="Times New Roman" w:hAnsi="Times New Roman" w:cs="Times New Roman"/>
        </w:rPr>
        <w:t>s utility function.</w:t>
      </w:r>
    </w:p>
    <w:p w:rsidR="00EE13F6" w:rsidRDefault="002E5BC4">
      <w:pPr>
        <w:spacing w:after="259" w:line="271" w:lineRule="auto"/>
        <w:ind w:left="-4" w:hanging="10"/>
        <w:jc w:val="both"/>
      </w:pPr>
      <w:r>
        <w:t xml:space="preserve">Proposition 1. </w:t>
      </w:r>
      <w:r>
        <w:rPr>
          <w:rFonts w:ascii="Times New Roman" w:eastAsia="Times New Roman" w:hAnsi="Times New Roman" w:cs="Times New Roman"/>
        </w:rPr>
        <w:t>Let us consider</w:t>
      </w:r>
    </w:p>
    <w:p w:rsidR="00EE13F6" w:rsidRDefault="002E5BC4" w:rsidP="002E5BC4">
      <w:pPr>
        <w:numPr>
          <w:ilvl w:val="0"/>
          <w:numId w:val="52"/>
        </w:numPr>
        <w:spacing w:after="5" w:line="271" w:lineRule="auto"/>
        <w:ind w:left="741" w:hanging="439"/>
        <w:jc w:val="both"/>
      </w:pPr>
      <w:r>
        <w:rPr>
          <w:rFonts w:ascii="Times New Roman" w:eastAsia="Times New Roman" w:hAnsi="Times New Roman" w:cs="Times New Roman"/>
        </w:rPr>
        <w:lastRenderedPageBreak/>
        <w:t>an option market-maker on specific strikesand maturities for a given underlying asset</w:t>
      </w:r>
    </w:p>
    <w:p w:rsidR="00EE13F6" w:rsidRDefault="002E5BC4" w:rsidP="002E5BC4">
      <w:pPr>
        <w:numPr>
          <w:ilvl w:val="0"/>
          <w:numId w:val="52"/>
        </w:numPr>
        <w:spacing w:after="56" w:line="271" w:lineRule="auto"/>
        <w:ind w:left="741" w:hanging="439"/>
        <w:jc w:val="both"/>
      </w:pPr>
      <w:r>
        <w:rPr>
          <w:rFonts w:ascii="Times New Roman" w:eastAsia="Times New Roman" w:hAnsi="Times New Roman" w:cs="Times New Roman"/>
        </w:rPr>
        <w:t>this market-maker maximizes the followingutility</w:t>
      </w:r>
      <w:r>
        <w:rPr>
          <w:rFonts w:ascii="Times New Roman" w:eastAsia="Times New Roman" w:hAnsi="Times New Roman" w:cs="Times New Roman"/>
        </w:rPr>
        <w:tab/>
        <w:t xml:space="preserve">function </w:t>
      </w:r>
      <w:r>
        <w:t>vðx;s; q; tÞ ¼ E</w:t>
      </w:r>
      <w:r>
        <w:rPr>
          <w:vertAlign w:val="subscript"/>
        </w:rPr>
        <w:t>t</w:t>
      </w:r>
      <w:r>
        <w:t>½expðγðx þ qTÞÞ</w:t>
      </w:r>
    </w:p>
    <w:p w:rsidR="00EE13F6" w:rsidRDefault="002E5BC4" w:rsidP="002E5BC4">
      <w:pPr>
        <w:numPr>
          <w:ilvl w:val="0"/>
          <w:numId w:val="52"/>
        </w:numPr>
        <w:spacing w:after="75" w:line="271" w:lineRule="auto"/>
        <w:ind w:left="741" w:hanging="439"/>
        <w:jc w:val="both"/>
      </w:pPr>
      <w:r>
        <w:rPr>
          <w:rFonts w:ascii="Times New Roman" w:eastAsia="Times New Roman" w:hAnsi="Times New Roman" w:cs="Times New Roman"/>
        </w:rPr>
        <w:t>the asymptotic estimation from Avellanedaand Stoikov (</w:t>
      </w:r>
      <w:r>
        <w:rPr>
          <w:rFonts w:ascii="Times New Roman" w:eastAsia="Times New Roman" w:hAnsi="Times New Roman" w:cs="Times New Roman"/>
          <w:color w:val="00007F"/>
        </w:rPr>
        <w:t>2008</w:t>
      </w:r>
      <w:r>
        <w:rPr>
          <w:rFonts w:ascii="Times New Roman" w:eastAsia="Times New Roman" w:hAnsi="Times New Roman" w:cs="Times New Roman"/>
        </w:rPr>
        <w:t>) is valid in the opt</w:t>
      </w:r>
      <w:r>
        <w:rPr>
          <w:rFonts w:ascii="Times New Roman" w:eastAsia="Times New Roman" w:hAnsi="Times New Roman" w:cs="Times New Roman"/>
        </w:rPr>
        <w:t>ion market considered</w:t>
      </w:r>
    </w:p>
    <w:p w:rsidR="00EE13F6" w:rsidRDefault="002E5BC4">
      <w:pPr>
        <w:spacing w:after="596" w:line="271" w:lineRule="auto"/>
        <w:ind w:left="-4" w:hanging="10"/>
        <w:jc w:val="both"/>
      </w:pPr>
      <w:r>
        <w:rPr>
          <w:rFonts w:ascii="Times New Roman" w:eastAsia="Times New Roman" w:hAnsi="Times New Roman" w:cs="Times New Roman"/>
        </w:rPr>
        <w:t xml:space="preserve">Then the risk aversion </w:t>
      </w:r>
      <w:r>
        <w:t xml:space="preserve">γ </w:t>
      </w:r>
      <w:r>
        <w:rPr>
          <w:rFonts w:ascii="Times New Roman" w:eastAsia="Times New Roman" w:hAnsi="Times New Roman" w:cs="Times New Roman"/>
        </w:rPr>
        <w:t>coefficient to consider in the market-maker</w:t>
      </w:r>
      <w:r>
        <w:t>’</w:t>
      </w:r>
      <w:r>
        <w:rPr>
          <w:rFonts w:ascii="Times New Roman" w:eastAsia="Times New Roman" w:hAnsi="Times New Roman" w:cs="Times New Roman"/>
        </w:rPr>
        <w:t xml:space="preserve">s utility function is exactly the corresponding </w:t>
      </w:r>
      <w:r>
        <w:t xml:space="preserve">Γ </w:t>
      </w:r>
      <w:r>
        <w:rPr>
          <w:rFonts w:ascii="Times New Roman" w:eastAsia="Times New Roman" w:hAnsi="Times New Roman" w:cs="Times New Roman"/>
        </w:rPr>
        <w:t>of the option.</w:t>
      </w:r>
    </w:p>
    <w:p w:rsidR="00EE13F6" w:rsidRDefault="002E5BC4">
      <w:pPr>
        <w:spacing w:after="5" w:line="271" w:lineRule="auto"/>
        <w:ind w:left="-4" w:hanging="10"/>
        <w:jc w:val="both"/>
      </w:pPr>
      <w:r>
        <w:rPr>
          <w:rFonts w:ascii="Times New Roman" w:eastAsia="Times New Roman" w:hAnsi="Times New Roman" w:cs="Times New Roman"/>
          <w:color w:val="841F27"/>
        </w:rPr>
        <w:t>Quantitative estimation of the FTT impact on market-maker</w:t>
      </w:r>
      <w:r>
        <w:rPr>
          <w:color w:val="841F27"/>
        </w:rPr>
        <w:t>’</w:t>
      </w:r>
      <w:r>
        <w:rPr>
          <w:rFonts w:ascii="Times New Roman" w:eastAsia="Times New Roman" w:hAnsi="Times New Roman" w:cs="Times New Roman"/>
          <w:color w:val="841F27"/>
        </w:rPr>
        <w:t>s quotations using the asymptotic approxim</w:t>
      </w:r>
      <w:r>
        <w:rPr>
          <w:rFonts w:ascii="Times New Roman" w:eastAsia="Times New Roman" w:hAnsi="Times New Roman" w:cs="Times New Roman"/>
          <w:color w:val="841F27"/>
        </w:rPr>
        <w:t xml:space="preserve">ation of HJB. </w:t>
      </w:r>
      <w:r>
        <w:rPr>
          <w:rFonts w:ascii="Times New Roman" w:eastAsia="Times New Roman" w:hAnsi="Times New Roman" w:cs="Times New Roman"/>
        </w:rPr>
        <w:t xml:space="preserve">We assert that the FTT has no significant effect on the quoted option price if the price modification of the option is within the </w:t>
      </w:r>
      <w:r>
        <w:t>‘</w:t>
      </w:r>
      <w:r>
        <w:rPr>
          <w:rFonts w:ascii="Times New Roman" w:eastAsia="Times New Roman" w:hAnsi="Times New Roman" w:cs="Times New Roman"/>
        </w:rPr>
        <w:t>tick</w:t>
      </w:r>
      <w:r>
        <w:t>’</w:t>
      </w:r>
    </w:p>
    <w:tbl>
      <w:tblPr>
        <w:tblStyle w:val="TableGrid"/>
        <w:tblpPr w:vertAnchor="text" w:horzAnchor="margin"/>
        <w:tblOverlap w:val="never"/>
        <w:tblW w:w="9791" w:type="dxa"/>
        <w:tblInd w:w="0" w:type="dxa"/>
        <w:tblCellMar>
          <w:top w:w="0" w:type="dxa"/>
          <w:left w:w="0" w:type="dxa"/>
          <w:bottom w:w="0" w:type="dxa"/>
          <w:right w:w="0" w:type="dxa"/>
        </w:tblCellMar>
        <w:tblLook w:val="04A0" w:firstRow="1" w:lastRow="0" w:firstColumn="1" w:lastColumn="0" w:noHBand="0" w:noVBand="1"/>
      </w:tblPr>
      <w:tblGrid>
        <w:gridCol w:w="9791"/>
      </w:tblGrid>
      <w:tr w:rsidR="00EE13F6">
        <w:trPr>
          <w:trHeight w:val="1133"/>
        </w:trPr>
        <w:tc>
          <w:tcPr>
            <w:tcW w:w="9790" w:type="dxa"/>
            <w:tcBorders>
              <w:top w:val="nil"/>
              <w:left w:val="nil"/>
              <w:bottom w:val="nil"/>
              <w:right w:val="nil"/>
            </w:tcBorders>
          </w:tcPr>
          <w:p w:rsidR="00EE13F6" w:rsidRDefault="002E5BC4">
            <w:pPr>
              <w:spacing w:after="353"/>
              <w:jc w:val="right"/>
            </w:pPr>
            <w:r>
              <w:rPr>
                <w:sz w:val="15"/>
              </w:rPr>
              <w:t>7</w:t>
            </w:r>
          </w:p>
          <w:p w:rsidR="00EE13F6" w:rsidRDefault="002E5BC4">
            <w:pPr>
              <w:spacing w:after="0" w:line="236" w:lineRule="auto"/>
              <w:jc w:val="both"/>
            </w:pPr>
            <w:r>
              <w:rPr>
                <w:color w:val="841F27"/>
                <w:sz w:val="19"/>
              </w:rPr>
              <w:t xml:space="preserve">Table 2. </w:t>
            </w:r>
            <w:r>
              <w:rPr>
                <w:sz w:val="19"/>
              </w:rPr>
              <w:t xml:space="preserve">Impact of the FTT in terms of bid-ask spreads on cash equity option prices for various tenors </w:t>
            </w:r>
            <w:r>
              <w:rPr>
                <w:sz w:val="19"/>
              </w:rPr>
              <w:t>(in days) and unwinding times (market depth-in fractional days and days) using HJB framework.</w:t>
            </w:r>
          </w:p>
          <w:p w:rsidR="00EE13F6" w:rsidRDefault="002E5BC4">
            <w:pPr>
              <w:tabs>
                <w:tab w:val="center" w:pos="2708"/>
                <w:tab w:val="center" w:pos="3865"/>
                <w:tab w:val="right" w:pos="9790"/>
              </w:tabs>
              <w:spacing w:after="0"/>
            </w:pPr>
            <w:r>
              <w:rPr>
                <w:noProof/>
              </w:rPr>
              <mc:AlternateContent>
                <mc:Choice Requires="wpg">
                  <w:drawing>
                    <wp:inline distT="0" distB="0" distL="0" distR="0">
                      <wp:extent cx="6216486" cy="164885"/>
                      <wp:effectExtent l="0" t="0" r="0" b="0"/>
                      <wp:docPr id="219917" name="Group 219917"/>
                      <wp:cNvGraphicFramePr/>
                      <a:graphic xmlns:a="http://schemas.openxmlformats.org/drawingml/2006/main">
                        <a:graphicData uri="http://schemas.microsoft.com/office/word/2010/wordprocessingGroup">
                          <wpg:wgp>
                            <wpg:cNvGrpSpPr/>
                            <wpg:grpSpPr>
                              <a:xfrm>
                                <a:off x="0" y="0"/>
                                <a:ext cx="6216486" cy="164885"/>
                                <a:chOff x="0" y="0"/>
                                <a:chExt cx="6216486" cy="164885"/>
                              </a:xfrm>
                            </wpg:grpSpPr>
                            <wps:wsp>
                              <wps:cNvPr id="230962" name="Shape 230962"/>
                              <wps:cNvSpPr/>
                              <wps:spPr>
                                <a:xfrm>
                                  <a:off x="0" y="0"/>
                                  <a:ext cx="6216486" cy="9144"/>
                                </a:xfrm>
                                <a:custGeom>
                                  <a:avLst/>
                                  <a:gdLst/>
                                  <a:ahLst/>
                                  <a:cxnLst/>
                                  <a:rect l="0" t="0" r="0" b="0"/>
                                  <a:pathLst>
                                    <a:path w="6216486" h="9144">
                                      <a:moveTo>
                                        <a:pt x="0" y="0"/>
                                      </a:moveTo>
                                      <a:lnTo>
                                        <a:pt x="6216486" y="0"/>
                                      </a:lnTo>
                                      <a:lnTo>
                                        <a:pt x="6216486"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63" name="Shape 230963"/>
                              <wps:cNvSpPr/>
                              <wps:spPr>
                                <a:xfrm>
                                  <a:off x="13" y="158407"/>
                                  <a:ext cx="807834" cy="9144"/>
                                </a:xfrm>
                                <a:custGeom>
                                  <a:avLst/>
                                  <a:gdLst/>
                                  <a:ahLst/>
                                  <a:cxnLst/>
                                  <a:rect l="0" t="0" r="0" b="0"/>
                                  <a:pathLst>
                                    <a:path w="807834" h="9144">
                                      <a:moveTo>
                                        <a:pt x="0" y="0"/>
                                      </a:moveTo>
                                      <a:lnTo>
                                        <a:pt x="807834" y="0"/>
                                      </a:lnTo>
                                      <a:lnTo>
                                        <a:pt x="807834"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64" name="Shape 230964"/>
                              <wps:cNvSpPr/>
                              <wps:spPr>
                                <a:xfrm>
                                  <a:off x="807834" y="158407"/>
                                  <a:ext cx="732244" cy="9144"/>
                                </a:xfrm>
                                <a:custGeom>
                                  <a:avLst/>
                                  <a:gdLst/>
                                  <a:ahLst/>
                                  <a:cxnLst/>
                                  <a:rect l="0" t="0" r="0" b="0"/>
                                  <a:pathLst>
                                    <a:path w="732244" h="9144">
                                      <a:moveTo>
                                        <a:pt x="0" y="0"/>
                                      </a:moveTo>
                                      <a:lnTo>
                                        <a:pt x="732244" y="0"/>
                                      </a:lnTo>
                                      <a:lnTo>
                                        <a:pt x="732244"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65" name="Shape 230965"/>
                              <wps:cNvSpPr/>
                              <wps:spPr>
                                <a:xfrm>
                                  <a:off x="1540078" y="158407"/>
                                  <a:ext cx="783361" cy="9144"/>
                                </a:xfrm>
                                <a:custGeom>
                                  <a:avLst/>
                                  <a:gdLst/>
                                  <a:ahLst/>
                                  <a:cxnLst/>
                                  <a:rect l="0" t="0" r="0" b="0"/>
                                  <a:pathLst>
                                    <a:path w="783361" h="9144">
                                      <a:moveTo>
                                        <a:pt x="0" y="0"/>
                                      </a:moveTo>
                                      <a:lnTo>
                                        <a:pt x="783361" y="0"/>
                                      </a:lnTo>
                                      <a:lnTo>
                                        <a:pt x="783361"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66" name="Shape 230966"/>
                              <wps:cNvSpPr/>
                              <wps:spPr>
                                <a:xfrm>
                                  <a:off x="2323440" y="158407"/>
                                  <a:ext cx="686879" cy="9144"/>
                                </a:xfrm>
                                <a:custGeom>
                                  <a:avLst/>
                                  <a:gdLst/>
                                  <a:ahLst/>
                                  <a:cxnLst/>
                                  <a:rect l="0" t="0" r="0" b="0"/>
                                  <a:pathLst>
                                    <a:path w="686879" h="9144">
                                      <a:moveTo>
                                        <a:pt x="0" y="0"/>
                                      </a:moveTo>
                                      <a:lnTo>
                                        <a:pt x="686879" y="0"/>
                                      </a:lnTo>
                                      <a:lnTo>
                                        <a:pt x="686879"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67" name="Shape 230967"/>
                              <wps:cNvSpPr/>
                              <wps:spPr>
                                <a:xfrm>
                                  <a:off x="3010320" y="158407"/>
                                  <a:ext cx="784085" cy="9144"/>
                                </a:xfrm>
                                <a:custGeom>
                                  <a:avLst/>
                                  <a:gdLst/>
                                  <a:ahLst/>
                                  <a:cxnLst/>
                                  <a:rect l="0" t="0" r="0" b="0"/>
                                  <a:pathLst>
                                    <a:path w="784085" h="9144">
                                      <a:moveTo>
                                        <a:pt x="0" y="0"/>
                                      </a:moveTo>
                                      <a:lnTo>
                                        <a:pt x="784085" y="0"/>
                                      </a:lnTo>
                                      <a:lnTo>
                                        <a:pt x="784085"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68" name="Shape 230968"/>
                              <wps:cNvSpPr/>
                              <wps:spPr>
                                <a:xfrm>
                                  <a:off x="3794405" y="158407"/>
                                  <a:ext cx="686879" cy="9144"/>
                                </a:xfrm>
                                <a:custGeom>
                                  <a:avLst/>
                                  <a:gdLst/>
                                  <a:ahLst/>
                                  <a:cxnLst/>
                                  <a:rect l="0" t="0" r="0" b="0"/>
                                  <a:pathLst>
                                    <a:path w="686879" h="9144">
                                      <a:moveTo>
                                        <a:pt x="0" y="0"/>
                                      </a:moveTo>
                                      <a:lnTo>
                                        <a:pt x="686879" y="0"/>
                                      </a:lnTo>
                                      <a:lnTo>
                                        <a:pt x="686879"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69" name="Shape 230969"/>
                              <wps:cNvSpPr/>
                              <wps:spPr>
                                <a:xfrm>
                                  <a:off x="4481284" y="158407"/>
                                  <a:ext cx="686879" cy="9144"/>
                                </a:xfrm>
                                <a:custGeom>
                                  <a:avLst/>
                                  <a:gdLst/>
                                  <a:ahLst/>
                                  <a:cxnLst/>
                                  <a:rect l="0" t="0" r="0" b="0"/>
                                  <a:pathLst>
                                    <a:path w="686879" h="9144">
                                      <a:moveTo>
                                        <a:pt x="0" y="0"/>
                                      </a:moveTo>
                                      <a:lnTo>
                                        <a:pt x="686879" y="0"/>
                                      </a:lnTo>
                                      <a:lnTo>
                                        <a:pt x="686879"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70" name="Shape 230970"/>
                              <wps:cNvSpPr/>
                              <wps:spPr>
                                <a:xfrm>
                                  <a:off x="5168164" y="158407"/>
                                  <a:ext cx="735114" cy="9144"/>
                                </a:xfrm>
                                <a:custGeom>
                                  <a:avLst/>
                                  <a:gdLst/>
                                  <a:ahLst/>
                                  <a:cxnLst/>
                                  <a:rect l="0" t="0" r="0" b="0"/>
                                  <a:pathLst>
                                    <a:path w="735114" h="9144">
                                      <a:moveTo>
                                        <a:pt x="0" y="0"/>
                                      </a:moveTo>
                                      <a:lnTo>
                                        <a:pt x="735114" y="0"/>
                                      </a:lnTo>
                                      <a:lnTo>
                                        <a:pt x="735114"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71" name="Shape 230971"/>
                              <wps:cNvSpPr/>
                              <wps:spPr>
                                <a:xfrm>
                                  <a:off x="5903291" y="158407"/>
                                  <a:ext cx="313195" cy="9144"/>
                                </a:xfrm>
                                <a:custGeom>
                                  <a:avLst/>
                                  <a:gdLst/>
                                  <a:ahLst/>
                                  <a:cxnLst/>
                                  <a:rect l="0" t="0" r="0" b="0"/>
                                  <a:pathLst>
                                    <a:path w="313195" h="9144">
                                      <a:moveTo>
                                        <a:pt x="0" y="0"/>
                                      </a:moveTo>
                                      <a:lnTo>
                                        <a:pt x="313195" y="0"/>
                                      </a:lnTo>
                                      <a:lnTo>
                                        <a:pt x="313195"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33492" name="Rectangle 33492"/>
                              <wps:cNvSpPr/>
                              <wps:spPr>
                                <a:xfrm>
                                  <a:off x="51121" y="48619"/>
                                  <a:ext cx="441322" cy="123100"/>
                                </a:xfrm>
                                <a:prstGeom prst="rect">
                                  <a:avLst/>
                                </a:prstGeom>
                                <a:ln>
                                  <a:noFill/>
                                </a:ln>
                              </wps:spPr>
                              <wps:txbx>
                                <w:txbxContent>
                                  <w:p w:rsidR="00EE13F6" w:rsidRDefault="002E5BC4">
                                    <w:r>
                                      <w:rPr>
                                        <w:w w:val="93"/>
                                        <w:sz w:val="16"/>
                                      </w:rPr>
                                      <w:t>Maturity</w:t>
                                    </w:r>
                                  </w:p>
                                </w:txbxContent>
                              </wps:txbx>
                              <wps:bodyPr horzOverflow="overflow" vert="horz" lIns="0" tIns="0" rIns="0" bIns="0" rtlCol="0">
                                <a:noAutofit/>
                              </wps:bodyPr>
                            </wps:wsp>
                            <wps:wsp>
                              <wps:cNvPr id="25569" name="Rectangle 25569"/>
                              <wps:cNvSpPr/>
                              <wps:spPr>
                                <a:xfrm>
                                  <a:off x="3106804" y="48619"/>
                                  <a:ext cx="219986" cy="123100"/>
                                </a:xfrm>
                                <a:prstGeom prst="rect">
                                  <a:avLst/>
                                </a:prstGeom>
                                <a:ln>
                                  <a:noFill/>
                                </a:ln>
                              </wps:spPr>
                              <wps:txbx>
                                <w:txbxContent>
                                  <w:p w:rsidR="00EE13F6" w:rsidRDefault="002E5BC4">
                                    <w:r>
                                      <w:rPr>
                                        <w:w w:val="92"/>
                                        <w:sz w:val="16"/>
                                      </w:rPr>
                                      <w:t>0.25</w:t>
                                    </w:r>
                                  </w:p>
                                </w:txbxContent>
                              </wps:txbx>
                              <wps:bodyPr horzOverflow="overflow" vert="horz" lIns="0" tIns="0" rIns="0" bIns="0" rtlCol="0">
                                <a:noAutofit/>
                              </wps:bodyPr>
                            </wps:wsp>
                            <wps:wsp>
                              <wps:cNvPr id="25570" name="Rectangle 25570"/>
                              <wps:cNvSpPr/>
                              <wps:spPr>
                                <a:xfrm>
                                  <a:off x="3866357" y="48619"/>
                                  <a:ext cx="155801" cy="123100"/>
                                </a:xfrm>
                                <a:prstGeom prst="rect">
                                  <a:avLst/>
                                </a:prstGeom>
                                <a:ln>
                                  <a:noFill/>
                                </a:ln>
                              </wps:spPr>
                              <wps:txbx>
                                <w:txbxContent>
                                  <w:p w:rsidR="00EE13F6" w:rsidRDefault="002E5BC4">
                                    <w:r>
                                      <w:rPr>
                                        <w:w w:val="91"/>
                                        <w:sz w:val="16"/>
                                      </w:rPr>
                                      <w:t>0.5</w:t>
                                    </w:r>
                                  </w:p>
                                </w:txbxContent>
                              </wps:txbx>
                              <wps:bodyPr horzOverflow="overflow" vert="horz" lIns="0" tIns="0" rIns="0" bIns="0" rtlCol="0">
                                <a:noAutofit/>
                              </wps:bodyPr>
                            </wps:wsp>
                            <wps:wsp>
                              <wps:cNvPr id="25572" name="Rectangle 25572"/>
                              <wps:cNvSpPr/>
                              <wps:spPr>
                                <a:xfrm>
                                  <a:off x="5299204" y="48619"/>
                                  <a:ext cx="64185" cy="123100"/>
                                </a:xfrm>
                                <a:prstGeom prst="rect">
                                  <a:avLst/>
                                </a:prstGeom>
                                <a:ln>
                                  <a:noFill/>
                                </a:ln>
                              </wps:spPr>
                              <wps:txbx>
                                <w:txbxContent>
                                  <w:p w:rsidR="00EE13F6" w:rsidRDefault="002E5BC4">
                                    <w:r>
                                      <w:rPr>
                                        <w:w w:val="93"/>
                                        <w:sz w:val="16"/>
                                      </w:rPr>
                                      <w:t>1</w:t>
                                    </w:r>
                                  </w:p>
                                </w:txbxContent>
                              </wps:txbx>
                              <wps:bodyPr horzOverflow="overflow" vert="horz" lIns="0" tIns="0" rIns="0" bIns="0" rtlCol="0">
                                <a:noAutofit/>
                              </wps:bodyPr>
                            </wps:wsp>
                            <wps:wsp>
                              <wps:cNvPr id="25573" name="Rectangle 25573"/>
                              <wps:cNvSpPr/>
                              <wps:spPr>
                                <a:xfrm>
                                  <a:off x="6010598" y="48619"/>
                                  <a:ext cx="64185" cy="123100"/>
                                </a:xfrm>
                                <a:prstGeom prst="rect">
                                  <a:avLst/>
                                </a:prstGeom>
                                <a:ln>
                                  <a:noFill/>
                                </a:ln>
                              </wps:spPr>
                              <wps:txbx>
                                <w:txbxContent>
                                  <w:p w:rsidR="00EE13F6" w:rsidRDefault="002E5BC4">
                                    <w:r>
                                      <w:rPr>
                                        <w:w w:val="93"/>
                                        <w:sz w:val="16"/>
                                      </w:rPr>
                                      <w:t>2</w:t>
                                    </w:r>
                                  </w:p>
                                </w:txbxContent>
                              </wps:txbx>
                              <wps:bodyPr horzOverflow="overflow" vert="horz" lIns="0" tIns="0" rIns="0" bIns="0" rtlCol="0">
                                <a:noAutofit/>
                              </wps:bodyPr>
                            </wps:wsp>
                          </wpg:wgp>
                        </a:graphicData>
                      </a:graphic>
                    </wp:inline>
                  </w:drawing>
                </mc:Choice>
                <mc:Fallback>
                  <w:pict>
                    <v:group id="Group 219917" o:spid="_x0000_s2048" style="width:489.5pt;height:13pt;mso-position-horizontal-relative:char;mso-position-vertical-relative:line" coordsize="62164,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">
                      <v:shape id="Shape 230962" o:spid="_x0000_s2049" style="position:absolute;width:62164;height:91;visibility:visible;mso-wrap-style:square;v-text-anchor:top" coordsize="62164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5ccA&#10;AADfAAAADwAAAGRycy9kb3ducmV2LnhtbESPQWsCMRSE74X+h/AK3mq2KwS7GqUIQo92rW2Pj+S5&#10;u3TzsiRRt/76piD0OMzMN8xyPbpenCnEzrOGp2kBgth423Gj4X2/fZyDiAnZYu+ZNPxQhPXq/m6J&#10;lfUXfqNznRqRIRwr1NCmNFRSRtOSwzj1A3H2jj44TFmGRtqAlwx3vSyLQkmHHeeFFgfatGS+65PT&#10;oLy6qt0u1NvTlxk+zLz/3FwPWk8expcFiERj+g/f2q9WQzkrnlUJf3/y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NWuXHAAAA3wAAAA8AAAAAAAAAAAAAAAAAmAIAAGRy&#10;cy9kb3ducmV2LnhtbFBLBQYAAAAABAAEAPUAAACMAwAAAAA=&#10;" path="m,l6216486,r,9144l,9144,,e" fillcolor="#841f27" strokecolor="#841f27" strokeweight="0">
                        <v:stroke endcap="round"/>
                        <v:path arrowok="t" textboxrect="0,0,6216486,9144"/>
                      </v:shape>
                      <v:shape id="Shape 230963" o:spid="_x0000_s2050" style="position:absolute;top:1584;width:8078;height:91;visibility:visible;mso-wrap-style:square;v-text-anchor:top" coordsize="807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IuMcA&#10;AADfAAAADwAAAGRycy9kb3ducmV2LnhtbESP0WrCQBRE3wv+w3KFvhTdqBBqdBURpNIHS40fcMle&#10;k5Ds3bC7avTr3YLQx2FmzjDLdW9acSXna8sKJuMEBHFhdc2lglO+G32C8AFZY2uZFNzJw3o1eFti&#10;pu2Nf+l6DKWIEPYZKqhC6DIpfVGRQT+2HXH0ztYZDFG6UmqHtwg3rZwmSSoN1hwXKuxoW1HRHC9G&#10;wcf24LrdV9PMH5fzzzflPs03hVLvw36zABGoD//hV3uvFUxnyTydwd+f+AXk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yLjHAAAA3wAAAA8AAAAAAAAAAAAAAAAAmAIAAGRy&#10;cy9kb3ducmV2LnhtbFBLBQYAAAAABAAEAPUAAACMAwAAAAA=&#10;" path="m,l807834,r,9144l,9144,,e" fillcolor="#841f27" strokecolor="#841f27" strokeweight="0">
                        <v:stroke endcap="round"/>
                        <v:path arrowok="t" textboxrect="0,0,807834,9144"/>
                      </v:shape>
                      <v:shape id="Shape 230964" o:spid="_x0000_s2051" style="position:absolute;left:8078;top:1584;width:7322;height:91;visibility:visible;mso-wrap-style:square;v-text-anchor:top" coordsize="732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uMgA&#10;AADfAAAADwAAAGRycy9kb3ducmV2LnhtbESP3WrCQBSE7wXfYTmCN1I39Y+aukoVClpKQdsHOGZP&#10;k2jO2ZDdavr2XUHo5TAz3zCLVcuVulDjSycGHocJKJLM2VJyA1+frw9PoHxAsVg5IQO/5GG17HYW&#10;mFp3lT1dDiFXESI+RQNFCHWqtc8KYvRDV5NE79s1jCHKJte2wWuEc6VHSTLTjKXEhQJr2hSUnQ8/&#10;bIDXenra5Mfp7mNg672ruHx/Y2P6vfblGVSgNvyH7+2tNTAaJ/PZBG5/4hf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9uS4yAAAAN8AAAAPAAAAAAAAAAAAAAAAAJgCAABk&#10;cnMvZG93bnJldi54bWxQSwUGAAAAAAQABAD1AAAAjQMAAAAA&#10;" path="m,l732244,r,9144l,9144,,e" fillcolor="#841f27" strokecolor="#841f27" strokeweight="0">
                        <v:stroke endcap="round"/>
                        <v:path arrowok="t" textboxrect="0,0,732244,9144"/>
                      </v:shape>
                      <v:shape id="Shape 230965" o:spid="_x0000_s2052" style="position:absolute;left:15400;top:1584;width:7834;height:91;visibility:visible;mso-wrap-style:square;v-text-anchor:top" coordsize="7833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B8MgA&#10;AADfAAAADwAAAGRycy9kb3ducmV2LnhtbESPQWvCQBSE7wX/w/IEb7pRqdboKqJUpYdK1UKPz+wz&#10;iWbfhuxW03/vCkKPw8x8w0xmtSnElSqXW1bQ7UQgiBOrc04VHPbv7TcQziNrLCyTgj9yMJs2XiYY&#10;a3vjL7rufCoChF2MCjLvy1hKl2Rk0HVsSRy8k60M+iCrVOoKbwFuCtmLooE0mHNYyLCkRUbJZfdr&#10;FPwM55vz93KxHX347tGePs2Z1iulWs16Pgbhqfb/4Wd7oxX0+tFo8AqPP+EL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cHwyAAAAN8AAAAPAAAAAAAAAAAAAAAAAJgCAABk&#10;cnMvZG93bnJldi54bWxQSwUGAAAAAAQABAD1AAAAjQMAAAAA&#10;" path="m,l783361,r,9144l,9144,,e" fillcolor="#841f27" strokecolor="#841f27" strokeweight="0">
                        <v:stroke endcap="round"/>
                        <v:path arrowok="t" textboxrect="0,0,783361,9144"/>
                      </v:shape>
                      <v:shape id="Shape 230966" o:spid="_x0000_s2053" style="position:absolute;left:23234;top:1584;width:6869;height:91;visibility:visible;mso-wrap-style:square;v-text-anchor:top" coordsize="6868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94cgA&#10;AADfAAAADwAAAGRycy9kb3ducmV2LnhtbESPT2vCQBTE7wW/w/IK3uqmBkIbXUWEQkWKNfXi7Zl9&#10;+aPZtyG7mvjtu0Khx2FmfsPMl4NpxI06V1tW8DqJQBDnVtdcKjj8fLy8gXAeWWNjmRTcycFyMXqa&#10;Y6ptz3u6Zb4UAcIuRQWV920qpcsrMugmtiUOXmE7gz7IrpS6wz7ATSOnUZRIgzWHhQpbWleUX7Kr&#10;URDft6dj/5UU59ibrLWn3Qa/C6XGz8NqBsLT4P/Df+1PrWAaR+9JAo8/4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P3hyAAAAN8AAAAPAAAAAAAAAAAAAAAAAJgCAABk&#10;cnMvZG93bnJldi54bWxQSwUGAAAAAAQABAD1AAAAjQMAAAAA&#10;" path="m,l686879,r,9144l,9144,,e" fillcolor="#841f27" strokecolor="#841f27" strokeweight="0">
                        <v:stroke endcap="round"/>
                        <v:path arrowok="t" textboxrect="0,0,686879,9144"/>
                      </v:shape>
                      <v:shape id="Shape 230967" o:spid="_x0000_s2054" style="position:absolute;left:30103;top:1584;width:7841;height:91;visibility:visible;mso-wrap-style:square;v-text-anchor:top" coordsize="7840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38sYA&#10;AADfAAAADwAAAGRycy9kb3ducmV2LnhtbESP0WrCQBRE3wv+w3IF3+qmFlJNXSVYxL5Vox9wyd4m&#10;odm7a3aNqV/fFYQ+DjNnhlmuB9OKnjrfWFbwMk1AEJdWN1wpOB23z3MQPiBrbC2Tgl/ysF6NnpaY&#10;aXvlA/VFqEQsYZ+hgjoEl0npy5oM+ql1xNH7tp3BEGVXSd3hNZabVs6SJJUGG44LNTra1FT+FBej&#10;YOYk7r7Sj9u+zC/9bZuf94VLlZqMh/wdRKAh/Icf9KeO3GuySN/g/i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538sYAAADfAAAADwAAAAAAAAAAAAAAAACYAgAAZHJz&#10;L2Rvd25yZXYueG1sUEsFBgAAAAAEAAQA9QAAAIsDAAAAAA==&#10;" path="m,l784085,r,9144l,9144,,e" fillcolor="#841f27" strokecolor="#841f27" strokeweight="0">
                        <v:stroke endcap="round"/>
                        <v:path arrowok="t" textboxrect="0,0,784085,9144"/>
                      </v:shape>
                      <v:shape id="Shape 230968" o:spid="_x0000_s2055" style="position:absolute;left:37944;top:1584;width:6868;height:91;visibility:visible;mso-wrap-style:square;v-text-anchor:top" coordsize="6868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CMUA&#10;AADfAAAADwAAAGRycy9kb3ducmV2LnhtbERPy2rCQBTdC/7DcAV3dWICoaaOQQoFpZTWtJvurpmb&#10;R5u5EzKjiX/fWRRcHs57m0+mE1caXGtZwXoVgSAurW65VvD1+fLwCMJ5ZI2dZVJwIwf5bj7bYqbt&#10;yCe6Fr4WIYRdhgoa7/tMSlc2ZNCtbE8cuMoOBn2AQy31gGMIN52MoyiVBlsODQ329NxQ+VtcjILk&#10;9nr+Ht/S6ifxpujt+f2IH5VSy8W0fwLhafJ38b/7oBXESbRJw+DwJ3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8wIxQAAAN8AAAAPAAAAAAAAAAAAAAAAAJgCAABkcnMv&#10;ZG93bnJldi54bWxQSwUGAAAAAAQABAD1AAAAigMAAAAA&#10;" path="m,l686879,r,9144l,9144,,e" fillcolor="#841f27" strokecolor="#841f27" strokeweight="0">
                        <v:stroke endcap="round"/>
                        <v:path arrowok="t" textboxrect="0,0,686879,9144"/>
                      </v:shape>
                      <v:shape id="Shape 230969" o:spid="_x0000_s2056" style="position:absolute;left:44812;top:1584;width:6869;height:91;visibility:visible;mso-wrap-style:square;v-text-anchor:top" coordsize="6868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pk8gA&#10;AADfAAAADwAAAGRycy9kb3ducmV2LnhtbESPT2vCQBTE7wW/w/IEb3WjgVCjq0ihoJRiTXvx9sy+&#10;/Gmzb0N2NfHbu4WCx2FmfsOsNoNpxJU6V1tWMJtGIIhzq2suFXx/vT2/gHAeWWNjmRTcyMFmPXpa&#10;Yaptz0e6Zr4UAcIuRQWV920qpcsrMuimtiUOXmE7gz7IrpS6wz7ATSPnUZRIgzWHhQpbeq0o/80u&#10;RkF8ez+f+o+k+Im9yVp7Puzxs1BqMh62SxCeBv8I/7d3WsE8jhbJAv7+hC8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I2mTyAAAAN8AAAAPAAAAAAAAAAAAAAAAAJgCAABk&#10;cnMvZG93bnJldi54bWxQSwUGAAAAAAQABAD1AAAAjQMAAAAA&#10;" path="m,l686879,r,9144l,9144,,e" fillcolor="#841f27" strokecolor="#841f27" strokeweight="0">
                        <v:stroke endcap="round"/>
                        <v:path arrowok="t" textboxrect="0,0,686879,9144"/>
                      </v:shape>
                      <v:shape id="Shape 230970" o:spid="_x0000_s2057" style="position:absolute;left:51681;top:1584;width:7351;height:91;visibility:visible;mso-wrap-style:square;v-text-anchor:top" coordsize="7351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8Q8QA&#10;AADfAAAADwAAAGRycy9kb3ducmV2LnhtbESPy4rCMBSG9wO+QzjC7MZEh9FOxyhFENyOF2R2h+ZM&#10;W2xOQhNrfXuzEFz+/De+5XqwreipC41jDdOJAkFcOtNwpeF42H5kIEJENtg6Jg13CrBejd6WmBt3&#10;41/q97ESaYRDjhrqGH0uZShrshgmzhMn7991FmOSXSVNh7c0bls5U2ouLTacHmr0tKmpvOyvVsPW&#10;ZptD8dVLdTnfT7aYe0/Zn9bv46H4ARFpiK/ws70zGmaf6nuRCBJPY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vEPEAAAA3wAAAA8AAAAAAAAAAAAAAAAAmAIAAGRycy9k&#10;b3ducmV2LnhtbFBLBQYAAAAABAAEAPUAAACJAwAAAAA=&#10;" path="m,l735114,r,9144l,9144,,e" fillcolor="#841f27" strokecolor="#841f27" strokeweight="0">
                        <v:stroke endcap="round"/>
                        <v:path arrowok="t" textboxrect="0,0,735114,9144"/>
                      </v:shape>
                      <v:shape id="Shape 230971" o:spid="_x0000_s2058" style="position:absolute;left:59032;top:1584;width:3132;height:91;visibility:visible;mso-wrap-style:square;v-text-anchor:top" coordsize="3131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7n8kA&#10;AADfAAAADwAAAGRycy9kb3ducmV2LnhtbESPW2sCMRSE34X+h3AKfdOsK1S73SilYCl9EG+0r4fk&#10;7AU3J+sm1dVf3xQEH4eZ+YbJF71txIk6XztWMB4lIIi1MzWXCva75XAGwgdkg41jUnAhD4v5wyDH&#10;zLgzb+i0DaWIEPYZKqhCaDMpva7Ioh+5ljh6hesshii7UpoOzxFuG5kmybO0WHNcqLCl94r0Yftr&#10;FXysQlmkh6/1T73yk+/NVR+bvVbq6bF/ewURqA/38K39aRSkk+RlOob/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ZO7n8kAAADfAAAADwAAAAAAAAAAAAAAAACYAgAA&#10;ZHJzL2Rvd25yZXYueG1sUEsFBgAAAAAEAAQA9QAAAI4DAAAAAA==&#10;" path="m,l313195,r,9144l,9144,,e" fillcolor="#841f27" strokecolor="#841f27" strokeweight="0">
                        <v:stroke endcap="round"/>
                        <v:path arrowok="t" textboxrect="0,0,313195,9144"/>
                      </v:shape>
                      <v:rect id="Rectangle 33492" o:spid="_x0000_s2059" style="position:absolute;left:511;top:486;width:4413;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nyccA&#10;AADeAAAADwAAAGRycy9kb3ducmV2LnhtbESPQWvCQBSE7wX/w/KE3upGLWJSVxGtJMeqBdvbI/ua&#10;BLNvQ3Y1qb/eLQg9DjPzDbNY9aYWV2pdZVnBeBSBIM6trrhQ8HncvcxBOI+ssbZMCn7JwWo5eFpg&#10;om3He7oefCEChF2CCkrvm0RKl5dk0I1sQxy8H9sa9EG2hdQtdgFuajmJopk0WHFYKLGhTUn5+XAx&#10;CtJ5s/7K7K0r6vfv9PRxirfH2Cv1POzXbyA89f4//GhnWsF0+hpP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9Z8nHAAAA3gAAAA8AAAAAAAAAAAAAAAAAmAIAAGRy&#10;cy9kb3ducmV2LnhtbFBLBQYAAAAABAAEAPUAAACMAwAAAAA=&#10;" filled="f" stroked="f">
                        <v:textbox inset="0,0,0,0">
                          <w:txbxContent>
                            <w:p w:rsidR="00EE13F6" w:rsidRDefault="002E5BC4">
                              <w:r>
                                <w:rPr>
                                  <w:w w:val="93"/>
                                  <w:sz w:val="16"/>
                                </w:rPr>
                                <w:t>Maturity</w:t>
                              </w:r>
                            </w:p>
                          </w:txbxContent>
                        </v:textbox>
                      </v:rect>
                      <v:rect id="Rectangle 25569" o:spid="_x0000_s2060" style="position:absolute;left:31068;top:486;width:2199;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YjsYA&#10;AADeAAAADwAAAGRycy9kb3ducmV2LnhtbESPT4vCMBTE74LfITzBm6YKiu0aRXRFj/4Dd2+P5m1b&#10;bF5Kk7Xd/fRGEDwOM/MbZr5sTSnuVLvCsoLRMAJBnFpdcKbgct4OZiCcR9ZYWiYFf+Rgueh25pho&#10;2/CR7iefiQBhl6CC3PsqkdKlORl0Q1sRB+/H1gZ9kHUmdY1NgJtSjqNoKg0WHBZyrGidU3o7/RoF&#10;u1m1+trb/yYrP79318M13pxjr1S/164+QHhq/Tv8au+1gvFkMo3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gYjsYAAADeAAAADwAAAAAAAAAAAAAAAACYAgAAZHJz&#10;L2Rvd25yZXYueG1sUEsFBgAAAAAEAAQA9QAAAIsDAAAAAA==&#10;" filled="f" stroked="f">
                        <v:textbox inset="0,0,0,0">
                          <w:txbxContent>
                            <w:p w:rsidR="00EE13F6" w:rsidRDefault="002E5BC4">
                              <w:r>
                                <w:rPr>
                                  <w:w w:val="92"/>
                                  <w:sz w:val="16"/>
                                </w:rPr>
                                <w:t>0.25</w:t>
                              </w:r>
                            </w:p>
                          </w:txbxContent>
                        </v:textbox>
                      </v:rect>
                      <v:rect id="Rectangle 25570" o:spid="_x0000_s2061" style="position:absolute;left:38663;top:486;width:1558;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nzscA&#10;AADeAAAADwAAAGRycy9kb3ducmV2LnhtbESPzWrCQBSF9wXfYbhCd3WiYGuio4ha4tImBevukrlN&#10;QjN3QmaapH16Z1Ho8nD++Da70TSip87VlhXMZxEI4sLqmksF7/nr0wqE88gaG8uk4Icc7LaThw0m&#10;2g78Rn3mSxFG2CWooPK+TaR0RUUG3cy2xMH7tJ1BH2RXSt3hEMZNIxdR9CwN1hweKmzpUFHxlX0b&#10;Bemq3X+c7e9QNqdber1c42Mee6Uep+N+DcLT6P/Df+2zVrBYLl8C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LJ87HAAAA3gAAAA8AAAAAAAAAAAAAAAAAmAIAAGRy&#10;cy9kb3ducmV2LnhtbFBLBQYAAAAABAAEAPUAAACMAwAAAAA=&#10;" filled="f" stroked="f">
                        <v:textbox inset="0,0,0,0">
                          <w:txbxContent>
                            <w:p w:rsidR="00EE13F6" w:rsidRDefault="002E5BC4">
                              <w:r>
                                <w:rPr>
                                  <w:w w:val="91"/>
                                  <w:sz w:val="16"/>
                                </w:rPr>
                                <w:t>0.5</w:t>
                              </w:r>
                            </w:p>
                          </w:txbxContent>
                        </v:textbox>
                      </v:rect>
                      <v:rect id="Rectangle 25572" o:spid="_x0000_s2062" style="position:absolute;left:52992;top:486;width:641;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cIscA&#10;AADeAAAADwAAAGRycy9kb3ducmV2LnhtbESPT2vCQBTE70K/w/IK3nTTgDZGV5HWokf/gXp7ZJ9J&#10;aPZtyG5N7KfvCgWPw8z8hpktOlOJGzWutKzgbRiBIM6sLjlXcDx8DRIQziNrrCyTgjs5WMxfejNM&#10;tW15R7e9z0WAsEtRQeF9nUrpsoIMuqGtiYN3tY1BH2STS91gG+CmknEUjaXBksNCgTV9FJR973+M&#10;gnVSL88b+9vm1eqyPm1Pk8/DxCvVf+2WUxCeOv8M/7c3WkE8Gr3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VHCLHAAAA3gAAAA8AAAAAAAAAAAAAAAAAmAIAAGRy&#10;cy9kb3ducmV2LnhtbFBLBQYAAAAABAAEAPUAAACMAwAAAAA=&#10;" filled="f" stroked="f">
                        <v:textbox inset="0,0,0,0">
                          <w:txbxContent>
                            <w:p w:rsidR="00EE13F6" w:rsidRDefault="002E5BC4">
                              <w:r>
                                <w:rPr>
                                  <w:w w:val="93"/>
                                  <w:sz w:val="16"/>
                                </w:rPr>
                                <w:t>1</w:t>
                              </w:r>
                            </w:p>
                          </w:txbxContent>
                        </v:textbox>
                      </v:rect>
                      <v:rect id="Rectangle 25573" o:spid="_x0000_s2063" style="position:absolute;left:60105;top:486;width:642;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5ucgA&#10;AADeAAAADwAAAGRycy9kb3ducmV2LnhtbESPQWvCQBSE74L/YXlCb7qpYjXRVaS26FFjIfX2yL4m&#10;odm3Ibs1aX99t1DwOMzMN8x625ta3Kh1lWUFj5MIBHFudcWFgrfL63gJwnlkjbVlUvBNDrab4WCN&#10;ibYdn+mW+kIECLsEFZTeN4mULi/JoJvYhjh4H7Y16INsC6lb7ALc1HIaRU/SYMVhocSGnkvKP9Mv&#10;o+CwbHbvR/vTFfXL9ZCdsnh/ib1SD6N+twLhqff38H/7qBVM5/PFD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mbm5yAAAAN4AAAAPAAAAAAAAAAAAAAAAAJgCAABk&#10;cnMvZG93bnJldi54bWxQSwUGAAAAAAQABAD1AAAAjQMAAAAA&#10;" filled="f" stroked="f">
                        <v:textbox inset="0,0,0,0">
                          <w:txbxContent>
                            <w:p w:rsidR="00EE13F6" w:rsidRDefault="002E5BC4">
                              <w:r>
                                <w:rPr>
                                  <w:w w:val="93"/>
                                  <w:sz w:val="16"/>
                                </w:rPr>
                                <w:t>2</w:t>
                              </w:r>
                            </w:p>
                          </w:txbxContent>
                        </v:textbox>
                      </v:rect>
                      <w10:anchorlock/>
                    </v:group>
                  </w:pict>
                </mc:Fallback>
              </mc:AlternateContent>
            </w:r>
            <w:r>
              <w:rPr>
                <w:sz w:val="16"/>
              </w:rPr>
              <w:t>Gamma</w:t>
            </w:r>
            <w:r>
              <w:rPr>
                <w:sz w:val="16"/>
              </w:rPr>
              <w:tab/>
              <w:t>0.08</w:t>
            </w:r>
            <w:r>
              <w:rPr>
                <w:sz w:val="16"/>
              </w:rPr>
              <w:tab/>
              <w:t>0.1</w:t>
            </w:r>
            <w:r>
              <w:rPr>
                <w:sz w:val="16"/>
              </w:rPr>
              <w:tab/>
              <w:t>0.75</w:t>
            </w:r>
          </w:p>
          <w:tbl>
            <w:tblPr>
              <w:tblStyle w:val="TableGrid"/>
              <w:tblW w:w="9629" w:type="dxa"/>
              <w:tblInd w:w="81" w:type="dxa"/>
              <w:tblCellMar>
                <w:top w:w="0" w:type="dxa"/>
                <w:left w:w="0" w:type="dxa"/>
                <w:bottom w:w="0" w:type="dxa"/>
                <w:right w:w="0" w:type="dxa"/>
              </w:tblCellMar>
              <w:tblLook w:val="04A0" w:firstRow="1" w:lastRow="0" w:firstColumn="1" w:lastColumn="0" w:noHBand="0" w:noVBand="1"/>
            </w:tblPr>
            <w:tblGrid>
              <w:gridCol w:w="1185"/>
              <w:gridCol w:w="1149"/>
              <w:gridCol w:w="1230"/>
              <w:gridCol w:w="1078"/>
              <w:gridCol w:w="1231"/>
              <w:gridCol w:w="1078"/>
              <w:gridCol w:w="1078"/>
              <w:gridCol w:w="1154"/>
              <w:gridCol w:w="446"/>
            </w:tblGrid>
            <w:tr w:rsidR="00EE13F6">
              <w:trPr>
                <w:trHeight w:val="162"/>
              </w:trPr>
              <w:tc>
                <w:tcPr>
                  <w:tcW w:w="1192" w:type="dxa"/>
                  <w:tcBorders>
                    <w:top w:val="nil"/>
                    <w:left w:val="nil"/>
                    <w:bottom w:val="nil"/>
                    <w:right w:val="nil"/>
                  </w:tcBorders>
                </w:tcPr>
                <w:p w:rsidR="00EE13F6" w:rsidRDefault="002E5BC4">
                  <w:pPr>
                    <w:framePr w:wrap="around" w:vAnchor="text" w:hAnchor="margin"/>
                    <w:spacing w:after="0"/>
                    <w:suppressOverlap/>
                  </w:pPr>
                  <w:r>
                    <w:rPr>
                      <w:sz w:val="16"/>
                    </w:rPr>
                    <w:t>5</w:t>
                  </w:r>
                </w:p>
              </w:tc>
              <w:tc>
                <w:tcPr>
                  <w:tcW w:w="1153" w:type="dxa"/>
                  <w:tcBorders>
                    <w:top w:val="nil"/>
                    <w:left w:val="nil"/>
                    <w:bottom w:val="nil"/>
                    <w:right w:val="nil"/>
                  </w:tcBorders>
                </w:tcPr>
                <w:p w:rsidR="00EE13F6" w:rsidRDefault="002E5BC4">
                  <w:pPr>
                    <w:framePr w:wrap="around" w:vAnchor="text" w:hAnchor="margin"/>
                    <w:spacing w:after="0"/>
                    <w:ind w:left="35"/>
                    <w:suppressOverlap/>
                  </w:pPr>
                  <w:r>
                    <w:rPr>
                      <w:sz w:val="16"/>
                    </w:rPr>
                    <w:t>0.10</w:t>
                  </w:r>
                </w:p>
              </w:tc>
              <w:tc>
                <w:tcPr>
                  <w:tcW w:w="1234" w:type="dxa"/>
                  <w:tcBorders>
                    <w:top w:val="nil"/>
                    <w:left w:val="nil"/>
                    <w:bottom w:val="nil"/>
                    <w:right w:val="nil"/>
                  </w:tcBorders>
                </w:tcPr>
                <w:p w:rsidR="00EE13F6" w:rsidRDefault="002E5BC4">
                  <w:pPr>
                    <w:framePr w:wrap="around" w:vAnchor="text" w:hAnchor="margin"/>
                    <w:spacing w:after="0"/>
                    <w:suppressOverlap/>
                  </w:pPr>
                  <w:r>
                    <w:rPr>
                      <w:sz w:val="16"/>
                    </w:rPr>
                    <w:t>0.0099</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0.012</w:t>
                  </w:r>
                </w:p>
              </w:tc>
              <w:tc>
                <w:tcPr>
                  <w:tcW w:w="1235" w:type="dxa"/>
                  <w:tcBorders>
                    <w:top w:val="nil"/>
                    <w:left w:val="nil"/>
                    <w:bottom w:val="nil"/>
                    <w:right w:val="nil"/>
                  </w:tcBorders>
                </w:tcPr>
                <w:p w:rsidR="00EE13F6" w:rsidRDefault="002E5BC4">
                  <w:pPr>
                    <w:framePr w:wrap="around" w:vAnchor="text" w:hAnchor="margin"/>
                    <w:spacing w:after="0"/>
                    <w:suppressOverlap/>
                  </w:pPr>
                  <w:r>
                    <w:rPr>
                      <w:sz w:val="16"/>
                    </w:rPr>
                    <w:t>0.031</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0.06</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0.092</w:t>
                  </w:r>
                </w:p>
              </w:tc>
              <w:tc>
                <w:tcPr>
                  <w:tcW w:w="1158" w:type="dxa"/>
                  <w:tcBorders>
                    <w:top w:val="nil"/>
                    <w:left w:val="nil"/>
                    <w:bottom w:val="nil"/>
                    <w:right w:val="nil"/>
                  </w:tcBorders>
                </w:tcPr>
                <w:p w:rsidR="00EE13F6" w:rsidRDefault="002E5BC4">
                  <w:pPr>
                    <w:framePr w:wrap="around" w:vAnchor="text" w:hAnchor="margin"/>
                    <w:spacing w:after="0"/>
                    <w:suppressOverlap/>
                  </w:pPr>
                  <w:r>
                    <w:rPr>
                      <w:sz w:val="16"/>
                    </w:rPr>
                    <w:t>0.1234</w:t>
                  </w:r>
                </w:p>
              </w:tc>
              <w:tc>
                <w:tcPr>
                  <w:tcW w:w="413" w:type="dxa"/>
                  <w:tcBorders>
                    <w:top w:val="nil"/>
                    <w:left w:val="nil"/>
                    <w:bottom w:val="nil"/>
                    <w:right w:val="nil"/>
                  </w:tcBorders>
                </w:tcPr>
                <w:p w:rsidR="00EE13F6" w:rsidRDefault="002E5BC4">
                  <w:pPr>
                    <w:framePr w:wrap="around" w:vAnchor="text" w:hAnchor="margin"/>
                    <w:spacing w:after="0"/>
                    <w:suppressOverlap/>
                    <w:jc w:val="both"/>
                  </w:pPr>
                  <w:r>
                    <w:rPr>
                      <w:sz w:val="16"/>
                    </w:rPr>
                    <w:t>0.2467</w:t>
                  </w:r>
                </w:p>
              </w:tc>
            </w:tr>
            <w:tr w:rsidR="00EE13F6">
              <w:trPr>
                <w:trHeight w:val="180"/>
              </w:trPr>
              <w:tc>
                <w:tcPr>
                  <w:tcW w:w="1192" w:type="dxa"/>
                  <w:tcBorders>
                    <w:top w:val="nil"/>
                    <w:left w:val="nil"/>
                    <w:bottom w:val="nil"/>
                    <w:right w:val="nil"/>
                  </w:tcBorders>
                </w:tcPr>
                <w:p w:rsidR="00EE13F6" w:rsidRDefault="002E5BC4">
                  <w:pPr>
                    <w:framePr w:wrap="around" w:vAnchor="text" w:hAnchor="margin"/>
                    <w:spacing w:after="0"/>
                    <w:suppressOverlap/>
                  </w:pPr>
                  <w:r>
                    <w:rPr>
                      <w:sz w:val="16"/>
                    </w:rPr>
                    <w:t>21</w:t>
                  </w:r>
                </w:p>
              </w:tc>
              <w:tc>
                <w:tcPr>
                  <w:tcW w:w="1153" w:type="dxa"/>
                  <w:tcBorders>
                    <w:top w:val="nil"/>
                    <w:left w:val="nil"/>
                    <w:bottom w:val="nil"/>
                    <w:right w:val="nil"/>
                  </w:tcBorders>
                </w:tcPr>
                <w:p w:rsidR="00EE13F6" w:rsidRDefault="002E5BC4">
                  <w:pPr>
                    <w:framePr w:wrap="around" w:vAnchor="text" w:hAnchor="margin"/>
                    <w:spacing w:after="0"/>
                    <w:ind w:left="35"/>
                    <w:suppressOverlap/>
                  </w:pPr>
                  <w:r>
                    <w:rPr>
                      <w:sz w:val="16"/>
                    </w:rPr>
                    <w:t>0.046</w:t>
                  </w:r>
                </w:p>
              </w:tc>
              <w:tc>
                <w:tcPr>
                  <w:tcW w:w="1234" w:type="dxa"/>
                  <w:tcBorders>
                    <w:top w:val="nil"/>
                    <w:left w:val="nil"/>
                    <w:bottom w:val="nil"/>
                    <w:right w:val="nil"/>
                  </w:tcBorders>
                </w:tcPr>
                <w:p w:rsidR="00EE13F6" w:rsidRDefault="002E5BC4">
                  <w:pPr>
                    <w:framePr w:wrap="around" w:vAnchor="text" w:hAnchor="margin"/>
                    <w:spacing w:after="0"/>
                    <w:suppressOverlap/>
                  </w:pPr>
                  <w:r>
                    <w:rPr>
                      <w:sz w:val="16"/>
                    </w:rPr>
                    <w:t>0.0047</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0.0059</w:t>
                  </w:r>
                </w:p>
              </w:tc>
              <w:tc>
                <w:tcPr>
                  <w:tcW w:w="1235" w:type="dxa"/>
                  <w:tcBorders>
                    <w:top w:val="nil"/>
                    <w:left w:val="nil"/>
                    <w:bottom w:val="nil"/>
                    <w:right w:val="nil"/>
                  </w:tcBorders>
                </w:tcPr>
                <w:p w:rsidR="00EE13F6" w:rsidRDefault="002E5BC4">
                  <w:pPr>
                    <w:framePr w:wrap="around" w:vAnchor="text" w:hAnchor="margin"/>
                    <w:spacing w:after="0"/>
                    <w:suppressOverlap/>
                  </w:pPr>
                  <w:r>
                    <w:rPr>
                      <w:sz w:val="16"/>
                    </w:rPr>
                    <w:t>0.001500</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0.0030</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0.0045</w:t>
                  </w:r>
                </w:p>
              </w:tc>
              <w:tc>
                <w:tcPr>
                  <w:tcW w:w="1158" w:type="dxa"/>
                  <w:tcBorders>
                    <w:top w:val="nil"/>
                    <w:left w:val="nil"/>
                    <w:bottom w:val="nil"/>
                    <w:right w:val="nil"/>
                  </w:tcBorders>
                </w:tcPr>
                <w:p w:rsidR="00EE13F6" w:rsidRDefault="002E5BC4">
                  <w:pPr>
                    <w:framePr w:wrap="around" w:vAnchor="text" w:hAnchor="margin"/>
                    <w:spacing w:after="0"/>
                    <w:suppressOverlap/>
                  </w:pPr>
                  <w:r>
                    <w:rPr>
                      <w:sz w:val="16"/>
                    </w:rPr>
                    <w:t>0.06</w:t>
                  </w:r>
                </w:p>
              </w:tc>
              <w:tc>
                <w:tcPr>
                  <w:tcW w:w="413" w:type="dxa"/>
                  <w:tcBorders>
                    <w:top w:val="nil"/>
                    <w:left w:val="nil"/>
                    <w:bottom w:val="nil"/>
                    <w:right w:val="nil"/>
                  </w:tcBorders>
                </w:tcPr>
                <w:p w:rsidR="00EE13F6" w:rsidRDefault="002E5BC4">
                  <w:pPr>
                    <w:framePr w:wrap="around" w:vAnchor="text" w:hAnchor="margin"/>
                    <w:spacing w:after="0"/>
                    <w:suppressOverlap/>
                    <w:jc w:val="both"/>
                  </w:pPr>
                  <w:r>
                    <w:rPr>
                      <w:sz w:val="16"/>
                    </w:rPr>
                    <w:t>0.1188</w:t>
                  </w:r>
                </w:p>
              </w:tc>
            </w:tr>
            <w:tr w:rsidR="00EE13F6">
              <w:trPr>
                <w:trHeight w:val="180"/>
              </w:trPr>
              <w:tc>
                <w:tcPr>
                  <w:tcW w:w="1192" w:type="dxa"/>
                  <w:tcBorders>
                    <w:top w:val="nil"/>
                    <w:left w:val="nil"/>
                    <w:bottom w:val="nil"/>
                    <w:right w:val="nil"/>
                  </w:tcBorders>
                </w:tcPr>
                <w:p w:rsidR="00EE13F6" w:rsidRDefault="002E5BC4">
                  <w:pPr>
                    <w:framePr w:wrap="around" w:vAnchor="text" w:hAnchor="margin"/>
                    <w:spacing w:after="0"/>
                    <w:suppressOverlap/>
                  </w:pPr>
                  <w:r>
                    <w:rPr>
                      <w:sz w:val="16"/>
                    </w:rPr>
                    <w:t>63</w:t>
                  </w:r>
                </w:p>
              </w:tc>
              <w:tc>
                <w:tcPr>
                  <w:tcW w:w="1153" w:type="dxa"/>
                  <w:tcBorders>
                    <w:top w:val="nil"/>
                    <w:left w:val="nil"/>
                    <w:bottom w:val="nil"/>
                    <w:right w:val="nil"/>
                  </w:tcBorders>
                </w:tcPr>
                <w:p w:rsidR="00EE13F6" w:rsidRDefault="002E5BC4">
                  <w:pPr>
                    <w:framePr w:wrap="around" w:vAnchor="text" w:hAnchor="margin"/>
                    <w:spacing w:after="0"/>
                    <w:ind w:left="35"/>
                    <w:suppressOverlap/>
                  </w:pPr>
                  <w:r>
                    <w:rPr>
                      <w:sz w:val="16"/>
                    </w:rPr>
                    <w:t>0.0265</w:t>
                  </w:r>
                </w:p>
              </w:tc>
              <w:tc>
                <w:tcPr>
                  <w:tcW w:w="1234" w:type="dxa"/>
                  <w:tcBorders>
                    <w:top w:val="nil"/>
                    <w:left w:val="nil"/>
                    <w:bottom w:val="nil"/>
                    <w:right w:val="nil"/>
                  </w:tcBorders>
                </w:tcPr>
                <w:p w:rsidR="00EE13F6" w:rsidRDefault="002E5BC4">
                  <w:pPr>
                    <w:framePr w:wrap="around" w:vAnchor="text" w:hAnchor="margin"/>
                    <w:spacing w:after="0"/>
                    <w:suppressOverlap/>
                  </w:pPr>
                  <w:r>
                    <w:rPr>
                      <w:sz w:val="16"/>
                    </w:rPr>
                    <w:t>0.0027</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0.0034</w:t>
                  </w:r>
                </w:p>
              </w:tc>
              <w:tc>
                <w:tcPr>
                  <w:tcW w:w="1235" w:type="dxa"/>
                  <w:tcBorders>
                    <w:top w:val="nil"/>
                    <w:left w:val="nil"/>
                    <w:bottom w:val="nil"/>
                    <w:right w:val="nil"/>
                  </w:tcBorders>
                </w:tcPr>
                <w:p w:rsidR="00EE13F6" w:rsidRDefault="002E5BC4">
                  <w:pPr>
                    <w:framePr w:wrap="around" w:vAnchor="text" w:hAnchor="margin"/>
                    <w:spacing w:after="0"/>
                    <w:suppressOverlap/>
                  </w:pPr>
                  <w:r>
                    <w:rPr>
                      <w:sz w:val="16"/>
                    </w:rPr>
                    <w:t>0.0086</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0.0171</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0.0257</w:t>
                  </w:r>
                </w:p>
              </w:tc>
              <w:tc>
                <w:tcPr>
                  <w:tcW w:w="1158" w:type="dxa"/>
                  <w:tcBorders>
                    <w:top w:val="nil"/>
                    <w:left w:val="nil"/>
                    <w:bottom w:val="nil"/>
                    <w:right w:val="nil"/>
                  </w:tcBorders>
                </w:tcPr>
                <w:p w:rsidR="00EE13F6" w:rsidRDefault="002E5BC4">
                  <w:pPr>
                    <w:framePr w:wrap="around" w:vAnchor="text" w:hAnchor="margin"/>
                    <w:spacing w:after="0"/>
                    <w:suppressOverlap/>
                  </w:pPr>
                  <w:r>
                    <w:rPr>
                      <w:sz w:val="16"/>
                    </w:rPr>
                    <w:t>0.0342</w:t>
                  </w:r>
                </w:p>
              </w:tc>
              <w:tc>
                <w:tcPr>
                  <w:tcW w:w="413" w:type="dxa"/>
                  <w:tcBorders>
                    <w:top w:val="nil"/>
                    <w:left w:val="nil"/>
                    <w:bottom w:val="nil"/>
                    <w:right w:val="nil"/>
                  </w:tcBorders>
                </w:tcPr>
                <w:p w:rsidR="00EE13F6" w:rsidRDefault="002E5BC4">
                  <w:pPr>
                    <w:framePr w:wrap="around" w:vAnchor="text" w:hAnchor="margin"/>
                    <w:spacing w:after="0"/>
                    <w:suppressOverlap/>
                  </w:pPr>
                  <w:r>
                    <w:rPr>
                      <w:sz w:val="16"/>
                    </w:rPr>
                    <w:t>0.068</w:t>
                  </w:r>
                </w:p>
              </w:tc>
            </w:tr>
            <w:tr w:rsidR="00EE13F6">
              <w:trPr>
                <w:trHeight w:val="180"/>
              </w:trPr>
              <w:tc>
                <w:tcPr>
                  <w:tcW w:w="1192" w:type="dxa"/>
                  <w:tcBorders>
                    <w:top w:val="nil"/>
                    <w:left w:val="nil"/>
                    <w:bottom w:val="nil"/>
                    <w:right w:val="nil"/>
                  </w:tcBorders>
                </w:tcPr>
                <w:p w:rsidR="00EE13F6" w:rsidRDefault="002E5BC4">
                  <w:pPr>
                    <w:framePr w:wrap="around" w:vAnchor="text" w:hAnchor="margin"/>
                    <w:spacing w:after="0"/>
                    <w:suppressOverlap/>
                  </w:pPr>
                  <w:r>
                    <w:rPr>
                      <w:sz w:val="16"/>
                    </w:rPr>
                    <w:t>126</w:t>
                  </w:r>
                </w:p>
              </w:tc>
              <w:tc>
                <w:tcPr>
                  <w:tcW w:w="1153" w:type="dxa"/>
                  <w:tcBorders>
                    <w:top w:val="nil"/>
                    <w:left w:val="nil"/>
                    <w:bottom w:val="nil"/>
                    <w:right w:val="nil"/>
                  </w:tcBorders>
                </w:tcPr>
                <w:p w:rsidR="00EE13F6" w:rsidRDefault="002E5BC4">
                  <w:pPr>
                    <w:framePr w:wrap="around" w:vAnchor="text" w:hAnchor="margin"/>
                    <w:spacing w:after="0"/>
                    <w:ind w:left="35"/>
                    <w:suppressOverlap/>
                  </w:pPr>
                  <w:r>
                    <w:rPr>
                      <w:sz w:val="16"/>
                    </w:rPr>
                    <w:t>0.0187</w:t>
                  </w:r>
                </w:p>
              </w:tc>
              <w:tc>
                <w:tcPr>
                  <w:tcW w:w="1234" w:type="dxa"/>
                  <w:tcBorders>
                    <w:top w:val="nil"/>
                    <w:left w:val="nil"/>
                    <w:bottom w:val="nil"/>
                    <w:right w:val="nil"/>
                  </w:tcBorders>
                </w:tcPr>
                <w:p w:rsidR="00EE13F6" w:rsidRDefault="002E5BC4">
                  <w:pPr>
                    <w:framePr w:wrap="around" w:vAnchor="text" w:hAnchor="margin"/>
                    <w:spacing w:after="0"/>
                    <w:suppressOverlap/>
                  </w:pPr>
                  <w:r>
                    <w:rPr>
                      <w:sz w:val="16"/>
                    </w:rPr>
                    <w:t>0.0002</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0.0024</w:t>
                  </w:r>
                </w:p>
              </w:tc>
              <w:tc>
                <w:tcPr>
                  <w:tcW w:w="1235" w:type="dxa"/>
                  <w:tcBorders>
                    <w:top w:val="nil"/>
                    <w:left w:val="nil"/>
                    <w:bottom w:val="nil"/>
                    <w:right w:val="nil"/>
                  </w:tcBorders>
                </w:tcPr>
                <w:p w:rsidR="00EE13F6" w:rsidRDefault="002E5BC4">
                  <w:pPr>
                    <w:framePr w:wrap="around" w:vAnchor="text" w:hAnchor="margin"/>
                    <w:spacing w:after="0"/>
                    <w:suppressOverlap/>
                  </w:pPr>
                  <w:r>
                    <w:rPr>
                      <w:sz w:val="16"/>
                    </w:rPr>
                    <w:t>0.0060</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0.0121</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0.0180</w:t>
                  </w:r>
                </w:p>
              </w:tc>
              <w:tc>
                <w:tcPr>
                  <w:tcW w:w="1158" w:type="dxa"/>
                  <w:tcBorders>
                    <w:top w:val="nil"/>
                    <w:left w:val="nil"/>
                    <w:bottom w:val="nil"/>
                    <w:right w:val="nil"/>
                  </w:tcBorders>
                </w:tcPr>
                <w:p w:rsidR="00EE13F6" w:rsidRDefault="002E5BC4">
                  <w:pPr>
                    <w:framePr w:wrap="around" w:vAnchor="text" w:hAnchor="margin"/>
                    <w:spacing w:after="0"/>
                    <w:suppressOverlap/>
                  </w:pPr>
                  <w:r>
                    <w:rPr>
                      <w:sz w:val="16"/>
                    </w:rPr>
                    <w:t>0.0241</w:t>
                  </w:r>
                </w:p>
              </w:tc>
              <w:tc>
                <w:tcPr>
                  <w:tcW w:w="413" w:type="dxa"/>
                  <w:tcBorders>
                    <w:top w:val="nil"/>
                    <w:left w:val="nil"/>
                    <w:bottom w:val="nil"/>
                    <w:right w:val="nil"/>
                  </w:tcBorders>
                </w:tcPr>
                <w:p w:rsidR="00EE13F6" w:rsidRDefault="002E5BC4">
                  <w:pPr>
                    <w:framePr w:wrap="around" w:vAnchor="text" w:hAnchor="margin"/>
                    <w:spacing w:after="0"/>
                    <w:suppressOverlap/>
                    <w:jc w:val="both"/>
                  </w:pPr>
                  <w:r>
                    <w:rPr>
                      <w:sz w:val="16"/>
                    </w:rPr>
                    <w:t>0.0482</w:t>
                  </w:r>
                </w:p>
              </w:tc>
            </w:tr>
            <w:tr w:rsidR="00EE13F6">
              <w:trPr>
                <w:trHeight w:val="180"/>
              </w:trPr>
              <w:tc>
                <w:tcPr>
                  <w:tcW w:w="1192" w:type="dxa"/>
                  <w:tcBorders>
                    <w:top w:val="nil"/>
                    <w:left w:val="nil"/>
                    <w:bottom w:val="nil"/>
                    <w:right w:val="nil"/>
                  </w:tcBorders>
                </w:tcPr>
                <w:p w:rsidR="00EE13F6" w:rsidRDefault="002E5BC4">
                  <w:pPr>
                    <w:framePr w:wrap="around" w:vAnchor="text" w:hAnchor="margin"/>
                    <w:spacing w:after="0"/>
                    <w:suppressOverlap/>
                  </w:pPr>
                  <w:r>
                    <w:rPr>
                      <w:sz w:val="16"/>
                    </w:rPr>
                    <w:t>252</w:t>
                  </w:r>
                </w:p>
              </w:tc>
              <w:tc>
                <w:tcPr>
                  <w:tcW w:w="1153" w:type="dxa"/>
                  <w:tcBorders>
                    <w:top w:val="nil"/>
                    <w:left w:val="nil"/>
                    <w:bottom w:val="nil"/>
                    <w:right w:val="nil"/>
                  </w:tcBorders>
                </w:tcPr>
                <w:p w:rsidR="00EE13F6" w:rsidRDefault="002E5BC4">
                  <w:pPr>
                    <w:framePr w:wrap="around" w:vAnchor="text" w:hAnchor="margin"/>
                    <w:spacing w:after="0"/>
                    <w:ind w:left="35"/>
                    <w:suppressOverlap/>
                  </w:pPr>
                  <w:r>
                    <w:rPr>
                      <w:sz w:val="16"/>
                    </w:rPr>
                    <w:t>0.0131</w:t>
                  </w:r>
                </w:p>
              </w:tc>
              <w:tc>
                <w:tcPr>
                  <w:tcW w:w="1234" w:type="dxa"/>
                  <w:tcBorders>
                    <w:top w:val="nil"/>
                    <w:left w:val="nil"/>
                    <w:bottom w:val="nil"/>
                    <w:right w:val="nil"/>
                  </w:tcBorders>
                </w:tcPr>
                <w:p w:rsidR="00EE13F6" w:rsidRDefault="002E5BC4">
                  <w:pPr>
                    <w:framePr w:wrap="around" w:vAnchor="text" w:hAnchor="margin"/>
                    <w:spacing w:after="0"/>
                    <w:suppressOverlap/>
                  </w:pPr>
                  <w:r>
                    <w:rPr>
                      <w:sz w:val="16"/>
                    </w:rPr>
                    <w:t>0.0014</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0.0002</w:t>
                  </w:r>
                </w:p>
              </w:tc>
              <w:tc>
                <w:tcPr>
                  <w:tcW w:w="1235" w:type="dxa"/>
                  <w:tcBorders>
                    <w:top w:val="nil"/>
                    <w:left w:val="nil"/>
                    <w:bottom w:val="nil"/>
                    <w:right w:val="nil"/>
                  </w:tcBorders>
                </w:tcPr>
                <w:p w:rsidR="00EE13F6" w:rsidRDefault="002E5BC4">
                  <w:pPr>
                    <w:framePr w:wrap="around" w:vAnchor="text" w:hAnchor="margin"/>
                    <w:spacing w:after="0"/>
                    <w:suppressOverlap/>
                  </w:pPr>
                  <w:r>
                    <w:rPr>
                      <w:sz w:val="16"/>
                    </w:rPr>
                    <w:t>0.0042</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0.0085</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0.0127</w:t>
                  </w:r>
                </w:p>
              </w:tc>
              <w:tc>
                <w:tcPr>
                  <w:tcW w:w="1158" w:type="dxa"/>
                  <w:tcBorders>
                    <w:top w:val="nil"/>
                    <w:left w:val="nil"/>
                    <w:bottom w:val="nil"/>
                    <w:right w:val="nil"/>
                  </w:tcBorders>
                </w:tcPr>
                <w:p w:rsidR="00EE13F6" w:rsidRDefault="002E5BC4">
                  <w:pPr>
                    <w:framePr w:wrap="around" w:vAnchor="text" w:hAnchor="margin"/>
                    <w:spacing w:after="0"/>
                    <w:suppressOverlap/>
                  </w:pPr>
                  <w:r>
                    <w:rPr>
                      <w:sz w:val="16"/>
                    </w:rPr>
                    <w:t>0.01690</w:t>
                  </w:r>
                </w:p>
              </w:tc>
              <w:tc>
                <w:tcPr>
                  <w:tcW w:w="413" w:type="dxa"/>
                  <w:tcBorders>
                    <w:top w:val="nil"/>
                    <w:left w:val="nil"/>
                    <w:bottom w:val="nil"/>
                    <w:right w:val="nil"/>
                  </w:tcBorders>
                </w:tcPr>
                <w:p w:rsidR="00EE13F6" w:rsidRDefault="002E5BC4">
                  <w:pPr>
                    <w:framePr w:wrap="around" w:vAnchor="text" w:hAnchor="margin"/>
                    <w:spacing w:after="0"/>
                    <w:suppressOverlap/>
                    <w:jc w:val="both"/>
                  </w:pPr>
                  <w:r>
                    <w:rPr>
                      <w:sz w:val="16"/>
                    </w:rPr>
                    <w:t>0.0338</w:t>
                  </w:r>
                </w:p>
              </w:tc>
            </w:tr>
            <w:tr w:rsidR="00EE13F6">
              <w:trPr>
                <w:trHeight w:val="180"/>
              </w:trPr>
              <w:tc>
                <w:tcPr>
                  <w:tcW w:w="1192" w:type="dxa"/>
                  <w:tcBorders>
                    <w:top w:val="nil"/>
                    <w:left w:val="nil"/>
                    <w:bottom w:val="nil"/>
                    <w:right w:val="nil"/>
                  </w:tcBorders>
                </w:tcPr>
                <w:p w:rsidR="00EE13F6" w:rsidRDefault="002E5BC4">
                  <w:pPr>
                    <w:framePr w:wrap="around" w:vAnchor="text" w:hAnchor="margin"/>
                    <w:spacing w:after="0"/>
                    <w:suppressOverlap/>
                  </w:pPr>
                  <w:r>
                    <w:rPr>
                      <w:sz w:val="16"/>
                    </w:rPr>
                    <w:t>378</w:t>
                  </w:r>
                </w:p>
              </w:tc>
              <w:tc>
                <w:tcPr>
                  <w:tcW w:w="1153" w:type="dxa"/>
                  <w:tcBorders>
                    <w:top w:val="nil"/>
                    <w:left w:val="nil"/>
                    <w:bottom w:val="nil"/>
                    <w:right w:val="nil"/>
                  </w:tcBorders>
                </w:tcPr>
                <w:p w:rsidR="00EE13F6" w:rsidRDefault="002E5BC4">
                  <w:pPr>
                    <w:framePr w:wrap="around" w:vAnchor="text" w:hAnchor="margin"/>
                    <w:spacing w:after="0"/>
                    <w:ind w:left="35"/>
                    <w:suppressOverlap/>
                  </w:pPr>
                  <w:r>
                    <w:rPr>
                      <w:sz w:val="16"/>
                    </w:rPr>
                    <w:t>0.011</w:t>
                  </w:r>
                </w:p>
              </w:tc>
              <w:tc>
                <w:tcPr>
                  <w:tcW w:w="1234" w:type="dxa"/>
                  <w:tcBorders>
                    <w:top w:val="nil"/>
                    <w:left w:val="nil"/>
                    <w:bottom w:val="nil"/>
                    <w:right w:val="nil"/>
                  </w:tcBorders>
                </w:tcPr>
                <w:p w:rsidR="00EE13F6" w:rsidRDefault="002E5BC4">
                  <w:pPr>
                    <w:framePr w:wrap="around" w:vAnchor="text" w:hAnchor="margin"/>
                    <w:spacing w:after="0"/>
                    <w:suppressOverlap/>
                  </w:pPr>
                  <w:r>
                    <w:rPr>
                      <w:sz w:val="16"/>
                    </w:rPr>
                    <w:t>0.0007</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0.0009</w:t>
                  </w:r>
                </w:p>
              </w:tc>
              <w:tc>
                <w:tcPr>
                  <w:tcW w:w="1235" w:type="dxa"/>
                  <w:tcBorders>
                    <w:top w:val="nil"/>
                    <w:left w:val="nil"/>
                    <w:bottom w:val="nil"/>
                    <w:right w:val="nil"/>
                  </w:tcBorders>
                </w:tcPr>
                <w:p w:rsidR="00EE13F6" w:rsidRDefault="002E5BC4">
                  <w:pPr>
                    <w:framePr w:wrap="around" w:vAnchor="text" w:hAnchor="margin"/>
                    <w:spacing w:after="0"/>
                    <w:suppressOverlap/>
                  </w:pPr>
                  <w:r>
                    <w:rPr>
                      <w:sz w:val="16"/>
                    </w:rPr>
                    <w:t>0.0023</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0.0046</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0.0068</w:t>
                  </w:r>
                </w:p>
              </w:tc>
              <w:tc>
                <w:tcPr>
                  <w:tcW w:w="1158" w:type="dxa"/>
                  <w:tcBorders>
                    <w:top w:val="nil"/>
                    <w:left w:val="nil"/>
                    <w:bottom w:val="nil"/>
                    <w:right w:val="nil"/>
                  </w:tcBorders>
                </w:tcPr>
                <w:p w:rsidR="00EE13F6" w:rsidRDefault="002E5BC4">
                  <w:pPr>
                    <w:framePr w:wrap="around" w:vAnchor="text" w:hAnchor="margin"/>
                    <w:spacing w:after="0"/>
                    <w:suppressOverlap/>
                  </w:pPr>
                  <w:r>
                    <w:rPr>
                      <w:sz w:val="16"/>
                    </w:rPr>
                    <w:t>0.0091</w:t>
                  </w:r>
                </w:p>
              </w:tc>
              <w:tc>
                <w:tcPr>
                  <w:tcW w:w="413" w:type="dxa"/>
                  <w:tcBorders>
                    <w:top w:val="nil"/>
                    <w:left w:val="nil"/>
                    <w:bottom w:val="nil"/>
                    <w:right w:val="nil"/>
                  </w:tcBorders>
                </w:tcPr>
                <w:p w:rsidR="00EE13F6" w:rsidRDefault="002E5BC4">
                  <w:pPr>
                    <w:framePr w:wrap="around" w:vAnchor="text" w:hAnchor="margin"/>
                    <w:spacing w:after="0"/>
                    <w:suppressOverlap/>
                    <w:jc w:val="both"/>
                  </w:pPr>
                  <w:r>
                    <w:rPr>
                      <w:sz w:val="16"/>
                    </w:rPr>
                    <w:t>0.0182</w:t>
                  </w:r>
                </w:p>
              </w:tc>
            </w:tr>
            <w:tr w:rsidR="00EE13F6">
              <w:trPr>
                <w:trHeight w:val="180"/>
              </w:trPr>
              <w:tc>
                <w:tcPr>
                  <w:tcW w:w="1192" w:type="dxa"/>
                  <w:tcBorders>
                    <w:top w:val="nil"/>
                    <w:left w:val="nil"/>
                    <w:bottom w:val="nil"/>
                    <w:right w:val="nil"/>
                  </w:tcBorders>
                </w:tcPr>
                <w:p w:rsidR="00EE13F6" w:rsidRDefault="002E5BC4">
                  <w:pPr>
                    <w:framePr w:wrap="around" w:vAnchor="text" w:hAnchor="margin"/>
                    <w:spacing w:after="0"/>
                    <w:suppressOverlap/>
                  </w:pPr>
                  <w:r>
                    <w:rPr>
                      <w:sz w:val="16"/>
                    </w:rPr>
                    <w:t>504</w:t>
                  </w:r>
                </w:p>
              </w:tc>
              <w:tc>
                <w:tcPr>
                  <w:tcW w:w="1153" w:type="dxa"/>
                  <w:tcBorders>
                    <w:top w:val="nil"/>
                    <w:left w:val="nil"/>
                    <w:bottom w:val="nil"/>
                    <w:right w:val="nil"/>
                  </w:tcBorders>
                </w:tcPr>
                <w:p w:rsidR="00EE13F6" w:rsidRDefault="002E5BC4">
                  <w:pPr>
                    <w:framePr w:wrap="around" w:vAnchor="text" w:hAnchor="margin"/>
                    <w:spacing w:after="0"/>
                    <w:ind w:left="35"/>
                    <w:suppressOverlap/>
                  </w:pPr>
                  <w:r>
                    <w:rPr>
                      <w:sz w:val="16"/>
                    </w:rPr>
                    <w:t>0.0091</w:t>
                  </w:r>
                </w:p>
              </w:tc>
              <w:tc>
                <w:tcPr>
                  <w:tcW w:w="1234" w:type="dxa"/>
                  <w:tcBorders>
                    <w:top w:val="nil"/>
                    <w:left w:val="nil"/>
                    <w:bottom w:val="nil"/>
                    <w:right w:val="nil"/>
                  </w:tcBorders>
                </w:tcPr>
                <w:p w:rsidR="00EE13F6" w:rsidRDefault="002E5BC4">
                  <w:pPr>
                    <w:framePr w:wrap="around" w:vAnchor="text" w:hAnchor="margin"/>
                    <w:spacing w:after="0"/>
                    <w:suppressOverlap/>
                  </w:pPr>
                  <w:r>
                    <w:rPr>
                      <w:sz w:val="16"/>
                    </w:rPr>
                    <w:t>0.0005</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0.0006</w:t>
                  </w:r>
                </w:p>
              </w:tc>
              <w:tc>
                <w:tcPr>
                  <w:tcW w:w="1235" w:type="dxa"/>
                  <w:tcBorders>
                    <w:top w:val="nil"/>
                    <w:left w:val="nil"/>
                    <w:bottom w:val="nil"/>
                    <w:right w:val="nil"/>
                  </w:tcBorders>
                </w:tcPr>
                <w:p w:rsidR="00EE13F6" w:rsidRDefault="002E5BC4">
                  <w:pPr>
                    <w:framePr w:wrap="around" w:vAnchor="text" w:hAnchor="margin"/>
                    <w:spacing w:after="0"/>
                    <w:suppressOverlap/>
                  </w:pPr>
                  <w:r>
                    <w:rPr>
                      <w:sz w:val="16"/>
                    </w:rPr>
                    <w:t>0.0015</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0.0029</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0.0044</w:t>
                  </w:r>
                </w:p>
              </w:tc>
              <w:tc>
                <w:tcPr>
                  <w:tcW w:w="1158" w:type="dxa"/>
                  <w:tcBorders>
                    <w:top w:val="nil"/>
                    <w:left w:val="nil"/>
                    <w:bottom w:val="nil"/>
                    <w:right w:val="nil"/>
                  </w:tcBorders>
                </w:tcPr>
                <w:p w:rsidR="00EE13F6" w:rsidRDefault="002E5BC4">
                  <w:pPr>
                    <w:framePr w:wrap="around" w:vAnchor="text" w:hAnchor="margin"/>
                    <w:spacing w:after="0"/>
                    <w:suppressOverlap/>
                  </w:pPr>
                  <w:r>
                    <w:rPr>
                      <w:sz w:val="16"/>
                    </w:rPr>
                    <w:t>0.0059</w:t>
                  </w:r>
                </w:p>
              </w:tc>
              <w:tc>
                <w:tcPr>
                  <w:tcW w:w="413" w:type="dxa"/>
                  <w:tcBorders>
                    <w:top w:val="nil"/>
                    <w:left w:val="nil"/>
                    <w:bottom w:val="nil"/>
                    <w:right w:val="nil"/>
                  </w:tcBorders>
                </w:tcPr>
                <w:p w:rsidR="00EE13F6" w:rsidRDefault="002E5BC4">
                  <w:pPr>
                    <w:framePr w:wrap="around" w:vAnchor="text" w:hAnchor="margin"/>
                    <w:spacing w:after="0"/>
                    <w:suppressOverlap/>
                  </w:pPr>
                  <w:r>
                    <w:rPr>
                      <w:sz w:val="16"/>
                    </w:rPr>
                    <w:t>0.012</w:t>
                  </w:r>
                </w:p>
              </w:tc>
            </w:tr>
            <w:tr w:rsidR="00EE13F6">
              <w:trPr>
                <w:trHeight w:val="163"/>
              </w:trPr>
              <w:tc>
                <w:tcPr>
                  <w:tcW w:w="1192" w:type="dxa"/>
                  <w:tcBorders>
                    <w:top w:val="nil"/>
                    <w:left w:val="nil"/>
                    <w:bottom w:val="nil"/>
                    <w:right w:val="nil"/>
                  </w:tcBorders>
                </w:tcPr>
                <w:p w:rsidR="00EE13F6" w:rsidRDefault="002E5BC4">
                  <w:pPr>
                    <w:framePr w:wrap="around" w:vAnchor="text" w:hAnchor="margin"/>
                    <w:spacing w:after="0"/>
                    <w:suppressOverlap/>
                  </w:pPr>
                  <w:r>
                    <w:rPr>
                      <w:sz w:val="16"/>
                    </w:rPr>
                    <w:t>756</w:t>
                  </w:r>
                </w:p>
              </w:tc>
              <w:tc>
                <w:tcPr>
                  <w:tcW w:w="1153" w:type="dxa"/>
                  <w:tcBorders>
                    <w:top w:val="nil"/>
                    <w:left w:val="nil"/>
                    <w:bottom w:val="nil"/>
                    <w:right w:val="nil"/>
                  </w:tcBorders>
                </w:tcPr>
                <w:p w:rsidR="00EE13F6" w:rsidRDefault="002E5BC4">
                  <w:pPr>
                    <w:framePr w:wrap="around" w:vAnchor="text" w:hAnchor="margin"/>
                    <w:spacing w:after="0"/>
                    <w:ind w:left="35"/>
                    <w:suppressOverlap/>
                  </w:pPr>
                  <w:r>
                    <w:rPr>
                      <w:sz w:val="16"/>
                    </w:rPr>
                    <w:t>0.0073</w:t>
                  </w:r>
                </w:p>
              </w:tc>
              <w:tc>
                <w:tcPr>
                  <w:tcW w:w="1234" w:type="dxa"/>
                  <w:tcBorders>
                    <w:top w:val="nil"/>
                    <w:left w:val="nil"/>
                    <w:bottom w:val="nil"/>
                    <w:right w:val="nil"/>
                  </w:tcBorders>
                </w:tcPr>
                <w:p w:rsidR="00EE13F6" w:rsidRDefault="002E5BC4">
                  <w:pPr>
                    <w:framePr w:wrap="around" w:vAnchor="text" w:hAnchor="margin"/>
                    <w:spacing w:after="0"/>
                    <w:suppressOverlap/>
                  </w:pPr>
                  <w:r>
                    <w:rPr>
                      <w:sz w:val="16"/>
                    </w:rPr>
                    <w:t>0.000251</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0.0003</w:t>
                  </w:r>
                </w:p>
              </w:tc>
              <w:tc>
                <w:tcPr>
                  <w:tcW w:w="1235" w:type="dxa"/>
                  <w:tcBorders>
                    <w:top w:val="nil"/>
                    <w:left w:val="nil"/>
                    <w:bottom w:val="nil"/>
                    <w:right w:val="nil"/>
                  </w:tcBorders>
                </w:tcPr>
                <w:p w:rsidR="00EE13F6" w:rsidRDefault="002E5BC4">
                  <w:pPr>
                    <w:framePr w:wrap="around" w:vAnchor="text" w:hAnchor="margin"/>
                    <w:spacing w:after="0"/>
                    <w:suppressOverlap/>
                  </w:pPr>
                  <w:r>
                    <w:rPr>
                      <w:sz w:val="16"/>
                    </w:rPr>
                    <w:t>0.0008</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0.0016</w:t>
                  </w:r>
                </w:p>
              </w:tc>
              <w:tc>
                <w:tcPr>
                  <w:tcW w:w="1082" w:type="dxa"/>
                  <w:tcBorders>
                    <w:top w:val="nil"/>
                    <w:left w:val="nil"/>
                    <w:bottom w:val="nil"/>
                    <w:right w:val="nil"/>
                  </w:tcBorders>
                </w:tcPr>
                <w:p w:rsidR="00EE13F6" w:rsidRDefault="002E5BC4">
                  <w:pPr>
                    <w:framePr w:wrap="around" w:vAnchor="text" w:hAnchor="margin"/>
                    <w:spacing w:after="0"/>
                    <w:suppressOverlap/>
                  </w:pPr>
                  <w:r>
                    <w:rPr>
                      <w:sz w:val="16"/>
                    </w:rPr>
                    <w:t>0.0024</w:t>
                  </w:r>
                </w:p>
              </w:tc>
              <w:tc>
                <w:tcPr>
                  <w:tcW w:w="1158" w:type="dxa"/>
                  <w:tcBorders>
                    <w:top w:val="nil"/>
                    <w:left w:val="nil"/>
                    <w:bottom w:val="nil"/>
                    <w:right w:val="nil"/>
                  </w:tcBorders>
                </w:tcPr>
                <w:p w:rsidR="00EE13F6" w:rsidRDefault="002E5BC4">
                  <w:pPr>
                    <w:framePr w:wrap="around" w:vAnchor="text" w:hAnchor="margin"/>
                    <w:spacing w:after="0"/>
                    <w:suppressOverlap/>
                  </w:pPr>
                  <w:r>
                    <w:rPr>
                      <w:sz w:val="16"/>
                    </w:rPr>
                    <w:t>0.0031</w:t>
                  </w:r>
                </w:p>
              </w:tc>
              <w:tc>
                <w:tcPr>
                  <w:tcW w:w="413" w:type="dxa"/>
                  <w:tcBorders>
                    <w:top w:val="nil"/>
                    <w:left w:val="nil"/>
                    <w:bottom w:val="nil"/>
                    <w:right w:val="nil"/>
                  </w:tcBorders>
                </w:tcPr>
                <w:p w:rsidR="00EE13F6" w:rsidRDefault="002E5BC4">
                  <w:pPr>
                    <w:framePr w:wrap="around" w:vAnchor="text" w:hAnchor="margin"/>
                    <w:spacing w:after="0"/>
                    <w:suppressOverlap/>
                    <w:jc w:val="both"/>
                  </w:pPr>
                  <w:r>
                    <w:rPr>
                      <w:sz w:val="16"/>
                    </w:rPr>
                    <w:t>0.0063</w:t>
                  </w:r>
                </w:p>
              </w:tc>
            </w:tr>
          </w:tbl>
          <w:p w:rsidR="00EE13F6" w:rsidRDefault="002E5BC4">
            <w:pPr>
              <w:spacing w:after="0"/>
            </w:pPr>
            <w:r>
              <w:rPr>
                <w:noProof/>
              </w:rPr>
              <mc:AlternateContent>
                <mc:Choice Requires="wpg">
                  <w:drawing>
                    <wp:inline distT="0" distB="0" distL="0" distR="0">
                      <wp:extent cx="6216472" cy="6477"/>
                      <wp:effectExtent l="0" t="0" r="0" b="0"/>
                      <wp:docPr id="219918" name="Group 219918"/>
                      <wp:cNvGraphicFramePr/>
                      <a:graphic xmlns:a="http://schemas.openxmlformats.org/drawingml/2006/main">
                        <a:graphicData uri="http://schemas.microsoft.com/office/word/2010/wordprocessingGroup">
                          <wpg:wgp>
                            <wpg:cNvGrpSpPr/>
                            <wpg:grpSpPr>
                              <a:xfrm>
                                <a:off x="0" y="0"/>
                                <a:ext cx="6216472" cy="6477"/>
                                <a:chOff x="0" y="0"/>
                                <a:chExt cx="6216472" cy="6477"/>
                              </a:xfrm>
                            </wpg:grpSpPr>
                            <wps:wsp>
                              <wps:cNvPr id="230978" name="Shape 230978"/>
                              <wps:cNvSpPr/>
                              <wps:spPr>
                                <a:xfrm>
                                  <a:off x="0" y="0"/>
                                  <a:ext cx="6216472" cy="9144"/>
                                </a:xfrm>
                                <a:custGeom>
                                  <a:avLst/>
                                  <a:gdLst/>
                                  <a:ahLst/>
                                  <a:cxnLst/>
                                  <a:rect l="0" t="0" r="0" b="0"/>
                                  <a:pathLst>
                                    <a:path w="6216472" h="9144">
                                      <a:moveTo>
                                        <a:pt x="0" y="0"/>
                                      </a:moveTo>
                                      <a:lnTo>
                                        <a:pt x="6216472" y="0"/>
                                      </a:lnTo>
                                      <a:lnTo>
                                        <a:pt x="6216472"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g:wgp>
                        </a:graphicData>
                      </a:graphic>
                    </wp:inline>
                  </w:drawing>
                </mc:Choice>
                <mc:Fallback>
                  <w:pict>
                    <v:group w14:anchorId="206E7ED4" id="Group 219918" o:spid="_x0000_s1026" style="width:489.5pt;height:.5pt;mso-position-horizontal-relative:char;mso-position-vertical-relative:line" coordsize="621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">
                      <v:shape id="Shape 230978" o:spid="_x0000_s1027" style="position:absolute;width:62164;height:91;visibility:visible;mso-wrap-style:square;v-text-anchor:top" coordsize="62164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Yh8YA&#10;AADfAAAADwAAAGRycy9kb3ducmV2LnhtbERPTWvCQBC9F/oflil4Kbqpgq2pq0iNUCgItYLkNmTH&#10;bGh2NmRWTf9991Do8fG+l+vBt+pKvTSBDTxNMlDEVbAN1waOX7vxCyiJyBbbwGTghwTWq/u7JeY2&#10;3PiTrodYqxTCkqMBF2OXay2VI48yCR1x4s6h9xgT7Gtte7ylcN/qaZbNtceGU4PDjt4cVd+HizdQ&#10;FoVspZVzLOf7j9JtLkV5ejRm9DBsXkFFGuK/+M/9bg1MZ9niOQ1Of9IX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XYh8YAAADfAAAADwAAAAAAAAAAAAAAAACYAgAAZHJz&#10;L2Rvd25yZXYueG1sUEsFBgAAAAAEAAQA9QAAAIsDAAAAAA==&#10;" path="m,l6216472,r,9144l,9144,,e" fillcolor="#841f27" strokecolor="#841f27" strokeweight="0">
                        <v:stroke endcap="round"/>
                        <v:path arrowok="t" textboxrect="0,0,6216472,9144"/>
                      </v:shape>
                      <w10:anchorlock/>
                    </v:group>
                  </w:pict>
                </mc:Fallback>
              </mc:AlternateContent>
            </w:r>
          </w:p>
        </w:tc>
      </w:tr>
    </w:tbl>
    <w:p w:rsidR="00EE13F6" w:rsidRDefault="002E5BC4">
      <w:pPr>
        <w:spacing w:after="5" w:line="271" w:lineRule="auto"/>
        <w:ind w:left="-4" w:hanging="10"/>
        <w:jc w:val="both"/>
      </w:pPr>
      <w:r>
        <w:rPr>
          <w:rFonts w:ascii="Times New Roman" w:eastAsia="Times New Roman" w:hAnsi="Times New Roman" w:cs="Times New Roman"/>
        </w:rPr>
        <w:t>size. Practically, this means that than the first two decimals of the option price are not affected.</w:t>
      </w:r>
    </w:p>
    <w:p w:rsidR="00EE13F6" w:rsidRDefault="002E5BC4">
      <w:pPr>
        <w:spacing w:after="94" w:line="271" w:lineRule="auto"/>
        <w:ind w:left="-14" w:firstLine="240"/>
        <w:jc w:val="both"/>
      </w:pPr>
      <w:r>
        <w:rPr>
          <w:rFonts w:ascii="Times New Roman" w:eastAsia="Times New Roman" w:hAnsi="Times New Roman" w:cs="Times New Roman"/>
        </w:rPr>
        <w:t>For instance, let us consider a Black</w:t>
      </w:r>
      <w:r>
        <w:t>–</w:t>
      </w:r>
      <w:r>
        <w:rPr>
          <w:rFonts w:ascii="Times New Roman" w:eastAsia="Times New Roman" w:hAnsi="Times New Roman" w:cs="Times New Roman"/>
        </w:rPr>
        <w:t>Scholes volatility of 30% with FTT transaction costs driving the volatility up to 35% if the inventory is held until maturity. The synthetic stock stays the same (within two decimals), for example, if the time to unwind the position less than 1/6th of a tr</w:t>
      </w:r>
      <w:r>
        <w:rPr>
          <w:rFonts w:ascii="Times New Roman" w:eastAsia="Times New Roman" w:hAnsi="Times New Roman" w:cs="Times New Roman"/>
        </w:rPr>
        <w:t xml:space="preserve">ading day and if we have </w:t>
      </w:r>
      <w:r>
        <w:t xml:space="preserve">γ ¼ </w:t>
      </w:r>
      <w:r>
        <w:rPr>
          <w:rFonts w:ascii="Times New Roman" w:eastAsia="Times New Roman" w:hAnsi="Times New Roman" w:cs="Times New Roman"/>
        </w:rPr>
        <w:t>0</w:t>
      </w:r>
      <w:r>
        <w:t>:</w:t>
      </w:r>
      <w:r>
        <w:rPr>
          <w:rFonts w:ascii="Times New Roman" w:eastAsia="Times New Roman" w:hAnsi="Times New Roman" w:cs="Times New Roman"/>
        </w:rPr>
        <w:t>09;</w:t>
      </w:r>
      <w:r>
        <w:t>S</w:t>
      </w:r>
      <w:r>
        <w:rPr>
          <w:rFonts w:ascii="Times New Roman" w:eastAsia="Times New Roman" w:hAnsi="Times New Roman" w:cs="Times New Roman"/>
          <w:vertAlign w:val="subscript"/>
        </w:rPr>
        <w:t xml:space="preserve">0 </w:t>
      </w:r>
      <w:r>
        <w:t xml:space="preserve">¼ </w:t>
      </w:r>
      <w:r>
        <w:rPr>
          <w:rFonts w:ascii="Times New Roman" w:eastAsia="Times New Roman" w:hAnsi="Times New Roman" w:cs="Times New Roman"/>
        </w:rPr>
        <w:t xml:space="preserve">100; </w:t>
      </w:r>
      <w:r>
        <w:t xml:space="preserve">C ¼ </w:t>
      </w:r>
      <w:r>
        <w:rPr>
          <w:rFonts w:ascii="Times New Roman" w:eastAsia="Times New Roman" w:hAnsi="Times New Roman" w:cs="Times New Roman"/>
        </w:rPr>
        <w:t>50;</w:t>
      </w:r>
      <w:r>
        <w:t xml:space="preserve">P ¼ </w:t>
      </w:r>
      <w:r>
        <w:rPr>
          <w:rFonts w:ascii="Times New Roman" w:eastAsia="Times New Roman" w:hAnsi="Times New Roman" w:cs="Times New Roman"/>
        </w:rPr>
        <w:t>50.</w:t>
      </w:r>
    </w:p>
    <w:p w:rsidR="00EE13F6" w:rsidRDefault="002E5BC4">
      <w:pPr>
        <w:spacing w:after="592" w:line="271" w:lineRule="auto"/>
        <w:ind w:left="-14" w:firstLine="240"/>
        <w:jc w:val="both"/>
      </w:pPr>
      <w:r>
        <w:rPr>
          <w:rFonts w:ascii="Times New Roman" w:eastAsia="Times New Roman" w:hAnsi="Times New Roman" w:cs="Times New Roman"/>
        </w:rPr>
        <w:t xml:space="preserve">Therefore, we find no significant impact on the bidask volatility spread for the options, if there is enough market depth. Practically, we can see in </w:t>
      </w:r>
      <w:r>
        <w:rPr>
          <w:rFonts w:ascii="Times New Roman" w:eastAsia="Times New Roman" w:hAnsi="Times New Roman" w:cs="Times New Roman"/>
          <w:color w:val="00007F"/>
        </w:rPr>
        <w:t xml:space="preserve">Table 2 </w:t>
      </w:r>
      <w:r>
        <w:rPr>
          <w:rFonts w:ascii="Times New Roman" w:eastAsia="Times New Roman" w:hAnsi="Times New Roman" w:cs="Times New Roman"/>
        </w:rPr>
        <w:t xml:space="preserve">that for options with short maturities </w:t>
      </w:r>
      <w:r>
        <w:rPr>
          <w:rFonts w:ascii="Times New Roman" w:eastAsia="Times New Roman" w:hAnsi="Times New Roman" w:cs="Times New Roman"/>
        </w:rPr>
        <w:t xml:space="preserve">the time to unwind the position has to be itself very short in order to have an insignificant FTT impact (within 2 decimals on the price of call or put options). For </w:t>
      </w:r>
      <w:r>
        <w:rPr>
          <w:rFonts w:ascii="Times New Roman" w:eastAsia="Times New Roman" w:hAnsi="Times New Roman" w:cs="Times New Roman"/>
        </w:rPr>
        <w:lastRenderedPageBreak/>
        <w:t>instance, for options with up to 6-month maturity, the time to unwind the market has to be</w:t>
      </w:r>
      <w:r>
        <w:rPr>
          <w:rFonts w:ascii="Times New Roman" w:eastAsia="Times New Roman" w:hAnsi="Times New Roman" w:cs="Times New Roman"/>
        </w:rPr>
        <w:t xml:space="preserve"> less than a quarter of a day.</w:t>
      </w:r>
    </w:p>
    <w:p w:rsidR="00EE13F6" w:rsidRDefault="002E5BC4">
      <w:pPr>
        <w:spacing w:after="167" w:line="257" w:lineRule="auto"/>
        <w:ind w:left="-5" w:hanging="10"/>
      </w:pPr>
      <w:r>
        <w:rPr>
          <w:color w:val="841F27"/>
        </w:rPr>
        <w:t>III. Structural models and equivalence between corporate financial instruments</w:t>
      </w:r>
    </w:p>
    <w:p w:rsidR="00EE13F6" w:rsidRDefault="002E5BC4">
      <w:pPr>
        <w:spacing w:after="601" w:line="271" w:lineRule="auto"/>
        <w:ind w:left="-4" w:hanging="10"/>
        <w:jc w:val="both"/>
      </w:pPr>
      <w:r>
        <w:t>‘</w:t>
      </w:r>
      <w:r>
        <w:rPr>
          <w:rFonts w:ascii="Times New Roman" w:eastAsia="Times New Roman" w:hAnsi="Times New Roman" w:cs="Times New Roman"/>
        </w:rPr>
        <w:t>Convertible arbitrage</w:t>
      </w:r>
      <w:r>
        <w:t xml:space="preserve">’ </w:t>
      </w:r>
      <w:r>
        <w:rPr>
          <w:rFonts w:ascii="Times New Roman" w:eastAsia="Times New Roman" w:hAnsi="Times New Roman" w:cs="Times New Roman"/>
        </w:rPr>
        <w:t>strategies consist in trading a convertible bond, either agai</w:t>
      </w:r>
      <w:r>
        <w:rPr>
          <w:rFonts w:ascii="Times New Roman" w:eastAsia="Times New Roman" w:hAnsi="Times New Roman" w:cs="Times New Roman"/>
        </w:rPr>
        <w:t xml:space="preserve">nst the equity or a discount bond of the same corporate issuer. This concept has been further extended into the concept of </w:t>
      </w:r>
      <w:r>
        <w:t>‘</w:t>
      </w:r>
      <w:r>
        <w:rPr>
          <w:rFonts w:ascii="Times New Roman" w:eastAsia="Times New Roman" w:hAnsi="Times New Roman" w:cs="Times New Roman"/>
        </w:rPr>
        <w:t>capital structure arbitrage</w:t>
      </w:r>
      <w:r>
        <w:t>’</w:t>
      </w:r>
      <w:r>
        <w:rPr>
          <w:rFonts w:ascii="Times New Roman" w:eastAsia="Times New Roman" w:hAnsi="Times New Roman" w:cs="Times New Roman"/>
        </w:rPr>
        <w:t>, now a market standard, which consists in arbitraging various financing instruments of the same corpora</w:t>
      </w:r>
      <w:r>
        <w:rPr>
          <w:rFonts w:ascii="Times New Roman" w:eastAsia="Times New Roman" w:hAnsi="Times New Roman" w:cs="Times New Roman"/>
        </w:rPr>
        <w:t>tion. The justification for this arbitrage is explicit in Modigliani</w:t>
      </w:r>
      <w:r>
        <w:t>–</w:t>
      </w:r>
      <w:r>
        <w:rPr>
          <w:rFonts w:ascii="Times New Roman" w:eastAsia="Times New Roman" w:hAnsi="Times New Roman" w:cs="Times New Roman"/>
        </w:rPr>
        <w:t>Miller</w:t>
      </w:r>
      <w:r>
        <w:t>’</w:t>
      </w:r>
      <w:r>
        <w:rPr>
          <w:rFonts w:ascii="Times New Roman" w:eastAsia="Times New Roman" w:hAnsi="Times New Roman" w:cs="Times New Roman"/>
        </w:rPr>
        <w:t>s work. As a consequence of the developments of capital markets, and also because of the Modigliani</w:t>
      </w:r>
      <w:r>
        <w:t>–</w:t>
      </w:r>
      <w:r>
        <w:rPr>
          <w:rFonts w:ascii="Times New Roman" w:eastAsia="Times New Roman" w:hAnsi="Times New Roman" w:cs="Times New Roman"/>
        </w:rPr>
        <w:t>Miller</w:t>
      </w:r>
      <w:r>
        <w:t>’</w:t>
      </w:r>
      <w:r>
        <w:rPr>
          <w:rFonts w:ascii="Times New Roman" w:eastAsia="Times New Roman" w:hAnsi="Times New Roman" w:cs="Times New Roman"/>
        </w:rPr>
        <w:t>s justification, equity derivatives, credit derivatives and corporate bon</w:t>
      </w:r>
      <w:r>
        <w:rPr>
          <w:rFonts w:ascii="Times New Roman" w:eastAsia="Times New Roman" w:hAnsi="Times New Roman" w:cs="Times New Roman"/>
        </w:rPr>
        <w:t>d markets are all interconnected. Equity volatility and corporate credit spreads can be arbitraged against each other. This arbitrage can be used for hedging purposes. For instance, economic agents insuring the credit risk on a specific issuer through a CD</w:t>
      </w:r>
      <w:r>
        <w:rPr>
          <w:rFonts w:ascii="Times New Roman" w:eastAsia="Times New Roman" w:hAnsi="Times New Roman" w:cs="Times New Roman"/>
        </w:rPr>
        <w:t>S might hedge their exposure by buying a put on the corporate equity share. The put option will have to match exactly the CDS maturity.</w:t>
      </w:r>
    </w:p>
    <w:p w:rsidR="00EE13F6" w:rsidRDefault="002E5BC4">
      <w:pPr>
        <w:spacing w:after="167" w:line="261" w:lineRule="auto"/>
        <w:ind w:left="-5" w:hanging="10"/>
      </w:pPr>
      <w:r>
        <w:rPr>
          <w:color w:val="841F27"/>
          <w:sz w:val="21"/>
        </w:rPr>
        <w:t>Merton’s original structural model and further developments: option on corporate assets</w:t>
      </w:r>
    </w:p>
    <w:p w:rsidR="00EE13F6" w:rsidRDefault="002E5BC4">
      <w:pPr>
        <w:spacing w:after="5" w:line="271" w:lineRule="auto"/>
        <w:ind w:left="-4" w:hanging="10"/>
        <w:jc w:val="both"/>
      </w:pPr>
      <w:r>
        <w:rPr>
          <w:rFonts w:ascii="Times New Roman" w:eastAsia="Times New Roman" w:hAnsi="Times New Roman" w:cs="Times New Roman"/>
        </w:rPr>
        <w:t>In the Merton</w:t>
      </w:r>
      <w:r>
        <w:t>’</w:t>
      </w:r>
      <w:r>
        <w:rPr>
          <w:rFonts w:ascii="Times New Roman" w:eastAsia="Times New Roman" w:hAnsi="Times New Roman" w:cs="Times New Roman"/>
        </w:rPr>
        <w:t xml:space="preserve">s original model, </w:t>
      </w:r>
      <w:r>
        <w:rPr>
          <w:rFonts w:ascii="Times New Roman" w:eastAsia="Times New Roman" w:hAnsi="Times New Roman" w:cs="Times New Roman"/>
        </w:rPr>
        <w:t xml:space="preserve">the shareholders own the corporate entity and owe the corporate debt to the firm creditors. In case of a bankruptcy, they </w:t>
      </w:r>
      <w:r>
        <w:t>‘</w:t>
      </w:r>
      <w:r>
        <w:rPr>
          <w:rFonts w:ascii="Times New Roman" w:eastAsia="Times New Roman" w:hAnsi="Times New Roman" w:cs="Times New Roman"/>
        </w:rPr>
        <w:t>walk away</w:t>
      </w:r>
      <w:r>
        <w:t xml:space="preserve">’ </w:t>
      </w:r>
      <w:r>
        <w:rPr>
          <w:rFonts w:ascii="Times New Roman" w:eastAsia="Times New Roman" w:hAnsi="Times New Roman" w:cs="Times New Roman"/>
        </w:rPr>
        <w:t>from their debt by abandoning the assets to the creditors. This possibility is in fact a put option on the corporate asset</w:t>
      </w:r>
      <w:r>
        <w:rPr>
          <w:rFonts w:ascii="Times New Roman" w:eastAsia="Times New Roman" w:hAnsi="Times New Roman" w:cs="Times New Roman"/>
        </w:rPr>
        <w:t>s whose strike price is the facial debt value. The corporation</w:t>
      </w:r>
      <w:r>
        <w:t>’</w:t>
      </w:r>
      <w:r>
        <w:rPr>
          <w:rFonts w:ascii="Times New Roman" w:eastAsia="Times New Roman" w:hAnsi="Times New Roman" w:cs="Times New Roman"/>
        </w:rPr>
        <w:t>s debt value is the value of its assets in excess of the equity. Corporate shareholders are then long of a put option written on the corporate firm assets. According to the call put parity rela</w:t>
      </w:r>
      <w:r>
        <w:rPr>
          <w:rFonts w:ascii="Times New Roman" w:eastAsia="Times New Roman" w:hAnsi="Times New Roman" w:cs="Times New Roman"/>
        </w:rPr>
        <w:t>tionship, this is equivalent to be long of a call on the assets whose strike price is the face value of the corporate debt. Conversely, corporate creditors are short of the put option on the assets described above.</w:t>
      </w:r>
    </w:p>
    <w:p w:rsidR="00EE13F6" w:rsidRDefault="002E5BC4">
      <w:pPr>
        <w:spacing w:after="5" w:line="271" w:lineRule="auto"/>
        <w:ind w:left="-14" w:firstLine="239"/>
        <w:jc w:val="both"/>
      </w:pPr>
      <w:r>
        <w:rPr>
          <w:rFonts w:ascii="Times New Roman" w:eastAsia="Times New Roman" w:hAnsi="Times New Roman" w:cs="Times New Roman"/>
        </w:rPr>
        <w:t>Further developments of this structural m</w:t>
      </w:r>
      <w:r>
        <w:rPr>
          <w:rFonts w:ascii="Times New Roman" w:eastAsia="Times New Roman" w:hAnsi="Times New Roman" w:cs="Times New Roman"/>
        </w:rPr>
        <w:t>odel were introduced by Black and Cox (</w:t>
      </w:r>
      <w:r>
        <w:rPr>
          <w:rFonts w:ascii="Times New Roman" w:eastAsia="Times New Roman" w:hAnsi="Times New Roman" w:cs="Times New Roman"/>
          <w:color w:val="00007F"/>
        </w:rPr>
        <w:t>1976</w:t>
      </w:r>
      <w:r>
        <w:rPr>
          <w:rFonts w:ascii="Times New Roman" w:eastAsia="Times New Roman" w:hAnsi="Times New Roman" w:cs="Times New Roman"/>
        </w:rPr>
        <w:t xml:space="preserve">), developed later </w:t>
      </w:r>
      <w:r>
        <w:rPr>
          <w:rFonts w:ascii="Times New Roman" w:eastAsia="Times New Roman" w:hAnsi="Times New Roman" w:cs="Times New Roman"/>
        </w:rPr>
        <w:lastRenderedPageBreak/>
        <w:t>by Leland (</w:t>
      </w:r>
      <w:r>
        <w:rPr>
          <w:rFonts w:ascii="Times New Roman" w:eastAsia="Times New Roman" w:hAnsi="Times New Roman" w:cs="Times New Roman"/>
          <w:color w:val="00007F"/>
        </w:rPr>
        <w:t>1994</w:t>
      </w:r>
      <w:r>
        <w:rPr>
          <w:rFonts w:ascii="Times New Roman" w:eastAsia="Times New Roman" w:hAnsi="Times New Roman" w:cs="Times New Roman"/>
        </w:rPr>
        <w:t xml:space="preserve">), then by KMV (Vasicek </w:t>
      </w:r>
      <w:r>
        <w:rPr>
          <w:rFonts w:ascii="Times New Roman" w:eastAsia="Times New Roman" w:hAnsi="Times New Roman" w:cs="Times New Roman"/>
          <w:color w:val="00007F"/>
        </w:rPr>
        <w:t>2012</w:t>
      </w:r>
      <w:r>
        <w:rPr>
          <w:rFonts w:ascii="Times New Roman" w:eastAsia="Times New Roman" w:hAnsi="Times New Roman" w:cs="Times New Roman"/>
        </w:rPr>
        <w:t>). According to these authors, an event of corporate default occurs when the asset value of a firm crosses a predetermined threshold (</w:t>
      </w:r>
      <w:r>
        <w:t>‘</w:t>
      </w:r>
      <w:r>
        <w:rPr>
          <w:rFonts w:ascii="Times New Roman" w:eastAsia="Times New Roman" w:hAnsi="Times New Roman" w:cs="Times New Roman"/>
        </w:rPr>
        <w:t>default barrier</w:t>
      </w:r>
      <w:r>
        <w:t>’</w:t>
      </w:r>
      <w:r>
        <w:rPr>
          <w:rFonts w:ascii="Times New Roman" w:eastAsia="Times New Roman" w:hAnsi="Times New Roman" w:cs="Times New Roman"/>
        </w:rPr>
        <w:t>).</w:t>
      </w:r>
    </w:p>
    <w:p w:rsidR="00EE13F6" w:rsidRDefault="002E5BC4">
      <w:pPr>
        <w:spacing w:after="5" w:line="271" w:lineRule="auto"/>
        <w:ind w:left="-14" w:firstLine="239"/>
        <w:jc w:val="both"/>
      </w:pPr>
      <w:r>
        <w:rPr>
          <w:rFonts w:ascii="Times New Roman" w:eastAsia="Times New Roman" w:hAnsi="Times New Roman" w:cs="Times New Roman"/>
        </w:rPr>
        <w:t>Assuming the asset value is A, the default of any given corporation will occur whenever the asset value A falls below an amount LD which is the product of the facial debt and the fraction L of debt which is recoverable by the creditors through the corpo</w:t>
      </w:r>
      <w:r>
        <w:rPr>
          <w:rFonts w:ascii="Times New Roman" w:eastAsia="Times New Roman" w:hAnsi="Times New Roman" w:cs="Times New Roman"/>
        </w:rPr>
        <w:t xml:space="preserve">rate liquidation process. Consequently, the occurrence of a corporate default can be directly related to the path followed by the corporate assets value and a barrier option written on the corporation assets (a put option). This put </w:t>
      </w:r>
      <w:r>
        <w:t>‘</w:t>
      </w:r>
      <w:r>
        <w:rPr>
          <w:rFonts w:ascii="Times New Roman" w:eastAsia="Times New Roman" w:hAnsi="Times New Roman" w:cs="Times New Roman"/>
        </w:rPr>
        <w:t>asset</w:t>
      </w:r>
      <w:r>
        <w:t xml:space="preserve">’ </w:t>
      </w:r>
      <w:r>
        <w:rPr>
          <w:rFonts w:ascii="Times New Roman" w:eastAsia="Times New Roman" w:hAnsi="Times New Roman" w:cs="Times New Roman"/>
        </w:rPr>
        <w:t>option is in fa</w:t>
      </w:r>
      <w:r>
        <w:rPr>
          <w:rFonts w:ascii="Times New Roman" w:eastAsia="Times New Roman" w:hAnsi="Times New Roman" w:cs="Times New Roman"/>
        </w:rPr>
        <w:t xml:space="preserve">ct an </w:t>
      </w:r>
      <w:r>
        <w:t>‘</w:t>
      </w:r>
      <w:r>
        <w:rPr>
          <w:rFonts w:ascii="Times New Roman" w:eastAsia="Times New Roman" w:hAnsi="Times New Roman" w:cs="Times New Roman"/>
        </w:rPr>
        <w:t>American Reverse Down and In Put Barrier option</w:t>
      </w:r>
      <w:r>
        <w:t xml:space="preserve">’ </w:t>
      </w:r>
      <w:r>
        <w:rPr>
          <w:rFonts w:ascii="Times New Roman" w:eastAsia="Times New Roman" w:hAnsi="Times New Roman" w:cs="Times New Roman"/>
        </w:rPr>
        <w:t>because it has a barrier feature and the barrier is less</w:t>
      </w:r>
    </w:p>
    <w:p w:rsidR="00EE13F6" w:rsidRDefault="002E5BC4">
      <w:pPr>
        <w:spacing w:after="312" w:line="313" w:lineRule="auto"/>
        <w:ind w:left="-5" w:hanging="10"/>
      </w:pPr>
      <w:r>
        <w:rPr>
          <w:sz w:val="15"/>
        </w:rPr>
        <w:t>8</w:t>
      </w:r>
    </w:p>
    <w:p w:rsidR="00EE13F6" w:rsidRDefault="002E5BC4">
      <w:pPr>
        <w:spacing w:after="5" w:line="271" w:lineRule="auto"/>
        <w:ind w:left="-4" w:hanging="10"/>
        <w:jc w:val="both"/>
      </w:pPr>
      <w:r>
        <w:rPr>
          <w:rFonts w:ascii="Times New Roman" w:eastAsia="Times New Roman" w:hAnsi="Times New Roman" w:cs="Times New Roman"/>
        </w:rPr>
        <w:t>that the strike, and it is activated when the stock value reaches a certain level consistent with LD.</w:t>
      </w:r>
    </w:p>
    <w:p w:rsidR="00EE13F6" w:rsidRDefault="002E5BC4">
      <w:pPr>
        <w:spacing w:after="274" w:line="271" w:lineRule="auto"/>
        <w:ind w:left="-14" w:firstLine="240"/>
        <w:jc w:val="both"/>
      </w:pPr>
      <w:r>
        <w:rPr>
          <w:rFonts w:ascii="Times New Roman" w:eastAsia="Times New Roman" w:hAnsi="Times New Roman" w:cs="Times New Roman"/>
        </w:rPr>
        <w:t>We assume the fact that the value of assets follows a stochastic diffusion process:</w:t>
      </w:r>
    </w:p>
    <w:p w:rsidR="00EE13F6" w:rsidRDefault="002E5BC4">
      <w:pPr>
        <w:spacing w:after="282"/>
        <w:ind w:left="10" w:right="12" w:hanging="10"/>
        <w:jc w:val="center"/>
      </w:pPr>
      <w:r>
        <w:rPr>
          <w:rFonts w:ascii="Times New Roman" w:eastAsia="Times New Roman" w:hAnsi="Times New Roman" w:cs="Times New Roman"/>
        </w:rPr>
        <w:t>d</w:t>
      </w:r>
      <w:r>
        <w:t>A</w:t>
      </w:r>
      <w:r>
        <w:rPr>
          <w:vertAlign w:val="subscript"/>
        </w:rPr>
        <w:t xml:space="preserve">t </w:t>
      </w:r>
      <w:r>
        <w:t xml:space="preserve">¼ μ </w:t>
      </w:r>
      <w:r>
        <w:rPr>
          <w:rFonts w:ascii="Times New Roman" w:eastAsia="Times New Roman" w:hAnsi="Times New Roman" w:cs="Times New Roman"/>
        </w:rPr>
        <w:t>d</w:t>
      </w:r>
      <w:r>
        <w:t>t þ σ</w:t>
      </w:r>
      <w:r>
        <w:rPr>
          <w:vertAlign w:val="subscript"/>
        </w:rPr>
        <w:t>a</w:t>
      </w:r>
      <w:r>
        <w:rPr>
          <w:rFonts w:ascii="Times New Roman" w:eastAsia="Times New Roman" w:hAnsi="Times New Roman" w:cs="Times New Roman"/>
        </w:rPr>
        <w:t>d</w:t>
      </w:r>
      <w:r>
        <w:t>W</w:t>
      </w:r>
      <w:r>
        <w:rPr>
          <w:vertAlign w:val="subscript"/>
        </w:rPr>
        <w:t>a</w:t>
      </w:r>
      <w:r>
        <w:rPr>
          <w:vertAlign w:val="superscript"/>
        </w:rPr>
        <w:t>t</w:t>
      </w:r>
    </w:p>
    <w:p w:rsidR="00EE13F6" w:rsidRDefault="002E5BC4">
      <w:pPr>
        <w:spacing w:after="5" w:line="271" w:lineRule="auto"/>
        <w:ind w:left="-4" w:hanging="10"/>
        <w:jc w:val="both"/>
      </w:pPr>
      <w:r>
        <w:rPr>
          <w:rFonts w:ascii="Times New Roman" w:eastAsia="Times New Roman" w:hAnsi="Times New Roman" w:cs="Times New Roman"/>
        </w:rPr>
        <w:t>Then the default time is in fact the first hitting time of a Brownian motion process (hitting A = LD), whose computation is well established, once the d</w:t>
      </w:r>
      <w:r>
        <w:rPr>
          <w:rFonts w:ascii="Times New Roman" w:eastAsia="Times New Roman" w:hAnsi="Times New Roman" w:cs="Times New Roman"/>
        </w:rPr>
        <w:t>rift and the volatility of the diffusion process are known.</w:t>
      </w:r>
    </w:p>
    <w:p w:rsidR="00EE13F6" w:rsidRDefault="002E5BC4">
      <w:pPr>
        <w:spacing w:after="658" w:line="271" w:lineRule="auto"/>
        <w:ind w:left="-14" w:firstLine="240"/>
        <w:jc w:val="both"/>
      </w:pPr>
      <w:r>
        <w:rPr>
          <w:rFonts w:ascii="Times New Roman" w:eastAsia="Times New Roman" w:hAnsi="Times New Roman" w:cs="Times New Roman"/>
        </w:rPr>
        <w:t>This concept is largely used nowadays in the credit markets. For instance, some instruments such as collateralized debt obligations retain a notion of default for any given corporate risk, which i</w:t>
      </w:r>
      <w:r>
        <w:rPr>
          <w:rFonts w:ascii="Times New Roman" w:eastAsia="Times New Roman" w:hAnsi="Times New Roman" w:cs="Times New Roman"/>
        </w:rPr>
        <w:t>s defined in terms of the corporate equity share value dropping below a predetermined threshold. However, the structural model and its further developments consider the asset volatility which is not directly observable on the market and which has to be der</w:t>
      </w:r>
      <w:r>
        <w:rPr>
          <w:rFonts w:ascii="Times New Roman" w:eastAsia="Times New Roman" w:hAnsi="Times New Roman" w:cs="Times New Roman"/>
        </w:rPr>
        <w:t>ived from the equity volatility and the corporation</w:t>
      </w:r>
      <w:r>
        <w:t>’</w:t>
      </w:r>
      <w:r>
        <w:rPr>
          <w:rFonts w:ascii="Times New Roman" w:eastAsia="Times New Roman" w:hAnsi="Times New Roman" w:cs="Times New Roman"/>
        </w:rPr>
        <w:t>s balance sheet structure.</w:t>
      </w:r>
    </w:p>
    <w:p w:rsidR="00EE13F6" w:rsidRDefault="002E5BC4">
      <w:pPr>
        <w:spacing w:after="141" w:line="261" w:lineRule="auto"/>
        <w:ind w:left="-5" w:hanging="10"/>
      </w:pPr>
      <w:r>
        <w:rPr>
          <w:color w:val="841F27"/>
          <w:sz w:val="21"/>
        </w:rPr>
        <w:t>Impact of the FTT on the corporate credit spreads: mechanism at play</w:t>
      </w:r>
    </w:p>
    <w:p w:rsidR="00EE13F6" w:rsidRDefault="002E5BC4">
      <w:pPr>
        <w:spacing w:after="5" w:line="271" w:lineRule="auto"/>
        <w:ind w:left="-4" w:hanging="10"/>
        <w:jc w:val="both"/>
      </w:pPr>
      <w:r>
        <w:rPr>
          <w:rFonts w:ascii="Times New Roman" w:eastAsia="Times New Roman" w:hAnsi="Times New Roman" w:cs="Times New Roman"/>
        </w:rPr>
        <w:t>We can deem that economic agents selling protec</w:t>
      </w:r>
      <w:r>
        <w:rPr>
          <w:rFonts w:ascii="Times New Roman" w:eastAsia="Times New Roman" w:hAnsi="Times New Roman" w:cs="Times New Roman"/>
        </w:rPr>
        <w:t xml:space="preserve">tion on the credit default for any given corporation will try to hedge or arbitrage against this risk by buying a put </w:t>
      </w:r>
      <w:r>
        <w:rPr>
          <w:rFonts w:ascii="Times New Roman" w:eastAsia="Times New Roman" w:hAnsi="Times New Roman" w:cs="Times New Roman"/>
        </w:rPr>
        <w:lastRenderedPageBreak/>
        <w:t xml:space="preserve">option on the corporate equity. Because equity option markets are illiquid for maturities beyond 3 years, according to section II, we can </w:t>
      </w:r>
      <w:r>
        <w:rPr>
          <w:rFonts w:ascii="Times New Roman" w:eastAsia="Times New Roman" w:hAnsi="Times New Roman" w:cs="Times New Roman"/>
        </w:rPr>
        <w:t xml:space="preserve">expect an increase in the implied volatility of options sold by market-makers. This is indeed the sell side that matters because we are in fact considering the necessity to buy a Put option from a market-maker. Furthermore, it may happen, that there is no </w:t>
      </w:r>
      <w:r>
        <w:rPr>
          <w:rFonts w:ascii="Times New Roman" w:eastAsia="Times New Roman" w:hAnsi="Times New Roman" w:cs="Times New Roman"/>
        </w:rPr>
        <w:t xml:space="preserve">existing option market at all for the given maturities concerned. In that case, the economic agent selling protection will try to replicate the pay-off of a Put option by building a replicating portfolio consisting of going short of the adequate number of </w:t>
      </w:r>
      <w:r>
        <w:rPr>
          <w:rFonts w:ascii="Times New Roman" w:eastAsia="Times New Roman" w:hAnsi="Times New Roman" w:cs="Times New Roman"/>
        </w:rPr>
        <w:t>shares. The agent will then adjust the number of shares as a result of the underlying share price moves. Finally, the economic agent will incur the same costs generated by the FTT, which are computed according to Boyle and Vorst.</w:t>
      </w:r>
    </w:p>
    <w:p w:rsidR="00EE13F6" w:rsidRDefault="002E5BC4">
      <w:pPr>
        <w:spacing w:after="470" w:line="271" w:lineRule="auto"/>
        <w:ind w:left="-14" w:firstLine="239"/>
        <w:jc w:val="both"/>
      </w:pPr>
      <w:r>
        <w:rPr>
          <w:rFonts w:ascii="Times New Roman" w:eastAsia="Times New Roman" w:hAnsi="Times New Roman" w:cs="Times New Roman"/>
        </w:rPr>
        <w:t>In order to assess the imp</w:t>
      </w:r>
      <w:r>
        <w:rPr>
          <w:rFonts w:ascii="Times New Roman" w:eastAsia="Times New Roman" w:hAnsi="Times New Roman" w:cs="Times New Roman"/>
        </w:rPr>
        <w:t>act of the FTT on corporate credit spreads, using the option barrier framework set forth above, we will consider a standard model by the name of CreditGrades established initially by Finkelstein et al. (</w:t>
      </w:r>
      <w:r>
        <w:rPr>
          <w:rFonts w:ascii="Times New Roman" w:eastAsia="Times New Roman" w:hAnsi="Times New Roman" w:cs="Times New Roman"/>
          <w:color w:val="00007F"/>
        </w:rPr>
        <w:t>2002</w:t>
      </w:r>
      <w:r>
        <w:rPr>
          <w:rFonts w:ascii="Times New Roman" w:eastAsia="Times New Roman" w:hAnsi="Times New Roman" w:cs="Times New Roman"/>
        </w:rPr>
        <w:t>) and which is widely used in today</w:t>
      </w:r>
      <w:r>
        <w:t>’</w:t>
      </w:r>
      <w:r>
        <w:rPr>
          <w:rFonts w:ascii="Times New Roman" w:eastAsia="Times New Roman" w:hAnsi="Times New Roman" w:cs="Times New Roman"/>
        </w:rPr>
        <w:t>s markets.</w:t>
      </w:r>
    </w:p>
    <w:p w:rsidR="00EE13F6" w:rsidRDefault="002E5BC4">
      <w:pPr>
        <w:spacing w:after="141" w:line="261" w:lineRule="auto"/>
        <w:ind w:left="-5" w:hanging="10"/>
      </w:pPr>
      <w:r>
        <w:rPr>
          <w:color w:val="841F27"/>
          <w:sz w:val="21"/>
        </w:rPr>
        <w:t>The CreditGrades model</w:t>
      </w:r>
    </w:p>
    <w:p w:rsidR="00EE13F6" w:rsidRDefault="002E5BC4">
      <w:pPr>
        <w:spacing w:after="337" w:line="271" w:lineRule="auto"/>
        <w:ind w:left="-4" w:hanging="10"/>
        <w:jc w:val="both"/>
      </w:pPr>
      <w:r>
        <w:rPr>
          <w:rFonts w:ascii="Times New Roman" w:eastAsia="Times New Roman" w:hAnsi="Times New Roman" w:cs="Times New Roman"/>
        </w:rPr>
        <w:t xml:space="preserve">JP Morgan implemented in 1999 a service called CreditGrades (Finkelstein et al. </w:t>
      </w:r>
      <w:r>
        <w:rPr>
          <w:rFonts w:ascii="Times New Roman" w:eastAsia="Times New Roman" w:hAnsi="Times New Roman" w:cs="Times New Roman"/>
          <w:color w:val="00007F"/>
        </w:rPr>
        <w:t>2002</w:t>
      </w:r>
      <w:r>
        <w:rPr>
          <w:rFonts w:ascii="Times New Roman" w:eastAsia="Times New Roman" w:hAnsi="Times New Roman" w:cs="Times New Roman"/>
        </w:rPr>
        <w:t>) and began using this approach, using a structural model of the corporation. In a nutshell, this tool deducts corporate credit spreads for CDS for b</w:t>
      </w:r>
      <w:r>
        <w:rPr>
          <w:rFonts w:ascii="Times New Roman" w:eastAsia="Times New Roman" w:hAnsi="Times New Roman" w:cs="Times New Roman"/>
        </w:rPr>
        <w:t>oth the company</w:t>
      </w:r>
      <w:r>
        <w:t>’</w:t>
      </w:r>
      <w:r>
        <w:rPr>
          <w:rFonts w:ascii="Times New Roman" w:eastAsia="Times New Roman" w:hAnsi="Times New Roman" w:cs="Times New Roman"/>
        </w:rPr>
        <w:t xml:space="preserve">s asset volatility and leverage, using a Black and Cox structural model approach, and results established by various authors (see Lardy </w:t>
      </w:r>
      <w:r>
        <w:rPr>
          <w:rFonts w:ascii="Times New Roman" w:eastAsia="Times New Roman" w:hAnsi="Times New Roman" w:cs="Times New Roman"/>
          <w:color w:val="00007F"/>
        </w:rPr>
        <w:t>2001</w:t>
      </w:r>
      <w:r>
        <w:rPr>
          <w:rFonts w:ascii="Times New Roman" w:eastAsia="Times New Roman" w:hAnsi="Times New Roman" w:cs="Times New Roman"/>
        </w:rPr>
        <w:t xml:space="preserve">, Musiela and Rutkowski </w:t>
      </w:r>
      <w:r>
        <w:rPr>
          <w:rFonts w:ascii="Times New Roman" w:eastAsia="Times New Roman" w:hAnsi="Times New Roman" w:cs="Times New Roman"/>
          <w:color w:val="00007F"/>
        </w:rPr>
        <w:t>1998</w:t>
      </w:r>
      <w:r>
        <w:rPr>
          <w:rFonts w:ascii="Times New Roman" w:eastAsia="Times New Roman" w:hAnsi="Times New Roman" w:cs="Times New Roman"/>
        </w:rPr>
        <w:t>).</w:t>
      </w:r>
    </w:p>
    <w:p w:rsidR="00EE13F6" w:rsidRDefault="002E5BC4">
      <w:pPr>
        <w:spacing w:after="2" w:line="261" w:lineRule="auto"/>
        <w:ind w:left="-5" w:hanging="10"/>
      </w:pPr>
      <w:r>
        <w:rPr>
          <w:color w:val="841F27"/>
          <w:sz w:val="21"/>
        </w:rPr>
        <w:t>Assumptions</w:t>
      </w:r>
    </w:p>
    <w:p w:rsidR="00EE13F6" w:rsidRDefault="002E5BC4">
      <w:pPr>
        <w:spacing w:after="344" w:line="271" w:lineRule="auto"/>
        <w:ind w:left="-4" w:hanging="10"/>
        <w:jc w:val="both"/>
      </w:pPr>
      <w:r>
        <w:rPr>
          <w:rFonts w:ascii="Times New Roman" w:eastAsia="Times New Roman" w:hAnsi="Times New Roman" w:cs="Times New Roman"/>
        </w:rPr>
        <w:t>The following assumptions are quite standard</w:t>
      </w:r>
      <w:r>
        <w:rPr>
          <w:rFonts w:ascii="Times New Roman" w:eastAsia="Times New Roman" w:hAnsi="Times New Roman" w:cs="Times New Roman"/>
          <w:color w:val="00007F"/>
          <w:vertAlign w:val="superscript"/>
        </w:rPr>
        <w:t>1</w:t>
      </w:r>
      <w:r>
        <w:rPr>
          <w:rFonts w:ascii="Times New Roman" w:eastAsia="Times New Roman" w:hAnsi="Times New Roman" w:cs="Times New Roman"/>
        </w:rPr>
        <w:t>:</w:t>
      </w:r>
    </w:p>
    <w:p w:rsidR="00EE13F6" w:rsidRDefault="002E5BC4" w:rsidP="002E5BC4">
      <w:pPr>
        <w:numPr>
          <w:ilvl w:val="0"/>
          <w:numId w:val="53"/>
        </w:numPr>
        <w:spacing w:after="107" w:line="327" w:lineRule="auto"/>
        <w:ind w:left="503" w:hanging="264"/>
        <w:jc w:val="both"/>
      </w:pPr>
      <w:r>
        <w:rPr>
          <w:rFonts w:ascii="Times New Roman" w:eastAsia="Times New Roman" w:hAnsi="Times New Roman" w:cs="Times New Roman"/>
        </w:rPr>
        <w:t xml:space="preserve">The corporate asset value </w:t>
      </w:r>
      <w:r>
        <w:t>V</w:t>
      </w:r>
      <w:r>
        <w:rPr>
          <w:vertAlign w:val="subscript"/>
        </w:rPr>
        <w:t xml:space="preserve">t </w:t>
      </w:r>
      <w:r>
        <w:rPr>
          <w:rFonts w:ascii="Times New Roman" w:eastAsia="Times New Roman" w:hAnsi="Times New Roman" w:cs="Times New Roman"/>
        </w:rPr>
        <w:t xml:space="preserve">evolves as a geometric Brownian motion process </w:t>
      </w:r>
      <w:r>
        <w:rPr>
          <w:rFonts w:ascii="Times New Roman" w:eastAsia="Times New Roman" w:hAnsi="Times New Roman" w:cs="Times New Roman"/>
          <w:u w:val="single" w:color="000000"/>
          <w:vertAlign w:val="superscript"/>
        </w:rPr>
        <w:t>d</w:t>
      </w:r>
      <w:r>
        <w:rPr>
          <w:vertAlign w:val="subscript"/>
        </w:rPr>
        <w:t>V</w:t>
      </w:r>
      <w:r>
        <w:rPr>
          <w:u w:val="single" w:color="000000"/>
          <w:vertAlign w:val="superscript"/>
        </w:rPr>
        <w:t>V</w:t>
      </w:r>
      <w:r>
        <w:rPr>
          <w:sz w:val="11"/>
        </w:rPr>
        <w:t>t</w:t>
      </w:r>
      <w:r>
        <w:rPr>
          <w:sz w:val="17"/>
          <w:u w:val="single" w:color="000000"/>
          <w:vertAlign w:val="superscript"/>
        </w:rPr>
        <w:t xml:space="preserve">t </w:t>
      </w:r>
      <w:r>
        <w:t>¼ σ</w:t>
      </w:r>
      <w:r>
        <w:rPr>
          <w:vertAlign w:val="subscript"/>
        </w:rPr>
        <w:t>A</w:t>
      </w:r>
      <w:r>
        <w:rPr>
          <w:rFonts w:ascii="Times New Roman" w:eastAsia="Times New Roman" w:hAnsi="Times New Roman" w:cs="Times New Roman"/>
        </w:rPr>
        <w:t>d</w:t>
      </w:r>
      <w:r>
        <w:t>W</w:t>
      </w:r>
      <w:r>
        <w:rPr>
          <w:vertAlign w:val="subscript"/>
        </w:rPr>
        <w:t>t</w:t>
      </w:r>
      <w:r>
        <w:rPr>
          <w:rFonts w:ascii="Times New Roman" w:eastAsia="Times New Roman" w:hAnsi="Times New Roman" w:cs="Times New Roman"/>
        </w:rPr>
        <w:t>.</w:t>
      </w:r>
    </w:p>
    <w:p w:rsidR="00EE13F6" w:rsidRDefault="002E5BC4" w:rsidP="002E5BC4">
      <w:pPr>
        <w:numPr>
          <w:ilvl w:val="0"/>
          <w:numId w:val="53"/>
        </w:numPr>
        <w:spacing w:after="5" w:line="271" w:lineRule="auto"/>
        <w:ind w:left="503" w:hanging="264"/>
        <w:jc w:val="both"/>
      </w:pPr>
      <w:r>
        <w:lastRenderedPageBreak/>
        <w:t>W</w:t>
      </w:r>
      <w:r>
        <w:rPr>
          <w:vertAlign w:val="subscript"/>
        </w:rPr>
        <w:t xml:space="preserve">t </w:t>
      </w:r>
      <w:r>
        <w:rPr>
          <w:rFonts w:ascii="Times New Roman" w:eastAsia="Times New Roman" w:hAnsi="Times New Roman" w:cs="Times New Roman"/>
        </w:rPr>
        <w:t xml:space="preserve">is a standard Brownian motion process </w:t>
      </w:r>
      <w:r>
        <w:t>σ</w:t>
      </w:r>
      <w:r>
        <w:rPr>
          <w:vertAlign w:val="subscript"/>
        </w:rPr>
        <w:t xml:space="preserve">A </w:t>
      </w:r>
      <w:r>
        <w:rPr>
          <w:rFonts w:ascii="Times New Roman" w:eastAsia="Times New Roman" w:hAnsi="Times New Roman" w:cs="Times New Roman"/>
        </w:rPr>
        <w:t>is the asset volatility.</w:t>
      </w:r>
    </w:p>
    <w:p w:rsidR="00EE13F6" w:rsidRDefault="002E5BC4" w:rsidP="002E5BC4">
      <w:pPr>
        <w:numPr>
          <w:ilvl w:val="0"/>
          <w:numId w:val="53"/>
        </w:numPr>
        <w:spacing w:after="5" w:line="271" w:lineRule="auto"/>
        <w:ind w:left="503" w:hanging="264"/>
        <w:jc w:val="both"/>
      </w:pPr>
      <w:r>
        <w:rPr>
          <w:rFonts w:ascii="Times New Roman" w:eastAsia="Times New Roman" w:hAnsi="Times New Roman" w:cs="Times New Roman"/>
        </w:rPr>
        <w:t xml:space="preserve">The recovery rate </w:t>
      </w:r>
      <w:r>
        <w:t xml:space="preserve">L </w:t>
      </w:r>
      <w:r>
        <w:rPr>
          <w:rFonts w:ascii="Times New Roman" w:eastAsia="Times New Roman" w:hAnsi="Times New Roman" w:cs="Times New Roman"/>
        </w:rPr>
        <w:t xml:space="preserve">follows a log-normal distribution with mean </w:t>
      </w:r>
      <w:r>
        <w:t xml:space="preserve">L </w:t>
      </w:r>
      <w:r>
        <w:rPr>
          <w:rFonts w:ascii="Times New Roman" w:eastAsia="Times New Roman" w:hAnsi="Times New Roman" w:cs="Times New Roman"/>
        </w:rPr>
        <w:t xml:space="preserve">and standard deviation </w:t>
      </w:r>
      <w:r>
        <w:t>λ</w:t>
      </w:r>
      <w:r>
        <w:rPr>
          <w:rFonts w:ascii="Times New Roman" w:eastAsia="Times New Roman" w:hAnsi="Times New Roman" w:cs="Times New Roman"/>
        </w:rPr>
        <w:t xml:space="preserve">. Corporate debt is </w:t>
      </w:r>
      <w:r>
        <w:t>D</w:t>
      </w:r>
      <w:r>
        <w:rPr>
          <w:vertAlign w:val="subscript"/>
        </w:rPr>
        <w:t xml:space="preserve">t </w:t>
      </w:r>
      <w:r>
        <w:rPr>
          <w:rFonts w:ascii="Times New Roman" w:eastAsia="Times New Roman" w:hAnsi="Times New Roman" w:cs="Times New Roman"/>
        </w:rPr>
        <w:t xml:space="preserve">default does not occur as long as </w:t>
      </w:r>
      <w:r>
        <w:t>V</w:t>
      </w:r>
      <w:r>
        <w:rPr>
          <w:vertAlign w:val="subscript"/>
        </w:rPr>
        <w:t xml:space="preserve">t </w:t>
      </w:r>
      <w:r>
        <w:t>&gt; LD</w:t>
      </w:r>
      <w:r>
        <w:rPr>
          <w:vertAlign w:val="subscript"/>
        </w:rPr>
        <w:t>t</w:t>
      </w:r>
    </w:p>
    <w:p w:rsidR="00EE13F6" w:rsidRDefault="002E5BC4" w:rsidP="002E5BC4">
      <w:pPr>
        <w:numPr>
          <w:ilvl w:val="0"/>
          <w:numId w:val="53"/>
        </w:numPr>
        <w:spacing w:after="450" w:line="271" w:lineRule="auto"/>
        <w:ind w:left="503" w:hanging="264"/>
        <w:jc w:val="both"/>
      </w:pPr>
      <w:r>
        <w:rPr>
          <w:rFonts w:ascii="Times New Roman" w:eastAsia="Times New Roman" w:hAnsi="Times New Roman" w:cs="Times New Roman"/>
        </w:rPr>
        <w:t>Assumptions (b) and (c) imply that defaultdoes not occur as long as at the following condition holds:</w:t>
      </w:r>
    </w:p>
    <w:p w:rsidR="00EE13F6" w:rsidRDefault="002E5BC4">
      <w:pPr>
        <w:tabs>
          <w:tab w:val="center" w:pos="750"/>
          <w:tab w:val="center" w:pos="2768"/>
        </w:tabs>
        <w:spacing w:after="184" w:line="271" w:lineRule="auto"/>
      </w:pPr>
      <w:r>
        <w:tab/>
      </w:r>
      <w:r>
        <w:t>V</w:t>
      </w:r>
      <w:r>
        <w:rPr>
          <w:rFonts w:ascii="Times New Roman" w:eastAsia="Times New Roman" w:hAnsi="Times New Roman" w:cs="Times New Roman"/>
          <w:vertAlign w:val="subscript"/>
        </w:rPr>
        <w:t xml:space="preserve">0 </w:t>
      </w:r>
      <w:r>
        <w:rPr>
          <w:rFonts w:ascii="Times New Roman" w:eastAsia="Times New Roman" w:hAnsi="Times New Roman" w:cs="Times New Roman"/>
        </w:rPr>
        <w:t>exp</w:t>
      </w:r>
      <w:r>
        <w:rPr>
          <w:rFonts w:ascii="Times New Roman" w:eastAsia="Times New Roman" w:hAnsi="Times New Roman" w:cs="Times New Roman"/>
        </w:rPr>
        <w:tab/>
      </w:r>
      <w:r>
        <w:rPr>
          <w:noProof/>
        </w:rPr>
        <mc:AlternateContent>
          <mc:Choice Requires="wpg">
            <w:drawing>
              <wp:inline distT="0" distB="0" distL="0" distR="0">
                <wp:extent cx="101842" cy="418964"/>
                <wp:effectExtent l="0" t="0" r="0" b="0"/>
                <wp:docPr id="222537" name="Group 222537"/>
                <wp:cNvGraphicFramePr/>
                <a:graphic xmlns:a="http://schemas.openxmlformats.org/drawingml/2006/main">
                  <a:graphicData uri="http://schemas.microsoft.com/office/word/2010/wordprocessingGroup">
                    <wpg:wgp>
                      <wpg:cNvGrpSpPr/>
                      <wpg:grpSpPr>
                        <a:xfrm>
                          <a:off x="0" y="0"/>
                          <a:ext cx="101842" cy="418964"/>
                          <a:chOff x="0" y="0"/>
                          <a:chExt cx="101842" cy="418964"/>
                        </a:xfrm>
                      </wpg:grpSpPr>
                      <wps:wsp>
                        <wps:cNvPr id="33629" name="Rectangle 33629"/>
                        <wps:cNvSpPr/>
                        <wps:spPr>
                          <a:xfrm>
                            <a:off x="0" y="0"/>
                            <a:ext cx="135450" cy="557222"/>
                          </a:xfrm>
                          <a:prstGeom prst="rect">
                            <a:avLst/>
                          </a:prstGeom>
                          <a:ln>
                            <a:noFill/>
                          </a:ln>
                        </wps:spPr>
                        <wps:txbx>
                          <w:txbxContent>
                            <w:p w:rsidR="00EE13F6" w:rsidRDefault="00EE13F6"/>
                          </w:txbxContent>
                        </wps:txbx>
                        <wps:bodyPr horzOverflow="overflow" vert="horz" lIns="0" tIns="0" rIns="0" bIns="0" rtlCol="0">
                          <a:noAutofit/>
                        </wps:bodyPr>
                      </wps:wsp>
                    </wpg:wgp>
                  </a:graphicData>
                </a:graphic>
              </wp:inline>
            </w:drawing>
          </mc:Choice>
          <mc:Fallback>
            <w:pict>
              <v:group id="Group 222537" o:spid="_x0000_s2064" style="width:8pt;height:33pt;mso-position-horizontal-relative:char;mso-position-vertical-relative:line" coordsize="101842,41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">
                <v:rect id="Rectangle 33629" o:spid="_x0000_s2065" style="position:absolute;width:135450;height:557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SvsYA&#10;AADeAAAADwAAAGRycy9kb3ducmV2LnhtbESPT4vCMBTE74LfITzBm6YqiO0aRXRFj/4Dd2+P5m1b&#10;bF5Kk7Xd/fRGEDwOM/MbZr5sTSnuVLvCsoLRMAJBnFpdcKbgct4OZiCcR9ZYWiYFf+Rgueh25pho&#10;2/CR7iefiQBhl6CC3PsqkdKlORl0Q1sRB+/H1gZ9kHUmdY1NgJtSjqNoKg0WHBZyrGidU3o7/RoF&#10;u1m1+trb/yYrP79318M13pxjr1S/164+QHhq/Tv8au+1gslkOo7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JSvsYAAADeAAAADwAAAAAAAAAAAAAAAACYAgAAZHJz&#10;L2Rvd25yZXYueG1sUEsFBgAAAAAEAAQA9QAAAIsDAAAAAA==&#10;" filled="f" stroked="f">
                  <v:textbox inset="0,0,0,0">
                    <w:txbxContent>
                      <w:p w:rsidR="00EE13F6" w:rsidRDefault="00EE13F6"/>
                    </w:txbxContent>
                  </v:textbox>
                </v:rect>
                <w10:anchorlock/>
              </v:group>
            </w:pict>
          </mc:Fallback>
        </mc:AlternateContent>
      </w:r>
      <w:r>
        <w:t>W</w:t>
      </w:r>
      <w:r>
        <w:rPr>
          <w:vertAlign w:val="subscript"/>
        </w:rPr>
        <w:t>t</w:t>
      </w:r>
      <w:r>
        <w:t>σ</w:t>
      </w:r>
      <w:r>
        <w:rPr>
          <w:vertAlign w:val="subscript"/>
        </w:rPr>
        <w:t xml:space="preserve">A </w:t>
      </w:r>
      <w:r>
        <w:t xml:space="preserve"> </w:t>
      </w:r>
      <w:r>
        <w:rPr>
          <w:noProof/>
        </w:rPr>
        <mc:AlternateContent>
          <mc:Choice Requires="wpg">
            <w:drawing>
              <wp:inline distT="0" distB="0" distL="0" distR="0">
                <wp:extent cx="66954" cy="5042"/>
                <wp:effectExtent l="0" t="0" r="0" b="0"/>
                <wp:docPr id="219914" name="Group 219914"/>
                <wp:cNvGraphicFramePr/>
                <a:graphic xmlns:a="http://schemas.openxmlformats.org/drawingml/2006/main">
                  <a:graphicData uri="http://schemas.microsoft.com/office/word/2010/wordprocessingGroup">
                    <wpg:wgp>
                      <wpg:cNvGrpSpPr/>
                      <wpg:grpSpPr>
                        <a:xfrm>
                          <a:off x="0" y="0"/>
                          <a:ext cx="66954" cy="5042"/>
                          <a:chOff x="0" y="0"/>
                          <a:chExt cx="66954" cy="5042"/>
                        </a:xfrm>
                      </wpg:grpSpPr>
                      <wps:wsp>
                        <wps:cNvPr id="230982" name="Shape 230982"/>
                        <wps:cNvSpPr/>
                        <wps:spPr>
                          <a:xfrm>
                            <a:off x="0" y="0"/>
                            <a:ext cx="66954" cy="9144"/>
                          </a:xfrm>
                          <a:custGeom>
                            <a:avLst/>
                            <a:gdLst/>
                            <a:ahLst/>
                            <a:cxnLst/>
                            <a:rect l="0" t="0" r="0" b="0"/>
                            <a:pathLst>
                              <a:path w="66954" h="9144">
                                <a:moveTo>
                                  <a:pt x="0" y="0"/>
                                </a:moveTo>
                                <a:lnTo>
                                  <a:pt x="66954" y="0"/>
                                </a:lnTo>
                                <a:lnTo>
                                  <a:pt x="669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128878" id="Group 219914" o:spid="_x0000_s1026" style="width:5.25pt;height:.4pt;mso-position-horizontal-relative:char;mso-position-vertical-relative:line" coordsize="66954,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">
                <v:shape id="Shape 230982" o:spid="_x0000_s1027" style="position:absolute;width:66954;height:9144;visibility:visible;mso-wrap-style:square;v-text-anchor:top" coordsize="669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GrMcA&#10;AADfAAAADwAAAGRycy9kb3ducmV2LnhtbESPQUsDMRSE70L/Q3gFbzbrLmjdNi2loAgexFoXvD02&#10;r8ni5mVJYnf990YQehxm5htmvZ1cL84UYudZwe2iAEHcet2xUXB8f7xZgogJWWPvmRT8UITtZna1&#10;xlr7kd/ofEhGZAjHGhXYlIZaythachgXfiDO3skHhynLYKQOOGa462VZFHfSYcd5weJAe0vt1+Hb&#10;KbivnpqxMdaMpqls9YkvH6/HoNT1fNqtQCSa0iX8337WCsqqeFiW8Pcnfw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BqzHAAAA3wAAAA8AAAAAAAAAAAAAAAAAmAIAAGRy&#10;cy9kb3ducmV2LnhtbFBLBQYAAAAABAAEAPUAAACMAwAAAAA=&#10;" path="m,l66954,r,9144l,9144,,e" fillcolor="black" stroked="f" strokeweight="0">
                  <v:stroke miterlimit="83231f" joinstyle="miter"/>
                  <v:path arrowok="t" textboxrect="0,0,66954,9144"/>
                </v:shape>
                <w10:anchorlock/>
              </v:group>
            </w:pict>
          </mc:Fallback>
        </mc:AlternateContent>
      </w:r>
      <w:r>
        <w:rPr>
          <w:rFonts w:ascii="Times New Roman" w:eastAsia="Times New Roman" w:hAnsi="Times New Roman" w:cs="Times New Roman"/>
        </w:rPr>
        <w:t xml:space="preserve">12 </w:t>
      </w:r>
      <w:r>
        <w:t>σ</w:t>
      </w:r>
      <w:r>
        <w:rPr>
          <w:rFonts w:ascii="Times New Roman" w:eastAsia="Times New Roman" w:hAnsi="Times New Roman" w:cs="Times New Roman"/>
          <w:vertAlign w:val="superscript"/>
        </w:rPr>
        <w:t>2</w:t>
      </w:r>
      <w:r>
        <w:rPr>
          <w:vertAlign w:val="subscript"/>
        </w:rPr>
        <w:t>A</w:t>
      </w:r>
      <w:r>
        <w:t xml:space="preserve">t &gt; LD </w:t>
      </w:r>
      <w:r>
        <w:rPr>
          <w:rFonts w:ascii="Times New Roman" w:eastAsia="Times New Roman" w:hAnsi="Times New Roman" w:cs="Times New Roman"/>
        </w:rPr>
        <w:t>exp</w:t>
      </w:r>
      <w:r>
        <w:t>ðλ  λ</w:t>
      </w:r>
      <w:r>
        <w:rPr>
          <w:rFonts w:ascii="Times New Roman" w:eastAsia="Times New Roman" w:hAnsi="Times New Roman" w:cs="Times New Roman"/>
          <w:vertAlign w:val="superscript"/>
        </w:rPr>
        <w:t>2</w:t>
      </w:r>
      <w:r>
        <w:t>t =</w:t>
      </w:r>
      <w:r>
        <w:rPr>
          <w:rFonts w:ascii="Times New Roman" w:eastAsia="Times New Roman" w:hAnsi="Times New Roman" w:cs="Times New Roman"/>
        </w:rPr>
        <w:t>2</w:t>
      </w:r>
      <w:r>
        <w:t>Þ</w:t>
      </w:r>
    </w:p>
    <w:tbl>
      <w:tblPr>
        <w:tblStyle w:val="TableGrid"/>
        <w:tblpPr w:vertAnchor="text" w:horzAnchor="margin" w:tblpY="3556"/>
        <w:tblOverlap w:val="never"/>
        <w:tblW w:w="9792" w:type="dxa"/>
        <w:tblInd w:w="0" w:type="dxa"/>
        <w:tblCellMar>
          <w:top w:w="0" w:type="dxa"/>
          <w:left w:w="0" w:type="dxa"/>
          <w:bottom w:w="0" w:type="dxa"/>
          <w:right w:w="2" w:type="dxa"/>
        </w:tblCellMar>
        <w:tblLook w:val="04A0" w:firstRow="1" w:lastRow="0" w:firstColumn="1" w:lastColumn="0" w:noHBand="0" w:noVBand="1"/>
      </w:tblPr>
      <w:tblGrid>
        <w:gridCol w:w="9792"/>
      </w:tblGrid>
      <w:tr w:rsidR="00EE13F6">
        <w:trPr>
          <w:trHeight w:val="178"/>
        </w:trPr>
        <w:tc>
          <w:tcPr>
            <w:tcW w:w="1840" w:type="dxa"/>
            <w:tcBorders>
              <w:top w:val="nil"/>
              <w:left w:val="nil"/>
              <w:bottom w:val="nil"/>
              <w:right w:val="nil"/>
            </w:tcBorders>
          </w:tcPr>
          <w:p w:rsidR="00EE13F6" w:rsidRDefault="002E5BC4">
            <w:pPr>
              <w:spacing w:after="74"/>
            </w:pPr>
            <w:r>
              <w:rPr>
                <w:noProof/>
              </w:rPr>
              <mc:AlternateContent>
                <mc:Choice Requires="wpg">
                  <w:drawing>
                    <wp:inline distT="0" distB="0" distL="0" distR="0">
                      <wp:extent cx="6216486" cy="12243"/>
                      <wp:effectExtent l="0" t="0" r="0" b="0"/>
                      <wp:docPr id="219915" name="Group 219915"/>
                      <wp:cNvGraphicFramePr/>
                      <a:graphic xmlns:a="http://schemas.openxmlformats.org/drawingml/2006/main">
                        <a:graphicData uri="http://schemas.microsoft.com/office/word/2010/wordprocessingGroup">
                          <wpg:wgp>
                            <wpg:cNvGrpSpPr/>
                            <wpg:grpSpPr>
                              <a:xfrm>
                                <a:off x="0" y="0"/>
                                <a:ext cx="6216486" cy="12243"/>
                                <a:chOff x="0" y="0"/>
                                <a:chExt cx="6216486" cy="12243"/>
                              </a:xfrm>
                            </wpg:grpSpPr>
                            <wps:wsp>
                              <wps:cNvPr id="230983" name="Shape 230983"/>
                              <wps:cNvSpPr/>
                              <wps:spPr>
                                <a:xfrm>
                                  <a:off x="0" y="0"/>
                                  <a:ext cx="6216486" cy="12243"/>
                                </a:xfrm>
                                <a:custGeom>
                                  <a:avLst/>
                                  <a:gdLst/>
                                  <a:ahLst/>
                                  <a:cxnLst/>
                                  <a:rect l="0" t="0" r="0" b="0"/>
                                  <a:pathLst>
                                    <a:path w="6216486" h="12243">
                                      <a:moveTo>
                                        <a:pt x="0" y="0"/>
                                      </a:moveTo>
                                      <a:lnTo>
                                        <a:pt x="6216486" y="0"/>
                                      </a:lnTo>
                                      <a:lnTo>
                                        <a:pt x="6216486" y="12243"/>
                                      </a:lnTo>
                                      <a:lnTo>
                                        <a:pt x="0" y="12243"/>
                                      </a:lnTo>
                                      <a:lnTo>
                                        <a:pt x="0" y="0"/>
                                      </a:lnTo>
                                    </a:path>
                                  </a:pathLst>
                                </a:custGeom>
                                <a:ln w="0" cap="rnd">
                                  <a:round/>
                                </a:ln>
                              </wps:spPr>
                              <wps:style>
                                <a:lnRef idx="1">
                                  <a:srgbClr val="841F27"/>
                                </a:lnRef>
                                <a:fillRef idx="1">
                                  <a:srgbClr val="841F27"/>
                                </a:fillRef>
                                <a:effectRef idx="0">
                                  <a:scrgbClr r="0" g="0" b="0"/>
                                </a:effectRef>
                                <a:fontRef idx="none"/>
                              </wps:style>
                              <wps:bodyPr/>
                            </wps:wsp>
                          </wpg:wgp>
                        </a:graphicData>
                      </a:graphic>
                    </wp:inline>
                  </w:drawing>
                </mc:Choice>
                <mc:Fallback>
                  <w:pict>
                    <v:group w14:anchorId="0D218986" id="Group 219915" o:spid="_x0000_s1026" style="width:489.5pt;height:.95pt;mso-position-horizontal-relative:char;mso-position-vertical-relative:line" coordsize="6216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">
                      <v:shape id="Shape 230983" o:spid="_x0000_s1027" style="position:absolute;width:62164;height:122;visibility:visible;mso-wrap-style:square;v-text-anchor:top" coordsize="6216486,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wsMcA&#10;AADfAAAADwAAAGRycy9kb3ducmV2LnhtbESPzWrDMBCE74W+g9hCbo0cG0LqRgmm4JKmJyd5gMXa&#10;2E6slbHkn/bpq0Khx2FmvmG2+9m0YqTeNZYVrJYRCOLS6oYrBZdz/rwB4TyyxtYyKfgiB/vd48MW&#10;U20nLmg8+UoECLsUFdTed6mUrqzJoFvajjh4V9sb9EH2ldQ9TgFuWhlH0VoabDgs1NjRW03l/TQY&#10;BR+Xd258bm7T93zUn+OQ2aHIlFo8zdkrCE+z/w//tQ9aQZxEL5sE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8LDHAAAA3wAAAA8AAAAAAAAAAAAAAAAAmAIAAGRy&#10;cy9kb3ducmV2LnhtbFBLBQYAAAAABAAEAPUAAACMAwAAAAA=&#10;" path="m,l6216486,r,12243l,12243,,e" fillcolor="#841f27" strokecolor="#841f27" strokeweight="0">
                        <v:stroke endcap="round"/>
                        <v:path arrowok="t" textboxrect="0,0,6216486,12243"/>
                      </v:shape>
                      <w10:anchorlock/>
                    </v:group>
                  </w:pict>
                </mc:Fallback>
              </mc:AlternateContent>
            </w:r>
          </w:p>
          <w:p w:rsidR="00EE13F6" w:rsidRDefault="002E5BC4">
            <w:pPr>
              <w:spacing w:after="0"/>
              <w:ind w:left="58" w:right="7950" w:hanging="58"/>
            </w:pPr>
            <w:r>
              <w:rPr>
                <w:sz w:val="11"/>
              </w:rPr>
              <w:t xml:space="preserve">1 </w:t>
            </w:r>
            <w:r>
              <w:rPr>
                <w:sz w:val="16"/>
              </w:rPr>
              <w:t>See Finkelstein et al. (</w:t>
            </w:r>
            <w:r>
              <w:rPr>
                <w:color w:val="00007F"/>
                <w:sz w:val="16"/>
              </w:rPr>
              <w:t>2002</w:t>
            </w:r>
            <w:r>
              <w:rPr>
                <w:sz w:val="16"/>
              </w:rPr>
              <w:t>).</w:t>
            </w:r>
          </w:p>
        </w:tc>
      </w:tr>
    </w:tbl>
    <w:p w:rsidR="00EE13F6" w:rsidRDefault="002E5BC4">
      <w:pPr>
        <w:spacing w:after="5" w:line="271" w:lineRule="auto"/>
        <w:ind w:left="-4" w:hanging="10"/>
        <w:jc w:val="both"/>
      </w:pPr>
      <w:r>
        <w:rPr>
          <w:rFonts w:ascii="Times New Roman" w:eastAsia="Times New Roman" w:hAnsi="Times New Roman" w:cs="Times New Roman"/>
        </w:rPr>
        <w:t>Because of the preceding equation, assessing the probability of a corporate default comes to evaluate the first hitting time of the Brownian motion process followed by the corporate assets value. By using this distribution, it is possible to derive the sur</w:t>
      </w:r>
      <w:r>
        <w:rPr>
          <w:rFonts w:ascii="Times New Roman" w:eastAsia="Times New Roman" w:hAnsi="Times New Roman" w:cs="Times New Roman"/>
        </w:rPr>
        <w:t>vival probability of a corporation as in Musiela and Rutkowski (</w:t>
      </w:r>
      <w:r>
        <w:rPr>
          <w:rFonts w:ascii="Times New Roman" w:eastAsia="Times New Roman" w:hAnsi="Times New Roman" w:cs="Times New Roman"/>
          <w:color w:val="00007F"/>
        </w:rPr>
        <w:t>1998</w:t>
      </w:r>
      <w:r>
        <w:rPr>
          <w:rFonts w:ascii="Times New Roman" w:eastAsia="Times New Roman" w:hAnsi="Times New Roman" w:cs="Times New Roman"/>
        </w:rPr>
        <w:t>) and then compute the implied par spread value of the corresponding CDS as described in Rubinstein and Reiner (</w:t>
      </w:r>
      <w:r>
        <w:rPr>
          <w:rFonts w:ascii="Times New Roman" w:eastAsia="Times New Roman" w:hAnsi="Times New Roman" w:cs="Times New Roman"/>
          <w:color w:val="00007F"/>
        </w:rPr>
        <w:t>1991</w:t>
      </w:r>
      <w:r>
        <w:rPr>
          <w:rFonts w:ascii="Times New Roman" w:eastAsia="Times New Roman" w:hAnsi="Times New Roman" w:cs="Times New Roman"/>
        </w:rPr>
        <w:t>). The CreditGrades model uses those results by linking the Credit swap spread insuring against corporate default and the corporate asset volatility.</w:t>
      </w:r>
    </w:p>
    <w:p w:rsidR="00EE13F6" w:rsidRDefault="002E5BC4">
      <w:pPr>
        <w:spacing w:after="2" w:line="261" w:lineRule="auto"/>
        <w:ind w:left="-5" w:hanging="10"/>
      </w:pPr>
      <w:r>
        <w:rPr>
          <w:color w:val="841F27"/>
          <w:sz w:val="21"/>
        </w:rPr>
        <w:t>Credit and equity derivatives market: equivalence between asset and equity volatility</w:t>
      </w:r>
    </w:p>
    <w:p w:rsidR="00EE13F6" w:rsidRDefault="002E5BC4">
      <w:pPr>
        <w:spacing w:after="130" w:line="271" w:lineRule="auto"/>
        <w:ind w:left="-4" w:hanging="10"/>
        <w:jc w:val="both"/>
      </w:pPr>
      <w:r>
        <w:rPr>
          <w:rFonts w:ascii="Times New Roman" w:eastAsia="Times New Roman" w:hAnsi="Times New Roman" w:cs="Times New Roman"/>
        </w:rPr>
        <w:t>Corporate asset vola</w:t>
      </w:r>
      <w:r>
        <w:rPr>
          <w:rFonts w:ascii="Times New Roman" w:eastAsia="Times New Roman" w:hAnsi="Times New Roman" w:cs="Times New Roman"/>
        </w:rPr>
        <w:t>tility is not directly observable in the market. Therefore, one must perform a necessary calibration, for example, to equity volatility. For a given corporate balance sheet structure, it is possible to derive from boundary conditions fulfilled by both equi</w:t>
      </w:r>
      <w:r>
        <w:rPr>
          <w:rFonts w:ascii="Times New Roman" w:eastAsia="Times New Roman" w:hAnsi="Times New Roman" w:cs="Times New Roman"/>
        </w:rPr>
        <w:t xml:space="preserve">ty and asset volatilities, a useful relationship between these two variables. This has been done by various authors such as KMV (Vasicek </w:t>
      </w:r>
      <w:r>
        <w:rPr>
          <w:rFonts w:ascii="Times New Roman" w:eastAsia="Times New Roman" w:hAnsi="Times New Roman" w:cs="Times New Roman"/>
          <w:color w:val="00007F"/>
        </w:rPr>
        <w:t>2012</w:t>
      </w:r>
      <w:r>
        <w:rPr>
          <w:rFonts w:ascii="Times New Roman" w:eastAsia="Times New Roman" w:hAnsi="Times New Roman" w:cs="Times New Roman"/>
        </w:rPr>
        <w:t xml:space="preserve">) or JP Morgan (Finkelstein et al. </w:t>
      </w:r>
      <w:r>
        <w:rPr>
          <w:rFonts w:ascii="Times New Roman" w:eastAsia="Times New Roman" w:hAnsi="Times New Roman" w:cs="Times New Roman"/>
          <w:color w:val="00007F"/>
        </w:rPr>
        <w:t>2002</w:t>
      </w:r>
      <w:r>
        <w:rPr>
          <w:rFonts w:ascii="Times New Roman" w:eastAsia="Times New Roman" w:hAnsi="Times New Roman" w:cs="Times New Roman"/>
        </w:rPr>
        <w:t xml:space="preserve">). It can be shown (see Finkelstein et al. </w:t>
      </w:r>
      <w:r>
        <w:rPr>
          <w:rFonts w:ascii="Times New Roman" w:eastAsia="Times New Roman" w:hAnsi="Times New Roman" w:cs="Times New Roman"/>
          <w:color w:val="00007F"/>
        </w:rPr>
        <w:t>2002</w:t>
      </w:r>
      <w:r>
        <w:rPr>
          <w:rFonts w:ascii="Times New Roman" w:eastAsia="Times New Roman" w:hAnsi="Times New Roman" w:cs="Times New Roman"/>
        </w:rPr>
        <w:t>) that the relationship betwe</w:t>
      </w:r>
      <w:r>
        <w:rPr>
          <w:rFonts w:ascii="Times New Roman" w:eastAsia="Times New Roman" w:hAnsi="Times New Roman" w:cs="Times New Roman"/>
        </w:rPr>
        <w:t xml:space="preserve">en asset volatility </w:t>
      </w:r>
      <w:r>
        <w:t>σ</w:t>
      </w:r>
      <w:r>
        <w:rPr>
          <w:vertAlign w:val="subscript"/>
        </w:rPr>
        <w:t xml:space="preserve">A </w:t>
      </w:r>
      <w:r>
        <w:rPr>
          <w:rFonts w:ascii="Times New Roman" w:eastAsia="Times New Roman" w:hAnsi="Times New Roman" w:cs="Times New Roman"/>
        </w:rPr>
        <w:t xml:space="preserve">and equity volatility </w:t>
      </w:r>
      <w:r>
        <w:t xml:space="preserve">σ </w:t>
      </w:r>
      <w:r>
        <w:rPr>
          <w:rFonts w:ascii="Times New Roman" w:eastAsia="Times New Roman" w:hAnsi="Times New Roman" w:cs="Times New Roman"/>
        </w:rPr>
        <w:t>is as follows:</w:t>
      </w:r>
    </w:p>
    <w:p w:rsidR="00EE13F6" w:rsidRDefault="002E5BC4">
      <w:pPr>
        <w:spacing w:after="25" w:line="261" w:lineRule="auto"/>
        <w:ind w:left="481" w:hanging="10"/>
        <w:jc w:val="center"/>
      </w:pPr>
      <w:r>
        <w:t>σ</w:t>
      </w:r>
      <w:r>
        <w:rPr>
          <w:sz w:val="15"/>
        </w:rPr>
        <w:t>S</w:t>
      </w:r>
    </w:p>
    <w:p w:rsidR="00EE13F6" w:rsidRDefault="002E5BC4">
      <w:pPr>
        <w:spacing w:after="329" w:line="216" w:lineRule="auto"/>
        <w:ind w:left="2287" w:right="1609" w:hanging="613"/>
      </w:pPr>
      <w:r>
        <w:t>σ</w:t>
      </w:r>
      <w:r>
        <w:rPr>
          <w:sz w:val="15"/>
        </w:rPr>
        <w:t xml:space="preserve">A </w:t>
      </w:r>
      <w:r>
        <w:t xml:space="preserve">¼ </w:t>
      </w:r>
      <w:r>
        <w:rPr>
          <w:noProof/>
        </w:rPr>
        <mc:AlternateContent>
          <mc:Choice Requires="wpg">
            <w:drawing>
              <wp:inline distT="0" distB="0" distL="0" distR="0">
                <wp:extent cx="516242" cy="5766"/>
                <wp:effectExtent l="0" t="0" r="0" b="0"/>
                <wp:docPr id="219306" name="Group 219306"/>
                <wp:cNvGraphicFramePr/>
                <a:graphic xmlns:a="http://schemas.openxmlformats.org/drawingml/2006/main">
                  <a:graphicData uri="http://schemas.microsoft.com/office/word/2010/wordprocessingGroup">
                    <wpg:wgp>
                      <wpg:cNvGrpSpPr/>
                      <wpg:grpSpPr>
                        <a:xfrm>
                          <a:off x="0" y="0"/>
                          <a:ext cx="516242" cy="5766"/>
                          <a:chOff x="0" y="0"/>
                          <a:chExt cx="516242" cy="5766"/>
                        </a:xfrm>
                      </wpg:grpSpPr>
                      <wps:wsp>
                        <wps:cNvPr id="230984" name="Shape 230984"/>
                        <wps:cNvSpPr/>
                        <wps:spPr>
                          <a:xfrm>
                            <a:off x="0" y="0"/>
                            <a:ext cx="516242" cy="9144"/>
                          </a:xfrm>
                          <a:custGeom>
                            <a:avLst/>
                            <a:gdLst/>
                            <a:ahLst/>
                            <a:cxnLst/>
                            <a:rect l="0" t="0" r="0" b="0"/>
                            <a:pathLst>
                              <a:path w="516242" h="9144">
                                <a:moveTo>
                                  <a:pt x="0" y="0"/>
                                </a:moveTo>
                                <a:lnTo>
                                  <a:pt x="516242" y="0"/>
                                </a:lnTo>
                                <a:lnTo>
                                  <a:pt x="5162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953328" id="Group 219306" o:spid="_x0000_s1026" style="width:40.65pt;height:.45pt;mso-position-horizontal-relative:char;mso-position-vertical-relative:line" coordsize="516242,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">
                <v:shape id="Shape 230984" o:spid="_x0000_s1027" style="position:absolute;width:516242;height:9144;visibility:visible;mso-wrap-style:square;v-text-anchor:top" coordsize="5162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nascA&#10;AADfAAAADwAAAGRycy9kb3ducmV2LnhtbESPX2vCMBTF34V9h3AHexFN1CG1M4o4hnsaWEXw7dLc&#10;tcXmpjSxdt9+EQQfD+fPj7Nc97YWHbW+cqxhMlYgiHNnKi40HA9fowSED8gGa8ek4Y88rFcvgyWm&#10;xt14T10WChFH2KeooQyhSaX0eUkW/dg1xNH7da3FEGVbSNPiLY7bWk6VmkuLFUdCiQ1tS8ov2dVG&#10;bu4z9XndnSfDn1PSXaqzHB4ard9e+80HiEB9eIYf7W+jYTpTi+Qd7n/iF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pp2rHAAAA3wAAAA8AAAAAAAAAAAAAAAAAmAIAAGRy&#10;cy9kb3ducmV2LnhtbFBLBQYAAAAABAAEAPUAAACMAwAAAAA=&#10;" path="m,l516242,r,9144l,9144,,e" fillcolor="black" stroked="f" strokeweight="0">
                  <v:stroke miterlimit="83231f" joinstyle="miter"/>
                  <v:path arrowok="t" textboxrect="0,0,516242,9144"/>
                </v:shape>
                <w10:anchorlock/>
              </v:group>
            </w:pict>
          </mc:Fallback>
        </mc:AlternateContent>
      </w:r>
      <w:r>
        <w:t>ð þ Þ S LD</w:t>
      </w:r>
    </w:p>
    <w:p w:rsidR="00EE13F6" w:rsidRDefault="002E5BC4">
      <w:pPr>
        <w:spacing w:after="168" w:line="261" w:lineRule="auto"/>
        <w:ind w:left="-5" w:hanging="10"/>
      </w:pPr>
      <w:r>
        <w:rPr>
          <w:color w:val="841F27"/>
          <w:sz w:val="21"/>
        </w:rPr>
        <w:t>Generic impact of the FTT on CDS spreads depending upon corporate balance sheet structure</w:t>
      </w:r>
    </w:p>
    <w:p w:rsidR="00EE13F6" w:rsidRDefault="002E5BC4">
      <w:pPr>
        <w:spacing w:after="5" w:line="271" w:lineRule="auto"/>
        <w:ind w:left="-4" w:hanging="10"/>
        <w:jc w:val="both"/>
      </w:pPr>
      <w:r>
        <w:rPr>
          <w:rFonts w:ascii="Times New Roman" w:eastAsia="Times New Roman" w:hAnsi="Times New Roman" w:cs="Times New Roman"/>
        </w:rPr>
        <w:lastRenderedPageBreak/>
        <w:t xml:space="preserve">We consider a </w:t>
      </w:r>
      <w:r>
        <w:t>‘</w:t>
      </w:r>
      <w:r>
        <w:rPr>
          <w:rFonts w:ascii="Times New Roman" w:eastAsia="Times New Roman" w:hAnsi="Times New Roman" w:cs="Times New Roman"/>
        </w:rPr>
        <w:t>generic</w:t>
      </w:r>
      <w:r>
        <w:t xml:space="preserve">’ </w:t>
      </w:r>
      <w:r>
        <w:rPr>
          <w:rFonts w:ascii="Times New Roman" w:eastAsia="Times New Roman" w:hAnsi="Times New Roman" w:cs="Times New Roman"/>
        </w:rPr>
        <w:t>corporation whose equity implied yearly volatility is 35%. W</w:t>
      </w:r>
      <w:r>
        <w:rPr>
          <w:rFonts w:ascii="Times New Roman" w:eastAsia="Times New Roman" w:hAnsi="Times New Roman" w:cs="Times New Roman"/>
        </w:rPr>
        <w:t xml:space="preserve">e assess first the impact of the FTT on this volatility using our Boyle and Vorst framework. We apply the volatility level </w:t>
      </w:r>
      <w:r>
        <w:t>‘</w:t>
      </w:r>
      <w:r>
        <w:rPr>
          <w:rFonts w:ascii="Times New Roman" w:eastAsia="Times New Roman" w:hAnsi="Times New Roman" w:cs="Times New Roman"/>
        </w:rPr>
        <w:t>bump</w:t>
      </w:r>
      <w:r>
        <w:t xml:space="preserve">’ </w:t>
      </w:r>
      <w:r>
        <w:rPr>
          <w:rFonts w:ascii="Times New Roman" w:eastAsia="Times New Roman" w:hAnsi="Times New Roman" w:cs="Times New Roman"/>
        </w:rPr>
        <w:t>on the sell side of options, having in mind that the agents selling credit default protection will hedge their positions by bu</w:t>
      </w:r>
      <w:r>
        <w:rPr>
          <w:rFonts w:ascii="Times New Roman" w:eastAsia="Times New Roman" w:hAnsi="Times New Roman" w:cs="Times New Roman"/>
        </w:rPr>
        <w:t>ying equity Put options to market makers. We then derive, using CreditGrades, the subsequent generic impact on the CDS spread. Depending upon the corporation</w:t>
      </w:r>
      <w:r>
        <w:t>’</w:t>
      </w:r>
      <w:r>
        <w:rPr>
          <w:rFonts w:ascii="Times New Roman" w:eastAsia="Times New Roman" w:hAnsi="Times New Roman" w:cs="Times New Roman"/>
        </w:rPr>
        <w:t>s balance sheet structure, this volatility level leads to various credit spreads.</w:t>
      </w:r>
    </w:p>
    <w:p w:rsidR="00EE13F6" w:rsidRDefault="002E5BC4">
      <w:pPr>
        <w:spacing w:after="5" w:line="271" w:lineRule="auto"/>
        <w:ind w:left="-14" w:firstLine="240"/>
        <w:jc w:val="both"/>
      </w:pPr>
      <w:r>
        <w:rPr>
          <w:rFonts w:ascii="Times New Roman" w:eastAsia="Times New Roman" w:hAnsi="Times New Roman" w:cs="Times New Roman"/>
        </w:rPr>
        <w:t xml:space="preserve">As discussed earlier, in case there are no existing market-makers, the economic agents will try to recreate a put by replicating a portfolio consisting of shares and cash. In that case, they will incur the same cascading cost effects linked to the FTT, as </w:t>
      </w:r>
      <w:r>
        <w:rPr>
          <w:rFonts w:ascii="Times New Roman" w:eastAsia="Times New Roman" w:hAnsi="Times New Roman" w:cs="Times New Roman"/>
        </w:rPr>
        <w:t xml:space="preserve">the ones computed in the LBV framework. The results are set forth in </w:t>
      </w:r>
      <w:r>
        <w:rPr>
          <w:rFonts w:ascii="Times New Roman" w:eastAsia="Times New Roman" w:hAnsi="Times New Roman" w:cs="Times New Roman"/>
          <w:color w:val="00007F"/>
        </w:rPr>
        <w:t>Table 3</w:t>
      </w:r>
      <w:r>
        <w:rPr>
          <w:rFonts w:ascii="Times New Roman" w:eastAsia="Times New Roman" w:hAnsi="Times New Roman" w:cs="Times New Roman"/>
        </w:rPr>
        <w:t>.</w:t>
      </w:r>
    </w:p>
    <w:p w:rsidR="00EE13F6" w:rsidRDefault="002E5BC4">
      <w:pPr>
        <w:spacing w:after="304" w:line="314" w:lineRule="auto"/>
        <w:ind w:left="10" w:right="-12" w:hanging="10"/>
        <w:jc w:val="right"/>
      </w:pPr>
      <w:r>
        <w:rPr>
          <w:sz w:val="15"/>
        </w:rPr>
        <w:t>9</w:t>
      </w:r>
    </w:p>
    <w:p w:rsidR="00EE13F6" w:rsidRDefault="002E5BC4">
      <w:pPr>
        <w:spacing w:after="141" w:line="261" w:lineRule="auto"/>
        <w:ind w:left="-5" w:hanging="10"/>
      </w:pPr>
      <w:r>
        <w:rPr>
          <w:color w:val="841F27"/>
          <w:sz w:val="21"/>
        </w:rPr>
        <w:t>Quantitative impact of the FTT on CDS spreads by credit model calibration</w:t>
      </w:r>
    </w:p>
    <w:p w:rsidR="00EE13F6" w:rsidRDefault="002E5BC4">
      <w:pPr>
        <w:spacing w:after="5" w:line="271" w:lineRule="auto"/>
        <w:ind w:left="-4" w:hanging="10"/>
        <w:jc w:val="both"/>
      </w:pPr>
      <w:r>
        <w:rPr>
          <w:rFonts w:ascii="Times New Roman" w:eastAsia="Times New Roman" w:hAnsi="Times New Roman" w:cs="Times New Roman"/>
        </w:rPr>
        <w:t>We consider, now, a set of six corporations listed on</w:t>
      </w:r>
    </w:p>
    <w:p w:rsidR="00EE13F6" w:rsidRDefault="002E5BC4">
      <w:pPr>
        <w:spacing w:after="5" w:line="271" w:lineRule="auto"/>
        <w:ind w:left="-4" w:hanging="10"/>
        <w:jc w:val="both"/>
      </w:pPr>
      <w:r>
        <w:rPr>
          <w:rFonts w:ascii="Times New Roman" w:eastAsia="Times New Roman" w:hAnsi="Times New Roman" w:cs="Times New Roman"/>
        </w:rPr>
        <w:t xml:space="preserve">European stock exchanges (Axa, Michelin, Arcelor Mittal, Alsthom,Commerzbank and Unicredit). These companies are financial or industrial companies that have both an active CDS market and a liquid equity option market, till a maturity of three </w:t>
      </w:r>
      <w:r>
        <w:rPr>
          <w:rFonts w:ascii="Times New Roman" w:eastAsia="Times New Roman" w:hAnsi="Times New Roman" w:cs="Times New Roman"/>
        </w:rPr>
        <w:t xml:space="preserve">years. We observe the CDS spreads level for the 5-year tenor. Using the CreditGrades model and a standard </w:t>
      </w:r>
      <w:r>
        <w:rPr>
          <w:rFonts w:ascii="Times New Roman" w:eastAsia="Times New Roman" w:hAnsi="Times New Roman" w:cs="Times New Roman"/>
        </w:rPr>
        <w:lastRenderedPageBreak/>
        <w:t>assumption on the recovery rate characteristics (average 0.5 and SD 0.50), we derive the implied equity volatility which is consistent with the 5-year</w:t>
      </w:r>
      <w:r>
        <w:rPr>
          <w:rFonts w:ascii="Times New Roman" w:eastAsia="Times New Roman" w:hAnsi="Times New Roman" w:cs="Times New Roman"/>
        </w:rPr>
        <w:t xml:space="preserve"> CDS spread levels. This gives us a starting point in terms of credit spreads.</w:t>
      </w:r>
    </w:p>
    <w:p w:rsidR="00EE13F6" w:rsidRDefault="002E5BC4">
      <w:pPr>
        <w:spacing w:after="5" w:line="271" w:lineRule="auto"/>
        <w:ind w:left="-14" w:firstLine="239"/>
        <w:jc w:val="both"/>
      </w:pPr>
      <w:r>
        <w:rPr>
          <w:rFonts w:ascii="Times New Roman" w:eastAsia="Times New Roman" w:hAnsi="Times New Roman" w:cs="Times New Roman"/>
        </w:rPr>
        <w:t>Assuming that the equity option market for 5</w:t>
      </w:r>
      <w:r>
        <w:t xml:space="preserve">– </w:t>
      </w:r>
      <w:r>
        <w:rPr>
          <w:rFonts w:ascii="Times New Roman" w:eastAsia="Times New Roman" w:hAnsi="Times New Roman" w:cs="Times New Roman"/>
        </w:rPr>
        <w:t xml:space="preserve">20 years is illiquid, we apply our results about the FTT impact for nonliquid option markets. We compute a theoretical impact on the </w:t>
      </w:r>
      <w:r>
        <w:t>‘</w:t>
      </w:r>
      <w:r>
        <w:rPr>
          <w:rFonts w:ascii="Times New Roman" w:eastAsia="Times New Roman" w:hAnsi="Times New Roman" w:cs="Times New Roman"/>
        </w:rPr>
        <w:t>asked price</w:t>
      </w:r>
      <w:r>
        <w:t xml:space="preserve">’ </w:t>
      </w:r>
      <w:r>
        <w:rPr>
          <w:rFonts w:ascii="Times New Roman" w:eastAsia="Times New Roman" w:hAnsi="Times New Roman" w:cs="Times New Roman"/>
        </w:rPr>
        <w:t>of implied volatility quoted by option market-makers, for selling Put equity options. We then assume a flat v</w:t>
      </w:r>
      <w:r>
        <w:rPr>
          <w:rFonts w:ascii="Times New Roman" w:eastAsia="Times New Roman" w:hAnsi="Times New Roman" w:cs="Times New Roman"/>
        </w:rPr>
        <w:t>olatility forward curve for 5 years and beyond. This effect is computed according to a Boyle and Vorst (</w:t>
      </w:r>
      <w:r>
        <w:rPr>
          <w:rFonts w:ascii="Times New Roman" w:eastAsia="Times New Roman" w:hAnsi="Times New Roman" w:cs="Times New Roman"/>
          <w:color w:val="00007F"/>
        </w:rPr>
        <w:t>1992</w:t>
      </w:r>
      <w:r>
        <w:rPr>
          <w:rFonts w:ascii="Times New Roman" w:eastAsia="Times New Roman" w:hAnsi="Times New Roman" w:cs="Times New Roman"/>
        </w:rPr>
        <w:t xml:space="preserve">) calculation assuming a 1%-based </w:t>
      </w:r>
      <w:r>
        <w:t>Delta</w:t>
      </w:r>
      <w:r>
        <w:rPr>
          <w:vertAlign w:val="subscript"/>
        </w:rPr>
        <w:t xml:space="preserve">s </w:t>
      </w:r>
      <w:r>
        <w:rPr>
          <w:rFonts w:ascii="Times New Roman" w:eastAsia="Times New Roman" w:hAnsi="Times New Roman" w:cs="Times New Roman"/>
        </w:rPr>
        <w:t>rule. We use a favourable, assumption on the repurchase agreement taxation which is that every operation wo</w:t>
      </w:r>
      <w:r>
        <w:rPr>
          <w:rFonts w:ascii="Times New Roman" w:eastAsia="Times New Roman" w:hAnsi="Times New Roman" w:cs="Times New Roman"/>
        </w:rPr>
        <w:t>uld be taxed at 0.2%, even if the operation is rolled over on several days. Should this assumption fail, and for instance the repo operations be taxed every time they are rolled overnight, we would have to consider that</w:t>
      </w:r>
    </w:p>
    <w:p w:rsidR="00EE13F6" w:rsidRDefault="002E5BC4">
      <w:pPr>
        <w:spacing w:after="5" w:line="271" w:lineRule="auto"/>
        <w:ind w:left="-4" w:hanging="10"/>
        <w:jc w:val="both"/>
      </w:pPr>
      <w:r>
        <w:rPr>
          <w:rFonts w:ascii="Times New Roman" w:eastAsia="Times New Roman" w:hAnsi="Times New Roman" w:cs="Times New Roman"/>
        </w:rPr>
        <w:t>Replication portfolio should be fund</w:t>
      </w:r>
      <w:r>
        <w:rPr>
          <w:rFonts w:ascii="Times New Roman" w:eastAsia="Times New Roman" w:hAnsi="Times New Roman" w:cs="Times New Roman"/>
        </w:rPr>
        <w:t>ed at an unsecured deposit rate which is generally higher. This would increase the impact of the FTT on volatility.</w:t>
      </w:r>
    </w:p>
    <w:p w:rsidR="00EE13F6" w:rsidRDefault="002E5BC4">
      <w:pPr>
        <w:spacing w:after="5" w:line="271" w:lineRule="auto"/>
        <w:ind w:left="-14" w:firstLine="239"/>
        <w:jc w:val="both"/>
      </w:pPr>
      <w:r>
        <w:rPr>
          <w:rFonts w:ascii="Times New Roman" w:eastAsia="Times New Roman" w:hAnsi="Times New Roman" w:cs="Times New Roman"/>
        </w:rPr>
        <w:t>We do not consider any impact of stochastic volatility because of the difficulty of calibration of any stochastic volatility model, in the a</w:t>
      </w:r>
      <w:r>
        <w:rPr>
          <w:rFonts w:ascii="Times New Roman" w:eastAsia="Times New Roman" w:hAnsi="Times New Roman" w:cs="Times New Roman"/>
        </w:rPr>
        <w:t>bsence of available quotes on the option markets for the 5-year maturity. For the two above-mentioned reasons, our calculation represents a minimum of the possible impact on quoted volatility and therefore on credit spreads.</w:t>
      </w:r>
    </w:p>
    <w:p w:rsidR="00EE13F6" w:rsidRDefault="002E5BC4">
      <w:pPr>
        <w:spacing w:after="5"/>
        <w:ind w:left="10" w:right="-12" w:hanging="10"/>
        <w:jc w:val="right"/>
      </w:pPr>
      <w:r>
        <w:rPr>
          <w:rFonts w:ascii="Times New Roman" w:eastAsia="Times New Roman" w:hAnsi="Times New Roman" w:cs="Times New Roman"/>
        </w:rPr>
        <w:t xml:space="preserve">We find (compare </w:t>
      </w:r>
      <w:r>
        <w:rPr>
          <w:rFonts w:ascii="Times New Roman" w:eastAsia="Times New Roman" w:hAnsi="Times New Roman" w:cs="Times New Roman"/>
          <w:color w:val="00007F"/>
        </w:rPr>
        <w:t>Table 4</w:t>
      </w:r>
      <w:r>
        <w:rPr>
          <w:rFonts w:ascii="Times New Roman" w:eastAsia="Times New Roman" w:hAnsi="Times New Roman" w:cs="Times New Roman"/>
        </w:rPr>
        <w:t xml:space="preserve">) that </w:t>
      </w:r>
      <w:r>
        <w:rPr>
          <w:rFonts w:ascii="Times New Roman" w:eastAsia="Times New Roman" w:hAnsi="Times New Roman" w:cs="Times New Roman"/>
        </w:rPr>
        <w:t>the FTT triggers a</w:t>
      </w:r>
    </w:p>
    <w:p w:rsidR="00EE13F6" w:rsidRDefault="00EE13F6">
      <w:pPr>
        <w:sectPr w:rsidR="00EE13F6">
          <w:footnotePr>
            <w:numRestart w:val="eachPage"/>
          </w:footnotePr>
          <w:type w:val="continuous"/>
          <w:pgSz w:w="12189" w:h="15874"/>
          <w:pgMar w:top="553" w:right="1197" w:bottom="932" w:left="1199" w:header="720" w:footer="720" w:gutter="0"/>
          <w:cols w:num="2" w:space="359"/>
        </w:sectPr>
      </w:pPr>
    </w:p>
    <w:p w:rsidR="00EE13F6" w:rsidRDefault="002E5BC4">
      <w:pPr>
        <w:spacing w:after="19" w:line="235" w:lineRule="auto"/>
        <w:ind w:left="-5" w:right="-14" w:hanging="10"/>
        <w:jc w:val="both"/>
      </w:pPr>
      <w:r>
        <w:rPr>
          <w:color w:val="841F27"/>
          <w:sz w:val="19"/>
        </w:rPr>
        <w:t xml:space="preserve">Table 3. </w:t>
      </w:r>
      <w:r>
        <w:rPr>
          <w:sz w:val="19"/>
        </w:rPr>
        <w:t>FTT impact on corporate debt cost in basis points per annum for various balance sheet structures, CDS recovery rate:0.4; global recovery rate: 0.5.</w:t>
      </w:r>
    </w:p>
    <w:tbl>
      <w:tblPr>
        <w:tblStyle w:val="TableGrid"/>
        <w:tblW w:w="4715" w:type="dxa"/>
        <w:tblInd w:w="0" w:type="dxa"/>
        <w:tblCellMar>
          <w:top w:w="17" w:type="dxa"/>
          <w:left w:w="0" w:type="dxa"/>
          <w:bottom w:w="0" w:type="dxa"/>
          <w:right w:w="80" w:type="dxa"/>
        </w:tblCellMar>
        <w:tblLook w:val="04A0" w:firstRow="1" w:lastRow="0" w:firstColumn="1" w:lastColumn="0" w:noHBand="0" w:noVBand="1"/>
      </w:tblPr>
      <w:tblGrid>
        <w:gridCol w:w="1514"/>
        <w:gridCol w:w="473"/>
        <w:gridCol w:w="473"/>
        <w:gridCol w:w="473"/>
        <w:gridCol w:w="472"/>
        <w:gridCol w:w="473"/>
        <w:gridCol w:w="473"/>
        <w:gridCol w:w="364"/>
      </w:tblGrid>
      <w:tr w:rsidR="00EE13F6">
        <w:trPr>
          <w:trHeight w:val="252"/>
        </w:trPr>
        <w:tc>
          <w:tcPr>
            <w:tcW w:w="1525" w:type="dxa"/>
            <w:tcBorders>
              <w:top w:val="single" w:sz="4" w:space="0" w:color="841F27"/>
              <w:left w:val="nil"/>
              <w:bottom w:val="single" w:sz="5" w:space="0" w:color="841F27"/>
              <w:right w:val="nil"/>
            </w:tcBorders>
          </w:tcPr>
          <w:p w:rsidR="00EE13F6" w:rsidRDefault="002E5BC4">
            <w:pPr>
              <w:spacing w:after="0"/>
              <w:ind w:left="81"/>
            </w:pPr>
            <w:r>
              <w:rPr>
                <w:sz w:val="16"/>
              </w:rPr>
              <w:t>Tenor × debt/share</w:t>
            </w:r>
          </w:p>
        </w:tc>
        <w:tc>
          <w:tcPr>
            <w:tcW w:w="475" w:type="dxa"/>
            <w:tcBorders>
              <w:top w:val="single" w:sz="4" w:space="0" w:color="841F27"/>
              <w:left w:val="nil"/>
              <w:bottom w:val="single" w:sz="5" w:space="0" w:color="841F27"/>
              <w:right w:val="nil"/>
            </w:tcBorders>
          </w:tcPr>
          <w:p w:rsidR="00EE13F6" w:rsidRDefault="002E5BC4">
            <w:pPr>
              <w:spacing w:after="0"/>
              <w:ind w:left="39"/>
            </w:pPr>
            <w:r>
              <w:rPr>
                <w:sz w:val="16"/>
              </w:rPr>
              <w:t>0.5</w:t>
            </w:r>
          </w:p>
        </w:tc>
        <w:tc>
          <w:tcPr>
            <w:tcW w:w="475" w:type="dxa"/>
            <w:tcBorders>
              <w:top w:val="single" w:sz="4" w:space="0" w:color="841F27"/>
              <w:left w:val="nil"/>
              <w:bottom w:val="single" w:sz="5" w:space="0" w:color="841F27"/>
              <w:right w:val="nil"/>
            </w:tcBorders>
          </w:tcPr>
          <w:p w:rsidR="00EE13F6" w:rsidRDefault="002E5BC4">
            <w:pPr>
              <w:spacing w:after="0"/>
              <w:ind w:left="92"/>
            </w:pPr>
            <w:r>
              <w:rPr>
                <w:sz w:val="16"/>
              </w:rPr>
              <w:t>1</w:t>
            </w:r>
          </w:p>
        </w:tc>
        <w:tc>
          <w:tcPr>
            <w:tcW w:w="475" w:type="dxa"/>
            <w:tcBorders>
              <w:top w:val="single" w:sz="4" w:space="0" w:color="841F27"/>
              <w:left w:val="nil"/>
              <w:bottom w:val="single" w:sz="5" w:space="0" w:color="841F27"/>
              <w:right w:val="nil"/>
            </w:tcBorders>
          </w:tcPr>
          <w:p w:rsidR="00EE13F6" w:rsidRDefault="002E5BC4">
            <w:pPr>
              <w:spacing w:after="0"/>
              <w:ind w:left="92"/>
            </w:pPr>
            <w:r>
              <w:rPr>
                <w:sz w:val="16"/>
              </w:rPr>
              <w:t>2</w:t>
            </w:r>
          </w:p>
        </w:tc>
        <w:tc>
          <w:tcPr>
            <w:tcW w:w="474" w:type="dxa"/>
            <w:tcBorders>
              <w:top w:val="single" w:sz="4" w:space="0" w:color="841F27"/>
              <w:left w:val="nil"/>
              <w:bottom w:val="single" w:sz="5" w:space="0" w:color="841F27"/>
              <w:right w:val="nil"/>
            </w:tcBorders>
          </w:tcPr>
          <w:p w:rsidR="00EE13F6" w:rsidRDefault="002E5BC4">
            <w:pPr>
              <w:spacing w:after="0"/>
              <w:ind w:left="92"/>
            </w:pPr>
            <w:r>
              <w:rPr>
                <w:sz w:val="16"/>
              </w:rPr>
              <w:t>3</w:t>
            </w:r>
          </w:p>
        </w:tc>
        <w:tc>
          <w:tcPr>
            <w:tcW w:w="475" w:type="dxa"/>
            <w:tcBorders>
              <w:top w:val="single" w:sz="4" w:space="0" w:color="841F27"/>
              <w:left w:val="nil"/>
              <w:bottom w:val="single" w:sz="5" w:space="0" w:color="841F27"/>
              <w:right w:val="nil"/>
            </w:tcBorders>
          </w:tcPr>
          <w:p w:rsidR="00EE13F6" w:rsidRDefault="002E5BC4">
            <w:pPr>
              <w:spacing w:after="0"/>
              <w:ind w:left="93"/>
            </w:pPr>
            <w:r>
              <w:rPr>
                <w:sz w:val="16"/>
              </w:rPr>
              <w:t>4</w:t>
            </w:r>
          </w:p>
        </w:tc>
        <w:tc>
          <w:tcPr>
            <w:tcW w:w="475" w:type="dxa"/>
            <w:tcBorders>
              <w:top w:val="single" w:sz="4" w:space="0" w:color="841F27"/>
              <w:left w:val="nil"/>
              <w:bottom w:val="single" w:sz="5" w:space="0" w:color="841F27"/>
              <w:right w:val="nil"/>
            </w:tcBorders>
          </w:tcPr>
          <w:p w:rsidR="00EE13F6" w:rsidRDefault="002E5BC4">
            <w:pPr>
              <w:spacing w:after="0"/>
              <w:ind w:left="93"/>
            </w:pPr>
            <w:r>
              <w:rPr>
                <w:sz w:val="16"/>
              </w:rPr>
              <w:t>5</w:t>
            </w:r>
          </w:p>
        </w:tc>
        <w:tc>
          <w:tcPr>
            <w:tcW w:w="341" w:type="dxa"/>
            <w:tcBorders>
              <w:top w:val="single" w:sz="4" w:space="0" w:color="841F27"/>
              <w:left w:val="nil"/>
              <w:bottom w:val="single" w:sz="5" w:space="0" w:color="841F27"/>
              <w:right w:val="nil"/>
            </w:tcBorders>
          </w:tcPr>
          <w:p w:rsidR="00EE13F6" w:rsidRDefault="002E5BC4">
            <w:pPr>
              <w:spacing w:after="0"/>
              <w:ind w:left="55"/>
            </w:pPr>
            <w:r>
              <w:rPr>
                <w:sz w:val="16"/>
              </w:rPr>
              <w:t>10</w:t>
            </w:r>
          </w:p>
        </w:tc>
      </w:tr>
      <w:tr w:rsidR="00EE13F6">
        <w:trPr>
          <w:trHeight w:val="222"/>
        </w:trPr>
        <w:tc>
          <w:tcPr>
            <w:tcW w:w="1525" w:type="dxa"/>
            <w:tcBorders>
              <w:top w:val="single" w:sz="5" w:space="0" w:color="841F27"/>
              <w:left w:val="nil"/>
              <w:bottom w:val="nil"/>
              <w:right w:val="nil"/>
            </w:tcBorders>
          </w:tcPr>
          <w:p w:rsidR="00EE13F6" w:rsidRDefault="002E5BC4">
            <w:pPr>
              <w:spacing w:after="0"/>
              <w:ind w:left="81"/>
            </w:pPr>
            <w:r>
              <w:rPr>
                <w:sz w:val="16"/>
              </w:rPr>
              <w:t>5Y</w:t>
            </w:r>
          </w:p>
        </w:tc>
        <w:tc>
          <w:tcPr>
            <w:tcW w:w="475" w:type="dxa"/>
            <w:tcBorders>
              <w:top w:val="single" w:sz="5" w:space="0" w:color="841F27"/>
              <w:left w:val="nil"/>
              <w:bottom w:val="nil"/>
              <w:right w:val="nil"/>
            </w:tcBorders>
          </w:tcPr>
          <w:p w:rsidR="00EE13F6" w:rsidRDefault="002E5BC4">
            <w:pPr>
              <w:spacing w:after="0"/>
            </w:pPr>
            <w:r>
              <w:rPr>
                <w:sz w:val="16"/>
              </w:rPr>
              <w:t>40</w:t>
            </w:r>
          </w:p>
        </w:tc>
        <w:tc>
          <w:tcPr>
            <w:tcW w:w="475" w:type="dxa"/>
            <w:tcBorders>
              <w:top w:val="single" w:sz="5" w:space="0" w:color="841F27"/>
              <w:left w:val="nil"/>
              <w:bottom w:val="nil"/>
              <w:right w:val="nil"/>
            </w:tcBorders>
          </w:tcPr>
          <w:p w:rsidR="00EE13F6" w:rsidRDefault="002E5BC4">
            <w:pPr>
              <w:spacing w:after="0"/>
            </w:pPr>
            <w:r>
              <w:rPr>
                <w:sz w:val="16"/>
              </w:rPr>
              <w:t>53.7</w:t>
            </w:r>
          </w:p>
        </w:tc>
        <w:tc>
          <w:tcPr>
            <w:tcW w:w="475" w:type="dxa"/>
            <w:tcBorders>
              <w:top w:val="single" w:sz="5" w:space="0" w:color="841F27"/>
              <w:left w:val="nil"/>
              <w:bottom w:val="nil"/>
              <w:right w:val="nil"/>
            </w:tcBorders>
          </w:tcPr>
          <w:p w:rsidR="00EE13F6" w:rsidRDefault="002E5BC4">
            <w:pPr>
              <w:spacing w:after="0"/>
            </w:pPr>
            <w:r>
              <w:rPr>
                <w:sz w:val="16"/>
              </w:rPr>
              <w:t>58.2</w:t>
            </w:r>
          </w:p>
        </w:tc>
        <w:tc>
          <w:tcPr>
            <w:tcW w:w="474" w:type="dxa"/>
            <w:tcBorders>
              <w:top w:val="single" w:sz="5" w:space="0" w:color="841F27"/>
              <w:left w:val="nil"/>
              <w:bottom w:val="nil"/>
              <w:right w:val="nil"/>
            </w:tcBorders>
          </w:tcPr>
          <w:p w:rsidR="00EE13F6" w:rsidRDefault="002E5BC4">
            <w:pPr>
              <w:spacing w:after="0"/>
            </w:pPr>
            <w:r>
              <w:rPr>
                <w:sz w:val="16"/>
              </w:rPr>
              <w:t>54</w:t>
            </w:r>
          </w:p>
        </w:tc>
        <w:tc>
          <w:tcPr>
            <w:tcW w:w="475" w:type="dxa"/>
            <w:tcBorders>
              <w:top w:val="single" w:sz="5" w:space="0" w:color="841F27"/>
              <w:left w:val="nil"/>
              <w:bottom w:val="nil"/>
              <w:right w:val="nil"/>
            </w:tcBorders>
          </w:tcPr>
          <w:p w:rsidR="00EE13F6" w:rsidRDefault="002E5BC4">
            <w:pPr>
              <w:spacing w:after="0"/>
            </w:pPr>
            <w:r>
              <w:rPr>
                <w:sz w:val="16"/>
              </w:rPr>
              <w:t>50.4</w:t>
            </w:r>
          </w:p>
        </w:tc>
        <w:tc>
          <w:tcPr>
            <w:tcW w:w="475" w:type="dxa"/>
            <w:tcBorders>
              <w:top w:val="single" w:sz="5" w:space="0" w:color="841F27"/>
              <w:left w:val="nil"/>
              <w:bottom w:val="nil"/>
              <w:right w:val="nil"/>
            </w:tcBorders>
          </w:tcPr>
          <w:p w:rsidR="00EE13F6" w:rsidRDefault="002E5BC4">
            <w:pPr>
              <w:spacing w:after="0"/>
            </w:pPr>
            <w:r>
              <w:rPr>
                <w:sz w:val="16"/>
              </w:rPr>
              <w:t>46.2</w:t>
            </w:r>
          </w:p>
        </w:tc>
        <w:tc>
          <w:tcPr>
            <w:tcW w:w="341" w:type="dxa"/>
            <w:tcBorders>
              <w:top w:val="single" w:sz="5" w:space="0" w:color="841F27"/>
              <w:left w:val="nil"/>
              <w:bottom w:val="nil"/>
              <w:right w:val="nil"/>
            </w:tcBorders>
          </w:tcPr>
          <w:p w:rsidR="00EE13F6" w:rsidRDefault="002E5BC4">
            <w:pPr>
              <w:spacing w:after="0"/>
            </w:pPr>
            <w:r>
              <w:rPr>
                <w:sz w:val="16"/>
              </w:rPr>
              <w:t>33.1</w:t>
            </w:r>
          </w:p>
        </w:tc>
      </w:tr>
      <w:tr w:rsidR="00EE13F6">
        <w:trPr>
          <w:trHeight w:val="180"/>
        </w:trPr>
        <w:tc>
          <w:tcPr>
            <w:tcW w:w="1525" w:type="dxa"/>
            <w:tcBorders>
              <w:top w:val="nil"/>
              <w:left w:val="nil"/>
              <w:bottom w:val="nil"/>
              <w:right w:val="nil"/>
            </w:tcBorders>
          </w:tcPr>
          <w:p w:rsidR="00EE13F6" w:rsidRDefault="002E5BC4">
            <w:pPr>
              <w:spacing w:after="0"/>
              <w:ind w:left="81"/>
            </w:pPr>
            <w:r>
              <w:rPr>
                <w:sz w:val="16"/>
              </w:rPr>
              <w:t>10Y</w:t>
            </w:r>
          </w:p>
        </w:tc>
        <w:tc>
          <w:tcPr>
            <w:tcW w:w="475" w:type="dxa"/>
            <w:tcBorders>
              <w:top w:val="nil"/>
              <w:left w:val="nil"/>
              <w:bottom w:val="nil"/>
              <w:right w:val="nil"/>
            </w:tcBorders>
          </w:tcPr>
          <w:p w:rsidR="00EE13F6" w:rsidRDefault="002E5BC4">
            <w:pPr>
              <w:spacing w:after="0"/>
            </w:pPr>
            <w:r>
              <w:rPr>
                <w:sz w:val="16"/>
              </w:rPr>
              <w:t>50.9</w:t>
            </w:r>
          </w:p>
        </w:tc>
        <w:tc>
          <w:tcPr>
            <w:tcW w:w="475" w:type="dxa"/>
            <w:tcBorders>
              <w:top w:val="nil"/>
              <w:left w:val="nil"/>
              <w:bottom w:val="nil"/>
              <w:right w:val="nil"/>
            </w:tcBorders>
          </w:tcPr>
          <w:p w:rsidR="00EE13F6" w:rsidRDefault="002E5BC4">
            <w:pPr>
              <w:spacing w:after="0"/>
            </w:pPr>
            <w:r>
              <w:rPr>
                <w:sz w:val="16"/>
              </w:rPr>
              <w:t>57.7</w:t>
            </w:r>
          </w:p>
        </w:tc>
        <w:tc>
          <w:tcPr>
            <w:tcW w:w="475" w:type="dxa"/>
            <w:tcBorders>
              <w:top w:val="nil"/>
              <w:left w:val="nil"/>
              <w:bottom w:val="nil"/>
              <w:right w:val="nil"/>
            </w:tcBorders>
          </w:tcPr>
          <w:p w:rsidR="00EE13F6" w:rsidRDefault="002E5BC4">
            <w:pPr>
              <w:spacing w:after="0"/>
            </w:pPr>
            <w:r>
              <w:rPr>
                <w:sz w:val="16"/>
              </w:rPr>
              <w:t>57.1</w:t>
            </w:r>
          </w:p>
        </w:tc>
        <w:tc>
          <w:tcPr>
            <w:tcW w:w="474" w:type="dxa"/>
            <w:tcBorders>
              <w:top w:val="nil"/>
              <w:left w:val="nil"/>
              <w:bottom w:val="nil"/>
              <w:right w:val="nil"/>
            </w:tcBorders>
          </w:tcPr>
          <w:p w:rsidR="00EE13F6" w:rsidRDefault="002E5BC4">
            <w:pPr>
              <w:spacing w:after="0"/>
            </w:pPr>
            <w:r>
              <w:rPr>
                <w:sz w:val="16"/>
              </w:rPr>
              <w:t>53.1</w:t>
            </w:r>
          </w:p>
        </w:tc>
        <w:tc>
          <w:tcPr>
            <w:tcW w:w="475" w:type="dxa"/>
            <w:tcBorders>
              <w:top w:val="nil"/>
              <w:left w:val="nil"/>
              <w:bottom w:val="nil"/>
              <w:right w:val="nil"/>
            </w:tcBorders>
          </w:tcPr>
          <w:p w:rsidR="00EE13F6" w:rsidRDefault="002E5BC4">
            <w:pPr>
              <w:spacing w:after="0"/>
            </w:pPr>
            <w:r>
              <w:rPr>
                <w:sz w:val="16"/>
              </w:rPr>
              <w:t>58.8</w:t>
            </w:r>
          </w:p>
        </w:tc>
        <w:tc>
          <w:tcPr>
            <w:tcW w:w="475" w:type="dxa"/>
            <w:tcBorders>
              <w:top w:val="nil"/>
              <w:left w:val="nil"/>
              <w:bottom w:val="nil"/>
              <w:right w:val="nil"/>
            </w:tcBorders>
          </w:tcPr>
          <w:p w:rsidR="00EE13F6" w:rsidRDefault="002E5BC4">
            <w:pPr>
              <w:spacing w:after="0"/>
            </w:pPr>
            <w:r>
              <w:rPr>
                <w:sz w:val="16"/>
              </w:rPr>
              <w:t>54.9</w:t>
            </w:r>
          </w:p>
        </w:tc>
        <w:tc>
          <w:tcPr>
            <w:tcW w:w="341" w:type="dxa"/>
            <w:tcBorders>
              <w:top w:val="nil"/>
              <w:left w:val="nil"/>
              <w:bottom w:val="nil"/>
              <w:right w:val="nil"/>
            </w:tcBorders>
          </w:tcPr>
          <w:p w:rsidR="00EE13F6" w:rsidRDefault="002E5BC4">
            <w:pPr>
              <w:spacing w:after="0"/>
            </w:pPr>
            <w:r>
              <w:rPr>
                <w:sz w:val="16"/>
              </w:rPr>
              <w:t>32.8</w:t>
            </w:r>
          </w:p>
        </w:tc>
      </w:tr>
      <w:tr w:rsidR="00EE13F6">
        <w:trPr>
          <w:trHeight w:val="180"/>
        </w:trPr>
        <w:tc>
          <w:tcPr>
            <w:tcW w:w="1525" w:type="dxa"/>
            <w:tcBorders>
              <w:top w:val="nil"/>
              <w:left w:val="nil"/>
              <w:bottom w:val="nil"/>
              <w:right w:val="nil"/>
            </w:tcBorders>
          </w:tcPr>
          <w:p w:rsidR="00EE13F6" w:rsidRDefault="002E5BC4">
            <w:pPr>
              <w:spacing w:after="0"/>
              <w:ind w:left="81"/>
            </w:pPr>
            <w:r>
              <w:rPr>
                <w:sz w:val="16"/>
              </w:rPr>
              <w:t>15Y</w:t>
            </w:r>
          </w:p>
        </w:tc>
        <w:tc>
          <w:tcPr>
            <w:tcW w:w="475" w:type="dxa"/>
            <w:tcBorders>
              <w:top w:val="nil"/>
              <w:left w:val="nil"/>
              <w:bottom w:val="nil"/>
              <w:right w:val="nil"/>
            </w:tcBorders>
          </w:tcPr>
          <w:p w:rsidR="00EE13F6" w:rsidRDefault="002E5BC4">
            <w:pPr>
              <w:spacing w:after="0"/>
            </w:pPr>
            <w:r>
              <w:rPr>
                <w:sz w:val="16"/>
              </w:rPr>
              <w:t>54.1</w:t>
            </w:r>
          </w:p>
        </w:tc>
        <w:tc>
          <w:tcPr>
            <w:tcW w:w="475" w:type="dxa"/>
            <w:tcBorders>
              <w:top w:val="nil"/>
              <w:left w:val="nil"/>
              <w:bottom w:val="nil"/>
              <w:right w:val="nil"/>
            </w:tcBorders>
          </w:tcPr>
          <w:p w:rsidR="00EE13F6" w:rsidRDefault="002E5BC4">
            <w:pPr>
              <w:spacing w:after="0"/>
            </w:pPr>
            <w:r>
              <w:rPr>
                <w:sz w:val="16"/>
              </w:rPr>
              <w:t>57.5</w:t>
            </w:r>
          </w:p>
        </w:tc>
        <w:tc>
          <w:tcPr>
            <w:tcW w:w="475" w:type="dxa"/>
            <w:tcBorders>
              <w:top w:val="nil"/>
              <w:left w:val="nil"/>
              <w:bottom w:val="nil"/>
              <w:right w:val="nil"/>
            </w:tcBorders>
          </w:tcPr>
          <w:p w:rsidR="00EE13F6" w:rsidRDefault="002E5BC4">
            <w:pPr>
              <w:spacing w:after="0"/>
            </w:pPr>
            <w:r>
              <w:rPr>
                <w:sz w:val="16"/>
              </w:rPr>
              <w:t>55.4</w:t>
            </w:r>
          </w:p>
        </w:tc>
        <w:tc>
          <w:tcPr>
            <w:tcW w:w="474" w:type="dxa"/>
            <w:tcBorders>
              <w:top w:val="nil"/>
              <w:left w:val="nil"/>
              <w:bottom w:val="nil"/>
              <w:right w:val="nil"/>
            </w:tcBorders>
          </w:tcPr>
          <w:p w:rsidR="00EE13F6" w:rsidRDefault="002E5BC4">
            <w:pPr>
              <w:spacing w:after="0"/>
            </w:pPr>
            <w:r>
              <w:rPr>
                <w:sz w:val="16"/>
              </w:rPr>
              <w:t>51.3</w:t>
            </w:r>
          </w:p>
        </w:tc>
        <w:tc>
          <w:tcPr>
            <w:tcW w:w="475" w:type="dxa"/>
            <w:tcBorders>
              <w:top w:val="nil"/>
              <w:left w:val="nil"/>
              <w:bottom w:val="nil"/>
              <w:right w:val="nil"/>
            </w:tcBorders>
          </w:tcPr>
          <w:p w:rsidR="00EE13F6" w:rsidRDefault="002E5BC4">
            <w:pPr>
              <w:spacing w:after="0"/>
            </w:pPr>
            <w:r>
              <w:rPr>
                <w:sz w:val="16"/>
              </w:rPr>
              <w:t>57.3</w:t>
            </w:r>
          </w:p>
        </w:tc>
        <w:tc>
          <w:tcPr>
            <w:tcW w:w="475" w:type="dxa"/>
            <w:tcBorders>
              <w:top w:val="nil"/>
              <w:left w:val="nil"/>
              <w:bottom w:val="nil"/>
              <w:right w:val="nil"/>
            </w:tcBorders>
          </w:tcPr>
          <w:p w:rsidR="00EE13F6" w:rsidRDefault="002E5BC4">
            <w:pPr>
              <w:spacing w:after="0"/>
            </w:pPr>
            <w:r>
              <w:rPr>
                <w:sz w:val="16"/>
              </w:rPr>
              <w:t>53.8</w:t>
            </w:r>
          </w:p>
        </w:tc>
        <w:tc>
          <w:tcPr>
            <w:tcW w:w="341" w:type="dxa"/>
            <w:tcBorders>
              <w:top w:val="nil"/>
              <w:left w:val="nil"/>
              <w:bottom w:val="nil"/>
              <w:right w:val="nil"/>
            </w:tcBorders>
          </w:tcPr>
          <w:p w:rsidR="00EE13F6" w:rsidRDefault="002E5BC4">
            <w:pPr>
              <w:spacing w:after="0"/>
            </w:pPr>
            <w:r>
              <w:rPr>
                <w:sz w:val="16"/>
              </w:rPr>
              <w:t>32.5</w:t>
            </w:r>
          </w:p>
        </w:tc>
      </w:tr>
      <w:tr w:rsidR="00EE13F6">
        <w:trPr>
          <w:trHeight w:val="196"/>
        </w:trPr>
        <w:tc>
          <w:tcPr>
            <w:tcW w:w="1525" w:type="dxa"/>
            <w:tcBorders>
              <w:top w:val="nil"/>
              <w:left w:val="nil"/>
              <w:bottom w:val="single" w:sz="5" w:space="0" w:color="841F27"/>
              <w:right w:val="nil"/>
            </w:tcBorders>
          </w:tcPr>
          <w:p w:rsidR="00EE13F6" w:rsidRDefault="002E5BC4">
            <w:pPr>
              <w:spacing w:after="0"/>
              <w:ind w:left="81"/>
            </w:pPr>
            <w:r>
              <w:rPr>
                <w:sz w:val="16"/>
              </w:rPr>
              <w:t>20Y</w:t>
            </w:r>
          </w:p>
        </w:tc>
        <w:tc>
          <w:tcPr>
            <w:tcW w:w="475" w:type="dxa"/>
            <w:tcBorders>
              <w:top w:val="nil"/>
              <w:left w:val="nil"/>
              <w:bottom w:val="single" w:sz="5" w:space="0" w:color="841F27"/>
              <w:right w:val="nil"/>
            </w:tcBorders>
          </w:tcPr>
          <w:p w:rsidR="00EE13F6" w:rsidRDefault="002E5BC4">
            <w:pPr>
              <w:spacing w:after="0"/>
            </w:pPr>
            <w:r>
              <w:rPr>
                <w:sz w:val="16"/>
              </w:rPr>
              <w:t>54.6</w:t>
            </w:r>
          </w:p>
        </w:tc>
        <w:tc>
          <w:tcPr>
            <w:tcW w:w="475" w:type="dxa"/>
            <w:tcBorders>
              <w:top w:val="nil"/>
              <w:left w:val="nil"/>
              <w:bottom w:val="single" w:sz="5" w:space="0" w:color="841F27"/>
              <w:right w:val="nil"/>
            </w:tcBorders>
          </w:tcPr>
          <w:p w:rsidR="00EE13F6" w:rsidRDefault="002E5BC4">
            <w:pPr>
              <w:spacing w:after="0"/>
            </w:pPr>
            <w:r>
              <w:rPr>
                <w:sz w:val="16"/>
              </w:rPr>
              <w:t>56.4</w:t>
            </w:r>
          </w:p>
        </w:tc>
        <w:tc>
          <w:tcPr>
            <w:tcW w:w="475" w:type="dxa"/>
            <w:tcBorders>
              <w:top w:val="nil"/>
              <w:left w:val="nil"/>
              <w:bottom w:val="single" w:sz="5" w:space="0" w:color="841F27"/>
              <w:right w:val="nil"/>
            </w:tcBorders>
          </w:tcPr>
          <w:p w:rsidR="00EE13F6" w:rsidRDefault="002E5BC4">
            <w:pPr>
              <w:spacing w:after="0"/>
            </w:pPr>
            <w:r>
              <w:rPr>
                <w:sz w:val="16"/>
              </w:rPr>
              <w:t>55.4</w:t>
            </w:r>
          </w:p>
        </w:tc>
        <w:tc>
          <w:tcPr>
            <w:tcW w:w="474" w:type="dxa"/>
            <w:tcBorders>
              <w:top w:val="nil"/>
              <w:left w:val="nil"/>
              <w:bottom w:val="single" w:sz="5" w:space="0" w:color="841F27"/>
              <w:right w:val="nil"/>
            </w:tcBorders>
          </w:tcPr>
          <w:p w:rsidR="00EE13F6" w:rsidRDefault="002E5BC4">
            <w:pPr>
              <w:spacing w:after="0"/>
            </w:pPr>
            <w:r>
              <w:rPr>
                <w:sz w:val="16"/>
              </w:rPr>
              <w:t>49.8</w:t>
            </w:r>
          </w:p>
        </w:tc>
        <w:tc>
          <w:tcPr>
            <w:tcW w:w="475" w:type="dxa"/>
            <w:tcBorders>
              <w:top w:val="nil"/>
              <w:left w:val="nil"/>
              <w:bottom w:val="single" w:sz="5" w:space="0" w:color="841F27"/>
              <w:right w:val="nil"/>
            </w:tcBorders>
          </w:tcPr>
          <w:p w:rsidR="00EE13F6" w:rsidRDefault="002E5BC4">
            <w:pPr>
              <w:spacing w:after="0"/>
            </w:pPr>
            <w:r>
              <w:rPr>
                <w:sz w:val="16"/>
              </w:rPr>
              <w:t>46.1</w:t>
            </w:r>
          </w:p>
        </w:tc>
        <w:tc>
          <w:tcPr>
            <w:tcW w:w="475" w:type="dxa"/>
            <w:tcBorders>
              <w:top w:val="nil"/>
              <w:left w:val="nil"/>
              <w:bottom w:val="single" w:sz="5" w:space="0" w:color="841F27"/>
              <w:right w:val="nil"/>
            </w:tcBorders>
          </w:tcPr>
          <w:p w:rsidR="00EE13F6" w:rsidRDefault="002E5BC4">
            <w:pPr>
              <w:spacing w:after="0"/>
            </w:pPr>
            <w:r>
              <w:rPr>
                <w:sz w:val="16"/>
              </w:rPr>
              <w:t>42.8</w:t>
            </w:r>
          </w:p>
        </w:tc>
        <w:tc>
          <w:tcPr>
            <w:tcW w:w="341" w:type="dxa"/>
            <w:tcBorders>
              <w:top w:val="nil"/>
              <w:left w:val="nil"/>
              <w:bottom w:val="single" w:sz="5" w:space="0" w:color="841F27"/>
              <w:right w:val="nil"/>
            </w:tcBorders>
          </w:tcPr>
          <w:p w:rsidR="00EE13F6" w:rsidRDefault="002E5BC4">
            <w:pPr>
              <w:spacing w:after="0"/>
            </w:pPr>
            <w:r>
              <w:rPr>
                <w:sz w:val="16"/>
              </w:rPr>
              <w:t>32.3</w:t>
            </w:r>
          </w:p>
        </w:tc>
      </w:tr>
    </w:tbl>
    <w:p w:rsidR="00EE13F6" w:rsidRDefault="002E5BC4">
      <w:pPr>
        <w:spacing w:after="5" w:line="271" w:lineRule="auto"/>
        <w:ind w:left="-4" w:hanging="10"/>
        <w:jc w:val="both"/>
      </w:pPr>
      <w:r>
        <w:rPr>
          <w:rFonts w:ascii="Times New Roman" w:eastAsia="Times New Roman" w:hAnsi="Times New Roman" w:cs="Times New Roman"/>
        </w:rPr>
        <w:t>substantial increase in the cost of funding for these corporations. For the three financial institutions (Axa., Commerzbank and UniCredit), the impact seems to be much lower than for the three industrial companies (Alsthom, Arcelor-Mittal and Michelin). Fo</w:t>
      </w:r>
      <w:r>
        <w:rPr>
          <w:rFonts w:ascii="Times New Roman" w:eastAsia="Times New Roman" w:hAnsi="Times New Roman" w:cs="Times New Roman"/>
        </w:rPr>
        <w:t>r the three financial institutions, the impact ranges between 27 and 47 basis points per annum, which represents between</w:t>
      </w:r>
    </w:p>
    <w:tbl>
      <w:tblPr>
        <w:tblStyle w:val="TableGrid"/>
        <w:tblpPr w:vertAnchor="text" w:horzAnchor="margin"/>
        <w:tblOverlap w:val="never"/>
        <w:tblW w:w="9792" w:type="dxa"/>
        <w:tblInd w:w="0" w:type="dxa"/>
        <w:tblCellMar>
          <w:top w:w="0" w:type="dxa"/>
          <w:left w:w="0" w:type="dxa"/>
          <w:bottom w:w="0" w:type="dxa"/>
          <w:right w:w="2" w:type="dxa"/>
        </w:tblCellMar>
        <w:tblLook w:val="04A0" w:firstRow="1" w:lastRow="0" w:firstColumn="1" w:lastColumn="0" w:noHBand="0" w:noVBand="1"/>
      </w:tblPr>
      <w:tblGrid>
        <w:gridCol w:w="9792"/>
      </w:tblGrid>
      <w:tr w:rsidR="00EE13F6">
        <w:trPr>
          <w:trHeight w:val="1153"/>
        </w:trPr>
        <w:tc>
          <w:tcPr>
            <w:tcW w:w="8533" w:type="dxa"/>
            <w:tcBorders>
              <w:top w:val="nil"/>
              <w:left w:val="nil"/>
              <w:bottom w:val="nil"/>
              <w:right w:val="nil"/>
            </w:tcBorders>
          </w:tcPr>
          <w:p w:rsidR="00EE13F6" w:rsidRDefault="002E5BC4">
            <w:pPr>
              <w:spacing w:after="352"/>
            </w:pPr>
            <w:r>
              <w:rPr>
                <w:sz w:val="15"/>
              </w:rPr>
              <w:t>10</w:t>
            </w:r>
          </w:p>
          <w:p w:rsidR="00EE13F6" w:rsidRDefault="002E5BC4">
            <w:pPr>
              <w:spacing w:after="22"/>
            </w:pPr>
            <w:r>
              <w:rPr>
                <w:color w:val="841F27"/>
                <w:sz w:val="19"/>
              </w:rPr>
              <w:t xml:space="preserve">Table 4. </w:t>
            </w:r>
            <w:r>
              <w:rPr>
                <w:sz w:val="19"/>
              </w:rPr>
              <w:t>FTT impact on the CDS spreads for a sample of six European corporate firms.</w:t>
            </w:r>
          </w:p>
          <w:p w:rsidR="00EE13F6" w:rsidRDefault="002E5BC4">
            <w:pPr>
              <w:tabs>
                <w:tab w:val="center" w:pos="4660"/>
                <w:tab w:val="center" w:pos="5974"/>
                <w:tab w:val="center" w:pos="7150"/>
                <w:tab w:val="center" w:pos="8327"/>
              </w:tabs>
              <w:spacing w:after="56"/>
            </w:pPr>
            <w:r>
              <w:rPr>
                <w:noProof/>
              </w:rPr>
              <mc:AlternateContent>
                <mc:Choice Requires="wpg">
                  <w:drawing>
                    <wp:anchor distT="0" distB="0" distL="114300" distR="114300" simplePos="0" relativeHeight="251687936" behindDoc="1" locked="0" layoutInCell="1" allowOverlap="1">
                      <wp:simplePos x="0" y="0"/>
                      <wp:positionH relativeFrom="column">
                        <wp:posOffset>0</wp:posOffset>
                      </wp:positionH>
                      <wp:positionV relativeFrom="paragraph">
                        <wp:posOffset>-46976</wp:posOffset>
                      </wp:positionV>
                      <wp:extent cx="6216486" cy="293771"/>
                      <wp:effectExtent l="0" t="0" r="0" b="0"/>
                      <wp:wrapNone/>
                      <wp:docPr id="217745" name="Group 217745"/>
                      <wp:cNvGraphicFramePr/>
                      <a:graphic xmlns:a="http://schemas.openxmlformats.org/drawingml/2006/main">
                        <a:graphicData uri="http://schemas.microsoft.com/office/word/2010/wordprocessingGroup">
                          <wpg:wgp>
                            <wpg:cNvGrpSpPr/>
                            <wpg:grpSpPr>
                              <a:xfrm>
                                <a:off x="0" y="0"/>
                                <a:ext cx="6216486" cy="293771"/>
                                <a:chOff x="0" y="0"/>
                                <a:chExt cx="6216486" cy="293771"/>
                              </a:xfrm>
                            </wpg:grpSpPr>
                            <wps:wsp>
                              <wps:cNvPr id="230985" name="Shape 230985"/>
                              <wps:cNvSpPr/>
                              <wps:spPr>
                                <a:xfrm>
                                  <a:off x="0" y="0"/>
                                  <a:ext cx="6216486" cy="9144"/>
                                </a:xfrm>
                                <a:custGeom>
                                  <a:avLst/>
                                  <a:gdLst/>
                                  <a:ahLst/>
                                  <a:cxnLst/>
                                  <a:rect l="0" t="0" r="0" b="0"/>
                                  <a:pathLst>
                                    <a:path w="6216486" h="9144">
                                      <a:moveTo>
                                        <a:pt x="0" y="0"/>
                                      </a:moveTo>
                                      <a:lnTo>
                                        <a:pt x="6216486" y="0"/>
                                      </a:lnTo>
                                      <a:lnTo>
                                        <a:pt x="6216486"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86" name="Shape 230986"/>
                              <wps:cNvSpPr/>
                              <wps:spPr>
                                <a:xfrm>
                                  <a:off x="0" y="158407"/>
                                  <a:ext cx="1107364" cy="9144"/>
                                </a:xfrm>
                                <a:custGeom>
                                  <a:avLst/>
                                  <a:gdLst/>
                                  <a:ahLst/>
                                  <a:cxnLst/>
                                  <a:rect l="0" t="0" r="0" b="0"/>
                                  <a:pathLst>
                                    <a:path w="1107364" h="9144">
                                      <a:moveTo>
                                        <a:pt x="0" y="0"/>
                                      </a:moveTo>
                                      <a:lnTo>
                                        <a:pt x="1107364" y="0"/>
                                      </a:lnTo>
                                      <a:lnTo>
                                        <a:pt x="1107364"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87" name="Shape 230987"/>
                              <wps:cNvSpPr/>
                              <wps:spPr>
                                <a:xfrm>
                                  <a:off x="1107364" y="158407"/>
                                  <a:ext cx="887756" cy="9144"/>
                                </a:xfrm>
                                <a:custGeom>
                                  <a:avLst/>
                                  <a:gdLst/>
                                  <a:ahLst/>
                                  <a:cxnLst/>
                                  <a:rect l="0" t="0" r="0" b="0"/>
                                  <a:pathLst>
                                    <a:path w="887756" h="9144">
                                      <a:moveTo>
                                        <a:pt x="0" y="0"/>
                                      </a:moveTo>
                                      <a:lnTo>
                                        <a:pt x="887756" y="0"/>
                                      </a:lnTo>
                                      <a:lnTo>
                                        <a:pt x="887756"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88" name="Shape 230988"/>
                              <wps:cNvSpPr/>
                              <wps:spPr>
                                <a:xfrm>
                                  <a:off x="1995119" y="158407"/>
                                  <a:ext cx="747357" cy="9144"/>
                                </a:xfrm>
                                <a:custGeom>
                                  <a:avLst/>
                                  <a:gdLst/>
                                  <a:ahLst/>
                                  <a:cxnLst/>
                                  <a:rect l="0" t="0" r="0" b="0"/>
                                  <a:pathLst>
                                    <a:path w="747357" h="9144">
                                      <a:moveTo>
                                        <a:pt x="0" y="0"/>
                                      </a:moveTo>
                                      <a:lnTo>
                                        <a:pt x="747357" y="0"/>
                                      </a:lnTo>
                                      <a:lnTo>
                                        <a:pt x="747357"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89" name="Shape 230989"/>
                              <wps:cNvSpPr/>
                              <wps:spPr>
                                <a:xfrm>
                                  <a:off x="2742476" y="158407"/>
                                  <a:ext cx="920166" cy="9144"/>
                                </a:xfrm>
                                <a:custGeom>
                                  <a:avLst/>
                                  <a:gdLst/>
                                  <a:ahLst/>
                                  <a:cxnLst/>
                                  <a:rect l="0" t="0" r="0" b="0"/>
                                  <a:pathLst>
                                    <a:path w="920166" h="9144">
                                      <a:moveTo>
                                        <a:pt x="0" y="0"/>
                                      </a:moveTo>
                                      <a:lnTo>
                                        <a:pt x="920166" y="0"/>
                                      </a:lnTo>
                                      <a:lnTo>
                                        <a:pt x="920166"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90" name="Shape 230990"/>
                              <wps:cNvSpPr/>
                              <wps:spPr>
                                <a:xfrm>
                                  <a:off x="3662630" y="158407"/>
                                  <a:ext cx="746646" cy="9144"/>
                                </a:xfrm>
                                <a:custGeom>
                                  <a:avLst/>
                                  <a:gdLst/>
                                  <a:ahLst/>
                                  <a:cxnLst/>
                                  <a:rect l="0" t="0" r="0" b="0"/>
                                  <a:pathLst>
                                    <a:path w="746646" h="9144">
                                      <a:moveTo>
                                        <a:pt x="0" y="0"/>
                                      </a:moveTo>
                                      <a:lnTo>
                                        <a:pt x="746646" y="0"/>
                                      </a:lnTo>
                                      <a:lnTo>
                                        <a:pt x="746646"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91" name="Shape 230991"/>
                              <wps:cNvSpPr/>
                              <wps:spPr>
                                <a:xfrm>
                                  <a:off x="4409288" y="158407"/>
                                  <a:ext cx="747357" cy="9144"/>
                                </a:xfrm>
                                <a:custGeom>
                                  <a:avLst/>
                                  <a:gdLst/>
                                  <a:ahLst/>
                                  <a:cxnLst/>
                                  <a:rect l="0" t="0" r="0" b="0"/>
                                  <a:pathLst>
                                    <a:path w="747357" h="9144">
                                      <a:moveTo>
                                        <a:pt x="0" y="0"/>
                                      </a:moveTo>
                                      <a:lnTo>
                                        <a:pt x="747357" y="0"/>
                                      </a:lnTo>
                                      <a:lnTo>
                                        <a:pt x="747357"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92" name="Shape 230992"/>
                              <wps:cNvSpPr/>
                              <wps:spPr>
                                <a:xfrm>
                                  <a:off x="5156632" y="158407"/>
                                  <a:ext cx="746646" cy="9144"/>
                                </a:xfrm>
                                <a:custGeom>
                                  <a:avLst/>
                                  <a:gdLst/>
                                  <a:ahLst/>
                                  <a:cxnLst/>
                                  <a:rect l="0" t="0" r="0" b="0"/>
                                  <a:pathLst>
                                    <a:path w="746646" h="9144">
                                      <a:moveTo>
                                        <a:pt x="0" y="0"/>
                                      </a:moveTo>
                                      <a:lnTo>
                                        <a:pt x="746646" y="0"/>
                                      </a:lnTo>
                                      <a:lnTo>
                                        <a:pt x="746646"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30993" name="Shape 230993"/>
                              <wps:cNvSpPr/>
                              <wps:spPr>
                                <a:xfrm>
                                  <a:off x="5903291" y="158407"/>
                                  <a:ext cx="313195" cy="9144"/>
                                </a:xfrm>
                                <a:custGeom>
                                  <a:avLst/>
                                  <a:gdLst/>
                                  <a:ahLst/>
                                  <a:cxnLst/>
                                  <a:rect l="0" t="0" r="0" b="0"/>
                                  <a:pathLst>
                                    <a:path w="313195" h="9144">
                                      <a:moveTo>
                                        <a:pt x="0" y="0"/>
                                      </a:moveTo>
                                      <a:lnTo>
                                        <a:pt x="313195" y="0"/>
                                      </a:lnTo>
                                      <a:lnTo>
                                        <a:pt x="313195"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s:wsp>
                              <wps:cNvPr id="217650" name="Rectangle 217650"/>
                              <wps:cNvSpPr/>
                              <wps:spPr>
                                <a:xfrm>
                                  <a:off x="1107342" y="48613"/>
                                  <a:ext cx="64185" cy="123100"/>
                                </a:xfrm>
                                <a:prstGeom prst="rect">
                                  <a:avLst/>
                                </a:prstGeom>
                                <a:ln>
                                  <a:noFill/>
                                </a:ln>
                              </wps:spPr>
                              <wps:txbx>
                                <w:txbxContent>
                                  <w:p w:rsidR="00EE13F6" w:rsidRDefault="002E5BC4">
                                    <w:r>
                                      <w:rPr>
                                        <w:w w:val="93"/>
                                        <w:sz w:val="16"/>
                                      </w:rPr>
                                      <w:t>5</w:t>
                                    </w:r>
                                  </w:p>
                                </w:txbxContent>
                              </wps:txbx>
                              <wps:bodyPr horzOverflow="overflow" vert="horz" lIns="0" tIns="0" rIns="0" bIns="0" rtlCol="0">
                                <a:noAutofit/>
                              </wps:bodyPr>
                            </wps:wsp>
                            <wps:wsp>
                              <wps:cNvPr id="217651" name="Rectangle 217651"/>
                              <wps:cNvSpPr/>
                              <wps:spPr>
                                <a:xfrm>
                                  <a:off x="1155601" y="48613"/>
                                  <a:ext cx="471591" cy="123100"/>
                                </a:xfrm>
                                <a:prstGeom prst="rect">
                                  <a:avLst/>
                                </a:prstGeom>
                                <a:ln>
                                  <a:noFill/>
                                </a:ln>
                              </wps:spPr>
                              <wps:txbx>
                                <w:txbxContent>
                                  <w:p w:rsidR="00EE13F6" w:rsidRDefault="002E5BC4">
                                    <w:r>
                                      <w:rPr>
                                        <w:w w:val="97"/>
                                        <w:sz w:val="16"/>
                                      </w:rPr>
                                      <w:t>Y-Spread</w:t>
                                    </w:r>
                                  </w:p>
                                </w:txbxContent>
                              </wps:txbx>
                              <wps:bodyPr horzOverflow="overflow" vert="horz" lIns="0" tIns="0" rIns="0" bIns="0" rtlCol="0">
                                <a:noAutofit/>
                              </wps:bodyPr>
                            </wps:wsp>
                            <wps:wsp>
                              <wps:cNvPr id="26290" name="Rectangle 26290"/>
                              <wps:cNvSpPr/>
                              <wps:spPr>
                                <a:xfrm>
                                  <a:off x="2100266" y="38047"/>
                                  <a:ext cx="66212" cy="137694"/>
                                </a:xfrm>
                                <a:prstGeom prst="rect">
                                  <a:avLst/>
                                </a:prstGeom>
                                <a:ln>
                                  <a:noFill/>
                                </a:ln>
                              </wps:spPr>
                              <wps:txbx>
                                <w:txbxContent>
                                  <w:p w:rsidR="00EE13F6" w:rsidRDefault="002E5BC4">
                                    <w:r>
                                      <w:rPr>
                                        <w:w w:val="93"/>
                                        <w:sz w:val="16"/>
                                      </w:rPr>
                                      <w:t>σ</w:t>
                                    </w:r>
                                  </w:p>
                                </w:txbxContent>
                              </wps:txbx>
                              <wps:bodyPr horzOverflow="overflow" vert="horz" lIns="0" tIns="0" rIns="0" bIns="0" rtlCol="0">
                                <a:noAutofit/>
                              </wps:bodyPr>
                            </wps:wsp>
                            <wps:wsp>
                              <wps:cNvPr id="217665" name="Rectangle 217665"/>
                              <wps:cNvSpPr/>
                              <wps:spPr>
                                <a:xfrm>
                                  <a:off x="5914688" y="48613"/>
                                  <a:ext cx="128370" cy="123100"/>
                                </a:xfrm>
                                <a:prstGeom prst="rect">
                                  <a:avLst/>
                                </a:prstGeom>
                                <a:ln>
                                  <a:noFill/>
                                </a:ln>
                              </wps:spPr>
                              <wps:txbx>
                                <w:txbxContent>
                                  <w:p w:rsidR="00EE13F6" w:rsidRDefault="002E5BC4">
                                    <w:r>
                                      <w:rPr>
                                        <w:w w:val="93"/>
                                        <w:sz w:val="16"/>
                                      </w:rPr>
                                      <w:t>20</w:t>
                                    </w:r>
                                  </w:p>
                                </w:txbxContent>
                              </wps:txbx>
                              <wps:bodyPr horzOverflow="overflow" vert="horz" lIns="0" tIns="0" rIns="0" bIns="0" rtlCol="0">
                                <a:noAutofit/>
                              </wps:bodyPr>
                            </wps:wsp>
                            <wps:wsp>
                              <wps:cNvPr id="217666" name="Rectangle 217666"/>
                              <wps:cNvSpPr/>
                              <wps:spPr>
                                <a:xfrm>
                                  <a:off x="6061702" y="48613"/>
                                  <a:ext cx="40268" cy="123100"/>
                                </a:xfrm>
                                <a:prstGeom prst="rect">
                                  <a:avLst/>
                                </a:prstGeom>
                                <a:ln>
                                  <a:noFill/>
                                </a:ln>
                              </wps:spPr>
                              <wps:txbx>
                                <w:txbxContent>
                                  <w:p w:rsidR="00EE13F6" w:rsidRDefault="002E5BC4">
                                    <w:r>
                                      <w:rPr>
                                        <w:w w:val="97"/>
                                        <w:sz w:val="16"/>
                                      </w:rPr>
                                      <w:t>-</w:t>
                                    </w:r>
                                  </w:p>
                                </w:txbxContent>
                              </wps:txbx>
                              <wps:bodyPr horzOverflow="overflow" vert="horz" lIns="0" tIns="0" rIns="0" bIns="0" rtlCol="0">
                                <a:noAutofit/>
                              </wps:bodyPr>
                            </wps:wsp>
                            <wps:wsp>
                              <wps:cNvPr id="217667" name="Rectangle 217667"/>
                              <wps:cNvSpPr/>
                              <wps:spPr>
                                <a:xfrm>
                                  <a:off x="6011207" y="48613"/>
                                  <a:ext cx="67158" cy="123100"/>
                                </a:xfrm>
                                <a:prstGeom prst="rect">
                                  <a:avLst/>
                                </a:prstGeom>
                                <a:ln>
                                  <a:noFill/>
                                </a:ln>
                              </wps:spPr>
                              <wps:txbx>
                                <w:txbxContent>
                                  <w:p w:rsidR="00EE13F6" w:rsidRDefault="002E5BC4">
                                    <w:r>
                                      <w:rPr>
                                        <w:w w:val="105"/>
                                        <w:sz w:val="16"/>
                                      </w:rPr>
                                      <w:t>Y</w:t>
                                    </w:r>
                                  </w:p>
                                </w:txbxContent>
                              </wps:txbx>
                              <wps:bodyPr horzOverflow="overflow" vert="horz" lIns="0" tIns="0" rIns="0" bIns="0" rtlCol="0">
                                <a:noAutofit/>
                              </wps:bodyPr>
                            </wps:wsp>
                            <wps:wsp>
                              <wps:cNvPr id="26300" name="Rectangle 26300"/>
                              <wps:cNvSpPr/>
                              <wps:spPr>
                                <a:xfrm>
                                  <a:off x="6091775" y="40079"/>
                                  <a:ext cx="82832" cy="143639"/>
                                </a:xfrm>
                                <a:prstGeom prst="rect">
                                  <a:avLst/>
                                </a:prstGeom>
                                <a:ln>
                                  <a:noFill/>
                                </a:ln>
                              </wps:spPr>
                              <wps:txbx>
                                <w:txbxContent>
                                  <w:p w:rsidR="00EE13F6" w:rsidRDefault="002E5BC4">
                                    <w:r>
                                      <w:rPr>
                                        <w:w w:val="110"/>
                                        <w:sz w:val="16"/>
                                      </w:rPr>
                                      <w:t>Δ</w:t>
                                    </w:r>
                                  </w:p>
                                </w:txbxContent>
                              </wps:txbx>
                              <wps:bodyPr horzOverflow="overflow" vert="horz" lIns="0" tIns="0" rIns="0" bIns="0" rtlCol="0">
                                <a:noAutofit/>
                              </wps:bodyPr>
                            </wps:wsp>
                            <wps:wsp>
                              <wps:cNvPr id="26308" name="Rectangle 26308"/>
                              <wps:cNvSpPr/>
                              <wps:spPr>
                                <a:xfrm>
                                  <a:off x="5951569" y="201215"/>
                                  <a:ext cx="284171" cy="123100"/>
                                </a:xfrm>
                                <a:prstGeom prst="rect">
                                  <a:avLst/>
                                </a:prstGeom>
                                <a:ln>
                                  <a:noFill/>
                                </a:ln>
                              </wps:spPr>
                              <wps:txbx>
                                <w:txbxContent>
                                  <w:p w:rsidR="00EE13F6" w:rsidRDefault="002E5BC4">
                                    <w:r>
                                      <w:rPr>
                                        <w:w w:val="92"/>
                                        <w:sz w:val="16"/>
                                      </w:rPr>
                                      <w:t>63.45</w:t>
                                    </w:r>
                                  </w:p>
                                </w:txbxContent>
                              </wps:txbx>
                              <wps:bodyPr horzOverflow="overflow" vert="horz" lIns="0" tIns="0" rIns="0" bIns="0" rtlCol="0">
                                <a:noAutofit/>
                              </wps:bodyPr>
                            </wps:wsp>
                          </wpg:wgp>
                        </a:graphicData>
                      </a:graphic>
                    </wp:anchor>
                  </w:drawing>
                </mc:Choice>
                <mc:Fallback>
                  <w:pict>
                    <v:group id="Group 217745" o:spid="_x0000_s2066" style="position:absolute;margin-left:0;margin-top:-3.7pt;width:489.5pt;height:23.15pt;z-index:-251628544;mso-position-horizontal-relative:text;mso-position-vertical-relative:text" coordsize="62164,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">
                      <v:shape id="Shape 230985" o:spid="_x0000_s2067" style="position:absolute;width:62164;height:91;visibility:visible;mso-wrap-style:square;v-text-anchor:top" coordsize="62164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ka8cA&#10;AADfAAAADwAAAGRycy9kb3ducmV2LnhtbESPT2sCMRTE74V+h/AK3mq2isu6GqUIQo+6/efxkTx3&#10;l25eliTq6qc3hUKPw8z8hlmuB9uJM/nQOlbwMs5AEGtnWq4VfLxvnwsQISIb7ByTgisFWK8eH5ZY&#10;GnfhPZ2rWIsE4VCigibGvpQy6IYshrHriZN3dN5iTNLX0ni8JLjt5CTLcmmx5bTQYE+bhvRPdbIK&#10;cpff8t3OV9vTQfdfuui+N7dPpUZPw+sCRKQh/of/2m9GwWSazYsZ/P5JX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oJGvHAAAA3wAAAA8AAAAAAAAAAAAAAAAAmAIAAGRy&#10;cy9kb3ducmV2LnhtbFBLBQYAAAAABAAEAPUAAACMAwAAAAA=&#10;" path="m,l6216486,r,9144l,9144,,e" fillcolor="#841f27" strokecolor="#841f27" strokeweight="0">
                        <v:stroke endcap="round"/>
                        <v:path arrowok="t" textboxrect="0,0,6216486,9144"/>
                      </v:shape>
                      <v:shape id="Shape 230986" o:spid="_x0000_s2068" style="position:absolute;top:1584;width:11073;height:91;visibility:visible;mso-wrap-style:square;v-text-anchor:top" coordsize="1107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TfscA&#10;AADfAAAADwAAAGRycy9kb3ducmV2LnhtbESPQWvCQBSE74X+h+UVequbpiJp6ioiSD0YpKmHHh/Z&#10;1yQ0+zbsbnX9964geBxm5htmvoxmEEdyvres4HWSgSBurO65VXD43rwUIHxA1jhYJgVn8rBcPD7M&#10;sdT2xF90rEMrEoR9iQq6EMZSSt90ZNBP7EicvF/rDIYkXSu1w1OCm0HmWTaTBntOCx2OtO6o+av/&#10;jQLXf1b7sa3W0puYV7ufXTxMC6Wen+LqA0SgGO7hW3urFeRv2Xsxg+uf9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dE37HAAAA3wAAAA8AAAAAAAAAAAAAAAAAmAIAAGRy&#10;cy9kb3ducmV2LnhtbFBLBQYAAAAABAAEAPUAAACMAwAAAAA=&#10;" path="m,l1107364,r,9144l,9144,,e" fillcolor="#841f27" strokecolor="#841f27" strokeweight="0">
                        <v:stroke endcap="round"/>
                        <v:path arrowok="t" textboxrect="0,0,1107364,9144"/>
                      </v:shape>
                      <v:shape id="Shape 230987" o:spid="_x0000_s2069" style="position:absolute;left:11073;top:1584;width:8878;height:91;visibility:visible;mso-wrap-style:square;v-text-anchor:top" coordsize="8877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SpMcA&#10;AADfAAAADwAAAGRycy9kb3ducmV2LnhtbESPQWvCQBSE74X+h+UVeqsbU0g0dZUgCoVQiol4fs0+&#10;k2D2bchuNf333ULB4zAz3zCrzWR6caXRdZYVzGcRCOLa6o4bBcdq/7IA4Tyyxt4yKfghB5v148MK&#10;M21vfKBr6RsRIOwyVNB6P2RSurolg25mB+Lgne1o0Ac5NlKPeAtw08s4ihJpsOOw0OJA25bqS/lt&#10;FOSFS7uk3E1UfaT707wqvvgzVer5acrfQHia/D38337XCuLXaLlI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nkqTHAAAA3wAAAA8AAAAAAAAAAAAAAAAAmAIAAGRy&#10;cy9kb3ducmV2LnhtbFBLBQYAAAAABAAEAPUAAACMAwAAAAA=&#10;" path="m,l887756,r,9144l,9144,,e" fillcolor="#841f27" strokecolor="#841f27" strokeweight="0">
                        <v:stroke endcap="round"/>
                        <v:path arrowok="t" textboxrect="0,0,887756,9144"/>
                      </v:shape>
                      <v:shape id="Shape 230988" o:spid="_x0000_s2070" style="position:absolute;left:19951;top:1584;width:7473;height:91;visibility:visible;mso-wrap-style:square;v-text-anchor:top" coordsize="747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ysYA&#10;AADfAAAADwAAAGRycy9kb3ducmV2LnhtbERPz2vCMBS+C/4P4Qm7DE3txtBqFBls7CDoVDw/m2db&#10;bF66JNbOv345DDx+fL/ny87UoiXnK8sKxqMEBHFudcWFgsP+YzgB4QOyxtoyKfglD8tFvzfHTNsb&#10;f1O7C4WIIewzVFCG0GRS+rwkg35kG+LIna0zGCJ0hdQObzHc1DJNkjdpsOLYUGJD7yXll93VKODT&#10;Jd1s1z+b62t7OnbP97NLP1ulngbdagYiUBce4n/3l1aQviTTSRwc/8Qv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FysYAAADfAAAADwAAAAAAAAAAAAAAAACYAgAAZHJz&#10;L2Rvd25yZXYueG1sUEsFBgAAAAAEAAQA9QAAAIsDAAAAAA==&#10;" path="m,l747357,r,9144l,9144,,e" fillcolor="#841f27" strokecolor="#841f27" strokeweight="0">
                        <v:stroke endcap="round"/>
                        <v:path arrowok="t" textboxrect="0,0,747357,9144"/>
                      </v:shape>
                      <v:shape id="Shape 230989" o:spid="_x0000_s2071" style="position:absolute;left:27424;top:1584;width:9202;height:91;visibility:visible;mso-wrap-style:square;v-text-anchor:top" coordsize="9201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XoMYA&#10;AADfAAAADwAAAGRycy9kb3ducmV2LnhtbESPQWvCQBSE7wX/w/IK3uomChKjqxTFInpqLPT6yD6z&#10;wezbmN1q2l/vCgWPw8x8wyxWvW3ElTpfO1aQjhIQxKXTNVcKvo7btwyED8gaG8ek4Jc8rJaDlwXm&#10;2t34k65FqESEsM9RgQmhzaX0pSGLfuRa4uidXGcxRNlVUnd4i3DbyHGSTKXFmuOCwZbWhspz8WMV&#10;kPw7mF26+TgX2Tde9hZTs9krNXzt3+cgAvXhGf5v77SC8SSZZTN4/I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JXoMYAAADfAAAADwAAAAAAAAAAAAAAAACYAgAAZHJz&#10;L2Rvd25yZXYueG1sUEsFBgAAAAAEAAQA9QAAAIsDAAAAAA==&#10;" path="m,l920166,r,9144l,9144,,e" fillcolor="#841f27" strokecolor="#841f27" strokeweight="0">
                        <v:stroke endcap="round"/>
                        <v:path arrowok="t" textboxrect="0,0,920166,9144"/>
                      </v:shape>
                      <v:shape id="Shape 230990" o:spid="_x0000_s2072" style="position:absolute;left:36626;top:1584;width:7466;height:91;visibility:visible;mso-wrap-style:square;v-text-anchor:top" coordsize="7466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EbMUA&#10;AADfAAAADwAAAGRycy9kb3ducmV2LnhtbESPTU8CMRCG7yb+h2ZMuEkXJAorhSCEhMhJ1PtkO/uh&#10;2+mmHdjl39ODicc371ee5XpwrbpQiI1nA5NxBoq48LbhysDX5/5xDioKssXWMxm4UoT16v5uibn1&#10;PX/Q5SSVSiMcczRQi3S51rGoyWEc+444eaUPDiXJUGkbsE/jrtXTLHvWDhtODzV2tK2p+D2dnQF6&#10;n2iRsj++/Wzn5WzTv+y+YzBm9DBsXkEJDfIf/msfrIHpU7ZYJILEk1h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YRsxQAAAN8AAAAPAAAAAAAAAAAAAAAAAJgCAABkcnMv&#10;ZG93bnJldi54bWxQSwUGAAAAAAQABAD1AAAAigMAAAAA&#10;" path="m,l746646,r,9144l,9144,,e" fillcolor="#841f27" strokecolor="#841f27" strokeweight="0">
                        <v:stroke endcap="round"/>
                        <v:path arrowok="t" textboxrect="0,0,746646,9144"/>
                      </v:shape>
                      <v:shape id="Shape 230991" o:spid="_x0000_s2073" style="position:absolute;left:44092;top:1584;width:7474;height:91;visibility:visible;mso-wrap-style:square;v-text-anchor:top" coordsize="747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6iskA&#10;AADfAAAADwAAAGRycy9kb3ducmV2LnhtbESPT2vCQBTE7wW/w/KEXqRuTIto6ioiWHoo+K/0/Mw+&#10;k2D2bdxdY9pP3y0IPQ4z8xtmtuhMLVpyvrKsYDRMQBDnVldcKPg8rJ8mIHxA1lhbJgXf5GEx7z3M&#10;MNP2xjtq96EQEcI+QwVlCE0mpc9LMuiHtiGO3sk6gyFKV0jt8BbhppZpkoylwYrjQokNrUrKz/ur&#10;UcDHc7rZflw215f2+NUNfk4ufWuVeux3y1cQgbrwH76337WC9DmZTkfw9yd+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zL6iskAAADfAAAADwAAAAAAAAAAAAAAAACYAgAA&#10;ZHJzL2Rvd25yZXYueG1sUEsFBgAAAAAEAAQA9QAAAI4DAAAAAA==&#10;" path="m,l747357,r,9144l,9144,,e" fillcolor="#841f27" strokecolor="#841f27" strokeweight="0">
                        <v:stroke endcap="round"/>
                        <v:path arrowok="t" textboxrect="0,0,747357,9144"/>
                      </v:shape>
                      <v:shape id="Shape 230992" o:spid="_x0000_s2074" style="position:absolute;left:51566;top:1584;width:7466;height:91;visibility:visible;mso-wrap-style:square;v-text-anchor:top" coordsize="7466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gMYA&#10;AADfAAAADwAAAGRycy9kb3ducmV2LnhtbESPzUoDQRCE70LeYWjBWzKbVTTZZBKSiCB6Muq92en9&#10;iTs9y0ybXd/eEQIei6r6ilpvR9epM4XYejYwn2WgiEtvW64NfLw/TRegoiBb7DyTgR+KsN1MrtZY&#10;WD/wG52PUqsE4ViggUakL7SOZUMO48z3xMmrfHAoSYZa24BDgrtO51l2rx22nBYa7OnQUPl1/HYG&#10;6GWuRarhdX86LKq73fDw+BmDMTfX424FSmiU//Cl/WwN5LfZcpnD35/0B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e/gMYAAADfAAAADwAAAAAAAAAAAAAAAACYAgAAZHJz&#10;L2Rvd25yZXYueG1sUEsFBgAAAAAEAAQA9QAAAIsDAAAAAA==&#10;" path="m,l746646,r,9144l,9144,,e" fillcolor="#841f27" strokecolor="#841f27" strokeweight="0">
                        <v:stroke endcap="round"/>
                        <v:path arrowok="t" textboxrect="0,0,746646,9144"/>
                      </v:shape>
                      <v:shape id="Shape 230993" o:spid="_x0000_s2075" style="position:absolute;left:59032;top:1584;width:3132;height:91;visibility:visible;mso-wrap-style:square;v-text-anchor:top" coordsize="3131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micgA&#10;AADfAAAADwAAAGRycy9kb3ducmV2LnhtbESPT2vCQBTE7wW/w/KE3urGBEqNriJCi/Qg/kOvj91n&#10;Esy+jdlV0376rlDwOMzMb5jJrLO1uFHrK8cKhoMEBLF2puJCwX73+fYBwgdkg7VjUvBDHmbT3ssE&#10;c+PuvKHbNhQiQtjnqKAMocml9Loki37gGuLonVxrMUTZFtK0eI9wW8s0Sd6lxYrjQokNLUrS5+3V&#10;KvhaheKUnr/Xx2rls8PmV1/qvVbqtd/NxyACdeEZ/m8vjYI0S0ajDB5/4he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AWaJyAAAAN8AAAAPAAAAAAAAAAAAAAAAAJgCAABk&#10;cnMvZG93bnJldi54bWxQSwUGAAAAAAQABAD1AAAAjQMAAAAA&#10;" path="m,l313195,r,9144l,9144,,e" fillcolor="#841f27" strokecolor="#841f27" strokeweight="0">
                        <v:stroke endcap="round"/>
                        <v:path arrowok="t" textboxrect="0,0,313195,9144"/>
                      </v:shape>
                      <v:rect id="Rectangle 217650" o:spid="_x0000_s2076" style="position:absolute;left:11073;top:486;width:642;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ObcYA&#10;AADfAAAADwAAAGRycy9kb3ducmV2LnhtbESPy4rCMBSG94LvEM7A7DRVGC/VKOIFXY5VcGZ3aI5t&#10;meakNNFWn36yEFz+/De++bI1pbhT7QrLCgb9CARxanXBmYLzadebgHAeWWNpmRQ8yMFy0e3MMda2&#10;4SPdE5+JMMIuRgW591UspUtzMuj6tiIO3tXWBn2QdSZ1jU0YN6UcRtFIGiw4PORY0Tqn9C+5GQX7&#10;SbX6Odhnk5Xb3/3l+zLdnKZeqc+PdjUD4an17/CrfdAKhoPx6CsQBJ7A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gObcYAAADfAAAADwAAAAAAAAAAAAAAAACYAgAAZHJz&#10;L2Rvd25yZXYueG1sUEsFBgAAAAAEAAQA9QAAAIsDAAAAAA==&#10;" filled="f" stroked="f">
                        <v:textbox inset="0,0,0,0">
                          <w:txbxContent>
                            <w:p w:rsidR="00EE13F6" w:rsidRDefault="002E5BC4">
                              <w:r>
                                <w:rPr>
                                  <w:w w:val="93"/>
                                  <w:sz w:val="16"/>
                                </w:rPr>
                                <w:t>5</w:t>
                              </w:r>
                            </w:p>
                          </w:txbxContent>
                        </v:textbox>
                      </v:rect>
                      <v:rect id="Rectangle 217651" o:spid="_x0000_s2077" style="position:absolute;left:11556;top:486;width:4715;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r9sgA&#10;AADfAAAADwAAAGRycy9kb3ducmV2LnhtbESPQWvCQBSE70L/w/IKvekmQqOmWUXaih6tFtLeHtnX&#10;JDT7NmS3JvrrXUHocZiZb5hsNZhGnKhztWUF8SQCQVxYXXOp4PO4Gc9BOI+ssbFMCs7kYLV8GGWY&#10;atvzB50OvhQBwi5FBZX3bSqlKyoy6Ca2JQ7ej+0M+iC7UuoO+wA3jZxGUSIN1hwWKmzptaLi9/Bn&#10;FGzn7fprZy992bx/b/N9vng7LrxST4/D+gWEp8H/h+/tnVYwjWfJcwy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xKv2yAAAAN8AAAAPAAAAAAAAAAAAAAAAAJgCAABk&#10;cnMvZG93bnJldi54bWxQSwUGAAAAAAQABAD1AAAAjQMAAAAA&#10;" filled="f" stroked="f">
                        <v:textbox inset="0,0,0,0">
                          <w:txbxContent>
                            <w:p w:rsidR="00EE13F6" w:rsidRDefault="002E5BC4">
                              <w:r>
                                <w:rPr>
                                  <w:w w:val="97"/>
                                  <w:sz w:val="16"/>
                                </w:rPr>
                                <w:t>Y-Spread</w:t>
                              </w:r>
                            </w:p>
                          </w:txbxContent>
                        </v:textbox>
                      </v:rect>
                      <v:rect id="Rectangle 26290" o:spid="_x0000_s2078" style="position:absolute;left:21002;top:380;width:662;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xQMYA&#10;AADeAAAADwAAAGRycy9kb3ducmV2LnhtbESPzWrCQBSF9wXfYbhCd3XSLIKJjiJVSZatFqy7S+aa&#10;BDN3QmZM0j59Z1Ho8nD++NbbybRioN41lhW8LiIQxKXVDVcKPs/HlyUI55E1tpZJwTc52G5mT2vM&#10;tB35g4aTr0QYYZehgtr7LpPSlTUZdAvbEQfvZnuDPsi+krrHMYybVsZRlEiDDYeHGjt6q6m8nx5G&#10;Qb7sdl+F/Rmr9nDNL++XdH9OvVLP82m3AuFp8v/hv3ahFcRJnAa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dxQMYAAADeAAAADwAAAAAAAAAAAAAAAACYAgAAZHJz&#10;L2Rvd25yZXYueG1sUEsFBgAAAAAEAAQA9QAAAIsDAAAAAA==&#10;" filled="f" stroked="f">
                        <v:textbox inset="0,0,0,0">
                          <w:txbxContent>
                            <w:p w:rsidR="00EE13F6" w:rsidRDefault="002E5BC4">
                              <w:r>
                                <w:rPr>
                                  <w:w w:val="93"/>
                                  <w:sz w:val="16"/>
                                </w:rPr>
                                <w:t>σ</w:t>
                              </w:r>
                            </w:p>
                          </w:txbxContent>
                        </v:textbox>
                      </v:rect>
                      <v:rect id="Rectangle 217665" o:spid="_x0000_s2079" style="position:absolute;left:59146;top:486;width:1284;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nSMgA&#10;AADfAAAADwAAAGRycy9kb3ducmV2LnhtbESPQWvCQBSE7wX/w/KE3upGwRhTVxG16NGqoL09sq9J&#10;aPZtyG5N6q93BaHHYWa+YWaLzlTiSo0rLSsYDiIQxJnVJecKTsePtwSE88gaK8uk4I8cLOa9lxmm&#10;2rb8SdeDz0WAsEtRQeF9nUrpsoIMuoGtiYP3bRuDPsgml7rBNsBNJUdRFEuDJYeFAmtaFZT9HH6N&#10;gm1SLy87e2vzavO1Pe/P0/Vx6pV67XfLdxCeOv8ffrZ3WsFoOInj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2dIyAAAAN8AAAAPAAAAAAAAAAAAAAAAAJgCAABk&#10;cnMvZG93bnJldi54bWxQSwUGAAAAAAQABAD1AAAAjQMAAAAA&#10;" filled="f" stroked="f">
                        <v:textbox inset="0,0,0,0">
                          <w:txbxContent>
                            <w:p w:rsidR="00EE13F6" w:rsidRDefault="002E5BC4">
                              <w:r>
                                <w:rPr>
                                  <w:w w:val="93"/>
                                  <w:sz w:val="16"/>
                                </w:rPr>
                                <w:t>20</w:t>
                              </w:r>
                            </w:p>
                          </w:txbxContent>
                        </v:textbox>
                      </v:rect>
                      <v:rect id="Rectangle 217666" o:spid="_x0000_s2080" style="position:absolute;left:60617;top:486;width:402;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5P8cA&#10;AADfAAAADwAAAGRycy9kb3ducmV2LnhtbESPT4vCMBTE7wv7HcJb8LameqhajSKrokf/LKi3R/Ns&#10;yzYvpYm2+umNIOxxmJnfMJNZa0pxo9oVlhX0uhEI4tTqgjMFv4fV9xCE88gaS8uk4E4OZtPPjwkm&#10;2ja8o9veZyJA2CWoIPe+SqR0aU4GXddWxMG72NqgD7LOpK6xCXBTyn4UxdJgwWEhx4p+ckr/9lej&#10;YD2s5qeNfTRZuTyvj9vjaHEYeaU6X+18DMJT6//D7/ZGK+j3BnEcw+t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B+T/HAAAA3wAAAA8AAAAAAAAAAAAAAAAAmAIAAGRy&#10;cy9kb3ducmV2LnhtbFBLBQYAAAAABAAEAPUAAACMAwAAAAA=&#10;" filled="f" stroked="f">
                        <v:textbox inset="0,0,0,0">
                          <w:txbxContent>
                            <w:p w:rsidR="00EE13F6" w:rsidRDefault="002E5BC4">
                              <w:r>
                                <w:rPr>
                                  <w:w w:val="97"/>
                                  <w:sz w:val="16"/>
                                </w:rPr>
                                <w:t>-</w:t>
                              </w:r>
                            </w:p>
                          </w:txbxContent>
                        </v:textbox>
                      </v:rect>
                      <v:rect id="Rectangle 217667" o:spid="_x0000_s2081" style="position:absolute;left:60112;top:486;width:671;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cpMcA&#10;AADfAAAADwAAAGRycy9kb3ducmV2LnhtbESPT4vCMBTE78J+h/AW9qapHqpWo8iuix79s+B6ezTP&#10;tti8lCba6qc3guBxmJnfMNN5a0pxpdoVlhX0exEI4tTqgjMFf/vf7giE88gaS8uk4EYO5rOPzhQT&#10;bRve0nXnMxEg7BJUkHtfJVK6NCeDrmcr4uCdbG3QB1lnUtfYBLgp5SCKYmmw4LCQY0XfOaXn3cUo&#10;WI2qxf/a3pusXB5Xh81h/LMfe6W+PtvFBISn1r/Dr/ZaKxj0h3E8hOef8AX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NXKTHAAAA3wAAAA8AAAAAAAAAAAAAAAAAmAIAAGRy&#10;cy9kb3ducmV2LnhtbFBLBQYAAAAABAAEAPUAAACMAwAAAAA=&#10;" filled="f" stroked="f">
                        <v:textbox inset="0,0,0,0">
                          <w:txbxContent>
                            <w:p w:rsidR="00EE13F6" w:rsidRDefault="002E5BC4">
                              <w:r>
                                <w:rPr>
                                  <w:w w:val="105"/>
                                  <w:sz w:val="16"/>
                                </w:rPr>
                                <w:t>Y</w:t>
                              </w:r>
                            </w:p>
                          </w:txbxContent>
                        </v:textbox>
                      </v:rect>
                      <v:rect id="Rectangle 26300" o:spid="_x0000_s2082" style="position:absolute;left:60917;top:400;width:829;height: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rWsYA&#10;AADeAAAADwAAAGRycy9kb3ducmV2LnhtbESPzWrCQBSF9wXfYbiCuzoxgmjqKMFWkqVVQbu7ZG6T&#10;0MydkBlN2qd3FgWXh/PHt94OphF36lxtWcFsGoEgLqyuuVRwPu1flyCcR9bYWCYFv+Rguxm9rDHR&#10;tudPuh99KcIIuwQVVN63iZSuqMigm9qWOHjftjPog+xKqTvsw7hpZBxFC2mw5vBQYUu7ioqf480o&#10;yJZtes3tX182H1/Z5XBZvZ9WXqnJeEjfQHga/DP83861gngxjwJ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zrWsYAAADeAAAADwAAAAAAAAAAAAAAAACYAgAAZHJz&#10;L2Rvd25yZXYueG1sUEsFBgAAAAAEAAQA9QAAAIsDAAAAAA==&#10;" filled="f" stroked="f">
                        <v:textbox inset="0,0,0,0">
                          <w:txbxContent>
                            <w:p w:rsidR="00EE13F6" w:rsidRDefault="002E5BC4">
                              <w:r>
                                <w:rPr>
                                  <w:w w:val="110"/>
                                  <w:sz w:val="16"/>
                                </w:rPr>
                                <w:t>Δ</w:t>
                              </w:r>
                            </w:p>
                          </w:txbxContent>
                        </v:textbox>
                      </v:rect>
                      <v:rect id="Rectangle 26308" o:spid="_x0000_s2083" style="position:absolute;left:59515;top:2012;width:2842;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nXMQA&#10;AADeAAAADwAAAGRycy9kb3ducmV2LnhtbERPTWvCQBC9F/wPywje6sYIoqmrBFtJjlYF7W3ITpPQ&#10;7GzIribtr3cPBY+P973eDqYRd+pcbVnBbBqBIC6srrlUcD7tX5cgnEfW2FgmBb/kYLsZvawx0bbn&#10;T7offSlCCLsEFVTet4mUrqjIoJvaljhw37Yz6APsSqk77EO4aWQcRQtpsObQUGFLu4qKn+PNKMiW&#10;bXrN7V9fNh9f2eVwWb2fVl6pyXhI30B4GvxT/O/OtYJ4MY/C3nAnX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51zEAAAA3gAAAA8AAAAAAAAAAAAAAAAAmAIAAGRycy9k&#10;b3ducmV2LnhtbFBLBQYAAAAABAAEAPUAAACJAwAAAAA=&#10;" filled="f" stroked="f">
                        <v:textbox inset="0,0,0,0">
                          <w:txbxContent>
                            <w:p w:rsidR="00EE13F6" w:rsidRDefault="002E5BC4">
                              <w:r>
                                <w:rPr>
                                  <w:w w:val="92"/>
                                  <w:sz w:val="16"/>
                                </w:rPr>
                                <w:t>63.45</w:t>
                              </w:r>
                            </w:p>
                          </w:txbxContent>
                        </v:textbox>
                      </v:rect>
                    </v:group>
                  </w:pict>
                </mc:Fallback>
              </mc:AlternateContent>
            </w:r>
            <w:r>
              <w:rPr>
                <w:sz w:val="16"/>
              </w:rPr>
              <w:t>Issuer</w:t>
            </w:r>
            <w:r>
              <w:rPr>
                <w:sz w:val="16"/>
              </w:rPr>
              <w:tab/>
              <w:t>Modified σ</w:t>
            </w:r>
            <w:r>
              <w:rPr>
                <w:sz w:val="16"/>
              </w:rPr>
              <w:tab/>
              <w:t>5Y-Δ</w:t>
            </w:r>
            <w:r>
              <w:rPr>
                <w:sz w:val="16"/>
              </w:rPr>
              <w:tab/>
              <w:t>10Y-Δ</w:t>
            </w:r>
            <w:r>
              <w:rPr>
                <w:sz w:val="16"/>
              </w:rPr>
              <w:tab/>
              <w:t>15Y-Δ</w:t>
            </w:r>
          </w:p>
          <w:p w:rsidR="00EE13F6" w:rsidRDefault="002E5BC4">
            <w:pPr>
              <w:tabs>
                <w:tab w:val="center" w:pos="2061"/>
                <w:tab w:val="center" w:pos="3348"/>
                <w:tab w:val="center" w:pos="4662"/>
                <w:tab w:val="center" w:pos="6012"/>
                <w:tab w:val="center" w:pos="7188"/>
                <w:tab w:val="center" w:pos="8365"/>
              </w:tabs>
              <w:spacing w:after="0"/>
            </w:pPr>
            <w:r>
              <w:rPr>
                <w:sz w:val="16"/>
              </w:rPr>
              <w:t>Alsthom</w:t>
            </w:r>
            <w:r>
              <w:rPr>
                <w:sz w:val="16"/>
              </w:rPr>
              <w:tab/>
              <w:t>82.3</w:t>
            </w:r>
            <w:r>
              <w:rPr>
                <w:sz w:val="16"/>
              </w:rPr>
              <w:tab/>
              <w:t>0.4058</w:t>
            </w:r>
            <w:r>
              <w:rPr>
                <w:sz w:val="16"/>
              </w:rPr>
              <w:tab/>
              <w:t>0.40802</w:t>
            </w:r>
            <w:r>
              <w:rPr>
                <w:sz w:val="16"/>
              </w:rPr>
              <w:tab/>
              <w:t>55.83</w:t>
            </w:r>
            <w:r>
              <w:rPr>
                <w:sz w:val="16"/>
              </w:rPr>
              <w:tab/>
              <w:t>66.05</w:t>
            </w:r>
            <w:r>
              <w:rPr>
                <w:sz w:val="16"/>
              </w:rPr>
              <w:tab/>
              <w:t>65.05</w:t>
            </w:r>
          </w:p>
          <w:tbl>
            <w:tblPr>
              <w:tblStyle w:val="TableGrid"/>
              <w:tblW w:w="9629" w:type="dxa"/>
              <w:tblInd w:w="81" w:type="dxa"/>
              <w:tblCellMar>
                <w:top w:w="0" w:type="dxa"/>
                <w:left w:w="0" w:type="dxa"/>
                <w:bottom w:w="0" w:type="dxa"/>
                <w:right w:w="0" w:type="dxa"/>
              </w:tblCellMar>
              <w:tblLook w:val="04A0" w:firstRow="1" w:lastRow="0" w:firstColumn="1" w:lastColumn="0" w:noHBand="0" w:noVBand="1"/>
            </w:tblPr>
            <w:tblGrid>
              <w:gridCol w:w="1659"/>
              <w:gridCol w:w="1393"/>
              <w:gridCol w:w="1172"/>
              <w:gridCol w:w="755"/>
              <w:gridCol w:w="1861"/>
              <w:gridCol w:w="1172"/>
              <w:gridCol w:w="1171"/>
              <w:gridCol w:w="446"/>
            </w:tblGrid>
            <w:tr w:rsidR="00EE13F6">
              <w:trPr>
                <w:trHeight w:val="163"/>
              </w:trPr>
              <w:tc>
                <w:tcPr>
                  <w:tcW w:w="1663" w:type="dxa"/>
                  <w:tcBorders>
                    <w:top w:val="nil"/>
                    <w:left w:val="nil"/>
                    <w:bottom w:val="nil"/>
                    <w:right w:val="nil"/>
                  </w:tcBorders>
                </w:tcPr>
                <w:p w:rsidR="00EE13F6" w:rsidRDefault="002E5BC4">
                  <w:pPr>
                    <w:framePr w:wrap="around" w:vAnchor="text" w:hAnchor="margin"/>
                    <w:spacing w:after="0"/>
                    <w:suppressOverlap/>
                  </w:pPr>
                  <w:r>
                    <w:rPr>
                      <w:sz w:val="16"/>
                    </w:rPr>
                    <w:t>Arcelor-Mittal</w:t>
                  </w:r>
                </w:p>
              </w:tc>
              <w:tc>
                <w:tcPr>
                  <w:tcW w:w="1398" w:type="dxa"/>
                  <w:tcBorders>
                    <w:top w:val="nil"/>
                    <w:left w:val="nil"/>
                    <w:bottom w:val="nil"/>
                    <w:right w:val="nil"/>
                  </w:tcBorders>
                </w:tcPr>
                <w:p w:rsidR="00EE13F6" w:rsidRDefault="002E5BC4">
                  <w:pPr>
                    <w:framePr w:wrap="around" w:vAnchor="text" w:hAnchor="margin"/>
                    <w:spacing w:after="0"/>
                    <w:ind w:left="111"/>
                    <w:suppressOverlap/>
                  </w:pPr>
                  <w:r>
                    <w:rPr>
                      <w:sz w:val="16"/>
                    </w:rPr>
                    <w:t>364.93</w:t>
                  </w:r>
                </w:p>
              </w:tc>
              <w:tc>
                <w:tcPr>
                  <w:tcW w:w="1177" w:type="dxa"/>
                  <w:tcBorders>
                    <w:top w:val="nil"/>
                    <w:left w:val="nil"/>
                    <w:bottom w:val="nil"/>
                    <w:right w:val="nil"/>
                  </w:tcBorders>
                </w:tcPr>
                <w:p w:rsidR="00EE13F6" w:rsidRDefault="002E5BC4">
                  <w:pPr>
                    <w:framePr w:wrap="around" w:vAnchor="text" w:hAnchor="margin"/>
                    <w:spacing w:after="0"/>
                    <w:suppressOverlap/>
                  </w:pPr>
                  <w:r>
                    <w:rPr>
                      <w:sz w:val="16"/>
                    </w:rPr>
                    <w:t>0.5502</w:t>
                  </w:r>
                </w:p>
              </w:tc>
              <w:tc>
                <w:tcPr>
                  <w:tcW w:w="756" w:type="dxa"/>
                  <w:tcBorders>
                    <w:top w:val="nil"/>
                    <w:left w:val="nil"/>
                    <w:bottom w:val="nil"/>
                    <w:right w:val="nil"/>
                  </w:tcBorders>
                </w:tcPr>
                <w:p w:rsidR="00EE13F6" w:rsidRDefault="002E5BC4">
                  <w:pPr>
                    <w:framePr w:wrap="around" w:vAnchor="text" w:hAnchor="margin"/>
                    <w:spacing w:after="0"/>
                    <w:ind w:left="99"/>
                    <w:suppressOverlap/>
                  </w:pPr>
                  <w:r>
                    <w:rPr>
                      <w:sz w:val="16"/>
                    </w:rPr>
                    <w:t>0.6513</w:t>
                  </w:r>
                </w:p>
              </w:tc>
              <w:tc>
                <w:tcPr>
                  <w:tcW w:w="1869" w:type="dxa"/>
                  <w:tcBorders>
                    <w:top w:val="nil"/>
                    <w:left w:val="nil"/>
                    <w:bottom w:val="nil"/>
                    <w:right w:val="nil"/>
                  </w:tcBorders>
                </w:tcPr>
                <w:p w:rsidR="00EE13F6" w:rsidRDefault="002E5BC4">
                  <w:pPr>
                    <w:framePr w:wrap="around" w:vAnchor="text" w:hAnchor="margin"/>
                    <w:spacing w:after="0"/>
                    <w:ind w:right="70"/>
                    <w:suppressOverlap/>
                    <w:jc w:val="center"/>
                  </w:pPr>
                  <w:r>
                    <w:rPr>
                      <w:sz w:val="16"/>
                    </w:rPr>
                    <w:t>173.16</w:t>
                  </w:r>
                </w:p>
              </w:tc>
              <w:tc>
                <w:tcPr>
                  <w:tcW w:w="1177" w:type="dxa"/>
                  <w:tcBorders>
                    <w:top w:val="nil"/>
                    <w:left w:val="nil"/>
                    <w:bottom w:val="nil"/>
                    <w:right w:val="nil"/>
                  </w:tcBorders>
                </w:tcPr>
                <w:p w:rsidR="00EE13F6" w:rsidRDefault="002E5BC4">
                  <w:pPr>
                    <w:framePr w:wrap="around" w:vAnchor="text" w:hAnchor="margin"/>
                    <w:spacing w:after="0"/>
                    <w:suppressOverlap/>
                  </w:pPr>
                  <w:r>
                    <w:rPr>
                      <w:sz w:val="16"/>
                    </w:rPr>
                    <w:t>156.37</w:t>
                  </w:r>
                </w:p>
              </w:tc>
              <w:tc>
                <w:tcPr>
                  <w:tcW w:w="1176" w:type="dxa"/>
                  <w:tcBorders>
                    <w:top w:val="nil"/>
                    <w:left w:val="nil"/>
                    <w:bottom w:val="nil"/>
                    <w:right w:val="nil"/>
                  </w:tcBorders>
                </w:tcPr>
                <w:p w:rsidR="00EE13F6" w:rsidRDefault="002E5BC4">
                  <w:pPr>
                    <w:framePr w:wrap="around" w:vAnchor="text" w:hAnchor="margin"/>
                    <w:spacing w:after="0"/>
                    <w:suppressOverlap/>
                  </w:pPr>
                  <w:r>
                    <w:rPr>
                      <w:sz w:val="16"/>
                    </w:rPr>
                    <w:t>145.48</w:t>
                  </w:r>
                </w:p>
              </w:tc>
              <w:tc>
                <w:tcPr>
                  <w:tcW w:w="413" w:type="dxa"/>
                  <w:tcBorders>
                    <w:top w:val="nil"/>
                    <w:left w:val="nil"/>
                    <w:bottom w:val="nil"/>
                    <w:right w:val="nil"/>
                  </w:tcBorders>
                </w:tcPr>
                <w:p w:rsidR="00EE13F6" w:rsidRDefault="002E5BC4">
                  <w:pPr>
                    <w:framePr w:wrap="around" w:vAnchor="text" w:hAnchor="margin"/>
                    <w:spacing w:after="0"/>
                    <w:suppressOverlap/>
                    <w:jc w:val="both"/>
                  </w:pPr>
                  <w:r>
                    <w:rPr>
                      <w:sz w:val="16"/>
                    </w:rPr>
                    <w:t>139.22</w:t>
                  </w:r>
                </w:p>
              </w:tc>
            </w:tr>
            <w:tr w:rsidR="00EE13F6">
              <w:trPr>
                <w:trHeight w:val="180"/>
              </w:trPr>
              <w:tc>
                <w:tcPr>
                  <w:tcW w:w="1663" w:type="dxa"/>
                  <w:tcBorders>
                    <w:top w:val="nil"/>
                    <w:left w:val="nil"/>
                    <w:bottom w:val="nil"/>
                    <w:right w:val="nil"/>
                  </w:tcBorders>
                </w:tcPr>
                <w:p w:rsidR="00EE13F6" w:rsidRDefault="002E5BC4">
                  <w:pPr>
                    <w:framePr w:wrap="around" w:vAnchor="text" w:hAnchor="margin"/>
                    <w:spacing w:after="0"/>
                    <w:suppressOverlap/>
                  </w:pPr>
                  <w:r>
                    <w:rPr>
                      <w:sz w:val="16"/>
                    </w:rPr>
                    <w:t>Axa</w:t>
                  </w:r>
                </w:p>
              </w:tc>
              <w:tc>
                <w:tcPr>
                  <w:tcW w:w="1398" w:type="dxa"/>
                  <w:tcBorders>
                    <w:top w:val="nil"/>
                    <w:left w:val="nil"/>
                    <w:bottom w:val="nil"/>
                    <w:right w:val="nil"/>
                  </w:tcBorders>
                </w:tcPr>
                <w:p w:rsidR="00EE13F6" w:rsidRDefault="002E5BC4">
                  <w:pPr>
                    <w:framePr w:wrap="around" w:vAnchor="text" w:hAnchor="margin"/>
                    <w:spacing w:after="0"/>
                    <w:ind w:left="187"/>
                    <w:suppressOverlap/>
                  </w:pPr>
                  <w:r>
                    <w:rPr>
                      <w:sz w:val="16"/>
                    </w:rPr>
                    <w:t>73.62</w:t>
                  </w:r>
                </w:p>
              </w:tc>
              <w:tc>
                <w:tcPr>
                  <w:tcW w:w="1177" w:type="dxa"/>
                  <w:tcBorders>
                    <w:top w:val="nil"/>
                    <w:left w:val="nil"/>
                    <w:bottom w:val="nil"/>
                    <w:right w:val="nil"/>
                  </w:tcBorders>
                </w:tcPr>
                <w:p w:rsidR="00EE13F6" w:rsidRDefault="002E5BC4">
                  <w:pPr>
                    <w:framePr w:wrap="around" w:vAnchor="text" w:hAnchor="margin"/>
                    <w:spacing w:after="0"/>
                    <w:suppressOverlap/>
                  </w:pPr>
                  <w:r>
                    <w:rPr>
                      <w:sz w:val="16"/>
                    </w:rPr>
                    <w:t>0.28</w:t>
                  </w:r>
                </w:p>
              </w:tc>
              <w:tc>
                <w:tcPr>
                  <w:tcW w:w="756" w:type="dxa"/>
                  <w:tcBorders>
                    <w:top w:val="nil"/>
                    <w:left w:val="nil"/>
                    <w:bottom w:val="nil"/>
                    <w:right w:val="nil"/>
                  </w:tcBorders>
                </w:tcPr>
                <w:p w:rsidR="00EE13F6" w:rsidRDefault="002E5BC4">
                  <w:pPr>
                    <w:framePr w:wrap="around" w:vAnchor="text" w:hAnchor="margin"/>
                    <w:spacing w:after="0"/>
                    <w:ind w:left="99"/>
                    <w:suppressOverlap/>
                  </w:pPr>
                  <w:r>
                    <w:rPr>
                      <w:sz w:val="16"/>
                    </w:rPr>
                    <w:t>0.3313</w:t>
                  </w:r>
                </w:p>
              </w:tc>
              <w:tc>
                <w:tcPr>
                  <w:tcW w:w="1869" w:type="dxa"/>
                  <w:tcBorders>
                    <w:top w:val="nil"/>
                    <w:left w:val="nil"/>
                    <w:bottom w:val="nil"/>
                    <w:right w:val="nil"/>
                  </w:tcBorders>
                </w:tcPr>
                <w:p w:rsidR="00EE13F6" w:rsidRDefault="002E5BC4">
                  <w:pPr>
                    <w:framePr w:wrap="around" w:vAnchor="text" w:hAnchor="margin"/>
                    <w:spacing w:after="0"/>
                    <w:ind w:left="6"/>
                    <w:suppressOverlap/>
                    <w:jc w:val="center"/>
                  </w:pPr>
                  <w:r>
                    <w:rPr>
                      <w:sz w:val="16"/>
                    </w:rPr>
                    <w:t>37.46</w:t>
                  </w:r>
                </w:p>
              </w:tc>
              <w:tc>
                <w:tcPr>
                  <w:tcW w:w="1177" w:type="dxa"/>
                  <w:tcBorders>
                    <w:top w:val="nil"/>
                    <w:left w:val="nil"/>
                    <w:bottom w:val="nil"/>
                    <w:right w:val="nil"/>
                  </w:tcBorders>
                </w:tcPr>
                <w:p w:rsidR="00EE13F6" w:rsidRDefault="002E5BC4">
                  <w:pPr>
                    <w:framePr w:wrap="around" w:vAnchor="text" w:hAnchor="margin"/>
                    <w:spacing w:after="0"/>
                    <w:ind w:left="76"/>
                    <w:suppressOverlap/>
                  </w:pPr>
                  <w:r>
                    <w:rPr>
                      <w:sz w:val="16"/>
                    </w:rPr>
                    <w:t>44.75</w:t>
                  </w:r>
                </w:p>
              </w:tc>
              <w:tc>
                <w:tcPr>
                  <w:tcW w:w="1176" w:type="dxa"/>
                  <w:tcBorders>
                    <w:top w:val="nil"/>
                    <w:left w:val="nil"/>
                    <w:bottom w:val="nil"/>
                    <w:right w:val="nil"/>
                  </w:tcBorders>
                </w:tcPr>
                <w:p w:rsidR="00EE13F6" w:rsidRDefault="002E5BC4">
                  <w:pPr>
                    <w:framePr w:wrap="around" w:vAnchor="text" w:hAnchor="margin"/>
                    <w:spacing w:after="0"/>
                    <w:ind w:left="76"/>
                    <w:suppressOverlap/>
                  </w:pPr>
                  <w:r>
                    <w:rPr>
                      <w:sz w:val="16"/>
                    </w:rPr>
                    <w:t>49.70</w:t>
                  </w:r>
                </w:p>
              </w:tc>
              <w:tc>
                <w:tcPr>
                  <w:tcW w:w="413" w:type="dxa"/>
                  <w:tcBorders>
                    <w:top w:val="nil"/>
                    <w:left w:val="nil"/>
                    <w:bottom w:val="nil"/>
                    <w:right w:val="nil"/>
                  </w:tcBorders>
                </w:tcPr>
                <w:p w:rsidR="00EE13F6" w:rsidRDefault="002E5BC4">
                  <w:pPr>
                    <w:framePr w:wrap="around" w:vAnchor="text" w:hAnchor="margin"/>
                    <w:spacing w:after="0"/>
                    <w:ind w:left="76"/>
                    <w:suppressOverlap/>
                  </w:pPr>
                  <w:r>
                    <w:rPr>
                      <w:sz w:val="16"/>
                    </w:rPr>
                    <w:t>44.97</w:t>
                  </w:r>
                </w:p>
              </w:tc>
            </w:tr>
            <w:tr w:rsidR="00EE13F6">
              <w:trPr>
                <w:trHeight w:val="180"/>
              </w:trPr>
              <w:tc>
                <w:tcPr>
                  <w:tcW w:w="1663" w:type="dxa"/>
                  <w:tcBorders>
                    <w:top w:val="nil"/>
                    <w:left w:val="nil"/>
                    <w:bottom w:val="nil"/>
                    <w:right w:val="nil"/>
                  </w:tcBorders>
                </w:tcPr>
                <w:p w:rsidR="00EE13F6" w:rsidRDefault="002E5BC4">
                  <w:pPr>
                    <w:framePr w:wrap="around" w:vAnchor="text" w:hAnchor="margin"/>
                    <w:spacing w:after="0"/>
                    <w:suppressOverlap/>
                  </w:pPr>
                  <w:r>
                    <w:rPr>
                      <w:sz w:val="16"/>
                    </w:rPr>
                    <w:t>Commerzbank</w:t>
                  </w:r>
                </w:p>
              </w:tc>
              <w:tc>
                <w:tcPr>
                  <w:tcW w:w="1398" w:type="dxa"/>
                  <w:tcBorders>
                    <w:top w:val="nil"/>
                    <w:left w:val="nil"/>
                    <w:bottom w:val="nil"/>
                    <w:right w:val="nil"/>
                  </w:tcBorders>
                </w:tcPr>
                <w:p w:rsidR="00EE13F6" w:rsidRDefault="002E5BC4">
                  <w:pPr>
                    <w:framePr w:wrap="around" w:vAnchor="text" w:hAnchor="margin"/>
                    <w:spacing w:after="0"/>
                    <w:ind w:left="111"/>
                    <w:suppressOverlap/>
                  </w:pPr>
                  <w:r>
                    <w:rPr>
                      <w:sz w:val="16"/>
                    </w:rPr>
                    <w:t>130.47</w:t>
                  </w:r>
                </w:p>
              </w:tc>
              <w:tc>
                <w:tcPr>
                  <w:tcW w:w="1177" w:type="dxa"/>
                  <w:tcBorders>
                    <w:top w:val="nil"/>
                    <w:left w:val="nil"/>
                    <w:bottom w:val="nil"/>
                    <w:right w:val="nil"/>
                  </w:tcBorders>
                </w:tcPr>
                <w:p w:rsidR="00EE13F6" w:rsidRDefault="002E5BC4">
                  <w:pPr>
                    <w:framePr w:wrap="around" w:vAnchor="text" w:hAnchor="margin"/>
                    <w:spacing w:after="0"/>
                    <w:suppressOverlap/>
                  </w:pPr>
                  <w:r>
                    <w:rPr>
                      <w:sz w:val="16"/>
                    </w:rPr>
                    <w:t>0.2</w:t>
                  </w:r>
                </w:p>
              </w:tc>
              <w:tc>
                <w:tcPr>
                  <w:tcW w:w="756" w:type="dxa"/>
                  <w:tcBorders>
                    <w:top w:val="nil"/>
                    <w:left w:val="nil"/>
                    <w:bottom w:val="nil"/>
                    <w:right w:val="nil"/>
                  </w:tcBorders>
                </w:tcPr>
                <w:p w:rsidR="00EE13F6" w:rsidRDefault="002E5BC4">
                  <w:pPr>
                    <w:framePr w:wrap="around" w:vAnchor="text" w:hAnchor="margin"/>
                    <w:spacing w:after="0"/>
                    <w:ind w:left="99"/>
                    <w:suppressOverlap/>
                  </w:pPr>
                  <w:r>
                    <w:rPr>
                      <w:sz w:val="16"/>
                    </w:rPr>
                    <w:t>0.2366</w:t>
                  </w:r>
                </w:p>
              </w:tc>
              <w:tc>
                <w:tcPr>
                  <w:tcW w:w="1869" w:type="dxa"/>
                  <w:tcBorders>
                    <w:top w:val="nil"/>
                    <w:left w:val="nil"/>
                    <w:bottom w:val="nil"/>
                    <w:right w:val="nil"/>
                  </w:tcBorders>
                </w:tcPr>
                <w:p w:rsidR="00EE13F6" w:rsidRDefault="002E5BC4">
                  <w:pPr>
                    <w:framePr w:wrap="around" w:vAnchor="text" w:hAnchor="margin"/>
                    <w:spacing w:after="0"/>
                    <w:ind w:left="6"/>
                    <w:suppressOverlap/>
                    <w:jc w:val="center"/>
                  </w:pPr>
                  <w:r>
                    <w:rPr>
                      <w:sz w:val="16"/>
                    </w:rPr>
                    <w:t>26.39</w:t>
                  </w:r>
                </w:p>
              </w:tc>
              <w:tc>
                <w:tcPr>
                  <w:tcW w:w="1177" w:type="dxa"/>
                  <w:tcBorders>
                    <w:top w:val="nil"/>
                    <w:left w:val="nil"/>
                    <w:bottom w:val="nil"/>
                    <w:right w:val="nil"/>
                  </w:tcBorders>
                </w:tcPr>
                <w:p w:rsidR="00EE13F6" w:rsidRDefault="002E5BC4">
                  <w:pPr>
                    <w:framePr w:wrap="around" w:vAnchor="text" w:hAnchor="margin"/>
                    <w:spacing w:after="0"/>
                    <w:ind w:left="76"/>
                    <w:suppressOverlap/>
                  </w:pPr>
                  <w:r>
                    <w:rPr>
                      <w:sz w:val="16"/>
                    </w:rPr>
                    <w:t>27.42</w:t>
                  </w:r>
                </w:p>
              </w:tc>
              <w:tc>
                <w:tcPr>
                  <w:tcW w:w="1176" w:type="dxa"/>
                  <w:tcBorders>
                    <w:top w:val="nil"/>
                    <w:left w:val="nil"/>
                    <w:bottom w:val="nil"/>
                    <w:right w:val="nil"/>
                  </w:tcBorders>
                </w:tcPr>
                <w:p w:rsidR="00EE13F6" w:rsidRDefault="002E5BC4">
                  <w:pPr>
                    <w:framePr w:wrap="around" w:vAnchor="text" w:hAnchor="margin"/>
                    <w:spacing w:after="0"/>
                    <w:ind w:left="76"/>
                    <w:suppressOverlap/>
                  </w:pPr>
                  <w:r>
                    <w:rPr>
                      <w:sz w:val="16"/>
                    </w:rPr>
                    <w:t>27.24</w:t>
                  </w:r>
                </w:p>
              </w:tc>
              <w:tc>
                <w:tcPr>
                  <w:tcW w:w="413" w:type="dxa"/>
                  <w:tcBorders>
                    <w:top w:val="nil"/>
                    <w:left w:val="nil"/>
                    <w:bottom w:val="nil"/>
                    <w:right w:val="nil"/>
                  </w:tcBorders>
                </w:tcPr>
                <w:p w:rsidR="00EE13F6" w:rsidRDefault="002E5BC4">
                  <w:pPr>
                    <w:framePr w:wrap="around" w:vAnchor="text" w:hAnchor="margin"/>
                    <w:spacing w:after="0"/>
                    <w:ind w:left="76"/>
                    <w:suppressOverlap/>
                  </w:pPr>
                  <w:r>
                    <w:rPr>
                      <w:sz w:val="16"/>
                    </w:rPr>
                    <w:t>26.61</w:t>
                  </w:r>
                </w:p>
              </w:tc>
            </w:tr>
            <w:tr w:rsidR="00EE13F6">
              <w:trPr>
                <w:trHeight w:val="180"/>
              </w:trPr>
              <w:tc>
                <w:tcPr>
                  <w:tcW w:w="1663" w:type="dxa"/>
                  <w:tcBorders>
                    <w:top w:val="nil"/>
                    <w:left w:val="nil"/>
                    <w:bottom w:val="nil"/>
                    <w:right w:val="nil"/>
                  </w:tcBorders>
                </w:tcPr>
                <w:p w:rsidR="00EE13F6" w:rsidRDefault="002E5BC4">
                  <w:pPr>
                    <w:framePr w:wrap="around" w:vAnchor="text" w:hAnchor="margin"/>
                    <w:spacing w:after="0"/>
                    <w:suppressOverlap/>
                  </w:pPr>
                  <w:r>
                    <w:rPr>
                      <w:sz w:val="16"/>
                    </w:rPr>
                    <w:t>Michelin</w:t>
                  </w:r>
                </w:p>
              </w:tc>
              <w:tc>
                <w:tcPr>
                  <w:tcW w:w="1398" w:type="dxa"/>
                  <w:tcBorders>
                    <w:top w:val="nil"/>
                    <w:left w:val="nil"/>
                    <w:bottom w:val="nil"/>
                    <w:right w:val="nil"/>
                  </w:tcBorders>
                </w:tcPr>
                <w:p w:rsidR="00EE13F6" w:rsidRDefault="002E5BC4">
                  <w:pPr>
                    <w:framePr w:wrap="around" w:vAnchor="text" w:hAnchor="margin"/>
                    <w:spacing w:after="0"/>
                    <w:ind w:left="187"/>
                    <w:suppressOverlap/>
                  </w:pPr>
                  <w:r>
                    <w:rPr>
                      <w:sz w:val="16"/>
                    </w:rPr>
                    <w:t>47.01</w:t>
                  </w:r>
                </w:p>
              </w:tc>
              <w:tc>
                <w:tcPr>
                  <w:tcW w:w="1177" w:type="dxa"/>
                  <w:tcBorders>
                    <w:top w:val="nil"/>
                    <w:left w:val="nil"/>
                    <w:bottom w:val="nil"/>
                    <w:right w:val="nil"/>
                  </w:tcBorders>
                </w:tcPr>
                <w:p w:rsidR="00EE13F6" w:rsidRDefault="002E5BC4">
                  <w:pPr>
                    <w:framePr w:wrap="around" w:vAnchor="text" w:hAnchor="margin"/>
                    <w:spacing w:after="0"/>
                    <w:suppressOverlap/>
                  </w:pPr>
                  <w:r>
                    <w:rPr>
                      <w:sz w:val="16"/>
                    </w:rPr>
                    <w:t>0.41</w:t>
                  </w:r>
                </w:p>
              </w:tc>
              <w:tc>
                <w:tcPr>
                  <w:tcW w:w="756" w:type="dxa"/>
                  <w:tcBorders>
                    <w:top w:val="nil"/>
                    <w:left w:val="nil"/>
                    <w:bottom w:val="nil"/>
                    <w:right w:val="nil"/>
                  </w:tcBorders>
                </w:tcPr>
                <w:p w:rsidR="00EE13F6" w:rsidRDefault="002E5BC4">
                  <w:pPr>
                    <w:framePr w:wrap="around" w:vAnchor="text" w:hAnchor="margin"/>
                    <w:spacing w:after="0"/>
                    <w:ind w:left="99"/>
                    <w:suppressOverlap/>
                  </w:pPr>
                  <w:r>
                    <w:rPr>
                      <w:sz w:val="16"/>
                    </w:rPr>
                    <w:t>0.4851</w:t>
                  </w:r>
                </w:p>
              </w:tc>
              <w:tc>
                <w:tcPr>
                  <w:tcW w:w="1869" w:type="dxa"/>
                  <w:tcBorders>
                    <w:top w:val="nil"/>
                    <w:left w:val="nil"/>
                    <w:bottom w:val="nil"/>
                    <w:right w:val="nil"/>
                  </w:tcBorders>
                </w:tcPr>
                <w:p w:rsidR="00EE13F6" w:rsidRDefault="002E5BC4">
                  <w:pPr>
                    <w:framePr w:wrap="around" w:vAnchor="text" w:hAnchor="margin"/>
                    <w:spacing w:after="0"/>
                    <w:ind w:left="6"/>
                    <w:suppressOverlap/>
                    <w:jc w:val="center"/>
                  </w:pPr>
                  <w:r>
                    <w:rPr>
                      <w:sz w:val="16"/>
                    </w:rPr>
                    <w:t>55.69</w:t>
                  </w:r>
                </w:p>
              </w:tc>
              <w:tc>
                <w:tcPr>
                  <w:tcW w:w="1177" w:type="dxa"/>
                  <w:tcBorders>
                    <w:top w:val="nil"/>
                    <w:left w:val="nil"/>
                    <w:bottom w:val="nil"/>
                    <w:right w:val="nil"/>
                  </w:tcBorders>
                </w:tcPr>
                <w:p w:rsidR="00EE13F6" w:rsidRDefault="002E5BC4">
                  <w:pPr>
                    <w:framePr w:wrap="around" w:vAnchor="text" w:hAnchor="margin"/>
                    <w:spacing w:after="0"/>
                    <w:ind w:left="76"/>
                    <w:suppressOverlap/>
                  </w:pPr>
                  <w:r>
                    <w:rPr>
                      <w:sz w:val="16"/>
                    </w:rPr>
                    <w:t>79.62</w:t>
                  </w:r>
                </w:p>
              </w:tc>
              <w:tc>
                <w:tcPr>
                  <w:tcW w:w="1176" w:type="dxa"/>
                  <w:tcBorders>
                    <w:top w:val="nil"/>
                    <w:left w:val="nil"/>
                    <w:bottom w:val="nil"/>
                    <w:right w:val="nil"/>
                  </w:tcBorders>
                </w:tcPr>
                <w:p w:rsidR="00EE13F6" w:rsidRDefault="002E5BC4">
                  <w:pPr>
                    <w:framePr w:wrap="around" w:vAnchor="text" w:hAnchor="margin"/>
                    <w:spacing w:after="0"/>
                    <w:ind w:left="76"/>
                    <w:suppressOverlap/>
                  </w:pPr>
                  <w:r>
                    <w:rPr>
                      <w:sz w:val="16"/>
                    </w:rPr>
                    <w:t>81.84</w:t>
                  </w:r>
                </w:p>
              </w:tc>
              <w:tc>
                <w:tcPr>
                  <w:tcW w:w="413" w:type="dxa"/>
                  <w:tcBorders>
                    <w:top w:val="nil"/>
                    <w:left w:val="nil"/>
                    <w:bottom w:val="nil"/>
                    <w:right w:val="nil"/>
                  </w:tcBorders>
                </w:tcPr>
                <w:p w:rsidR="00EE13F6" w:rsidRDefault="002E5BC4">
                  <w:pPr>
                    <w:framePr w:wrap="around" w:vAnchor="text" w:hAnchor="margin"/>
                    <w:spacing w:after="0"/>
                    <w:ind w:left="76"/>
                    <w:suppressOverlap/>
                  </w:pPr>
                  <w:r>
                    <w:rPr>
                      <w:sz w:val="16"/>
                    </w:rPr>
                    <w:t>79.96</w:t>
                  </w:r>
                </w:p>
              </w:tc>
            </w:tr>
            <w:tr w:rsidR="00EE13F6">
              <w:trPr>
                <w:trHeight w:val="162"/>
              </w:trPr>
              <w:tc>
                <w:tcPr>
                  <w:tcW w:w="1663" w:type="dxa"/>
                  <w:tcBorders>
                    <w:top w:val="nil"/>
                    <w:left w:val="nil"/>
                    <w:bottom w:val="nil"/>
                    <w:right w:val="nil"/>
                  </w:tcBorders>
                </w:tcPr>
                <w:p w:rsidR="00EE13F6" w:rsidRDefault="002E5BC4">
                  <w:pPr>
                    <w:framePr w:wrap="around" w:vAnchor="text" w:hAnchor="margin"/>
                    <w:spacing w:after="0"/>
                    <w:suppressOverlap/>
                  </w:pPr>
                  <w:r>
                    <w:rPr>
                      <w:sz w:val="16"/>
                    </w:rPr>
                    <w:t>UniCredit</w:t>
                  </w:r>
                </w:p>
              </w:tc>
              <w:tc>
                <w:tcPr>
                  <w:tcW w:w="1398" w:type="dxa"/>
                  <w:tcBorders>
                    <w:top w:val="nil"/>
                    <w:left w:val="nil"/>
                    <w:bottom w:val="nil"/>
                    <w:right w:val="nil"/>
                  </w:tcBorders>
                </w:tcPr>
                <w:p w:rsidR="00EE13F6" w:rsidRDefault="002E5BC4">
                  <w:pPr>
                    <w:framePr w:wrap="around" w:vAnchor="text" w:hAnchor="margin"/>
                    <w:spacing w:after="0"/>
                    <w:ind w:left="111"/>
                    <w:suppressOverlap/>
                  </w:pPr>
                  <w:r>
                    <w:rPr>
                      <w:sz w:val="16"/>
                    </w:rPr>
                    <w:t>188.9</w:t>
                  </w:r>
                </w:p>
              </w:tc>
              <w:tc>
                <w:tcPr>
                  <w:tcW w:w="1177" w:type="dxa"/>
                  <w:tcBorders>
                    <w:top w:val="nil"/>
                    <w:left w:val="nil"/>
                    <w:bottom w:val="nil"/>
                    <w:right w:val="nil"/>
                  </w:tcBorders>
                </w:tcPr>
                <w:p w:rsidR="00EE13F6" w:rsidRDefault="002E5BC4">
                  <w:pPr>
                    <w:framePr w:wrap="around" w:vAnchor="text" w:hAnchor="margin"/>
                    <w:spacing w:after="0"/>
                    <w:suppressOverlap/>
                  </w:pPr>
                  <w:r>
                    <w:rPr>
                      <w:sz w:val="16"/>
                    </w:rPr>
                    <w:t>0.228</w:t>
                  </w:r>
                </w:p>
              </w:tc>
              <w:tc>
                <w:tcPr>
                  <w:tcW w:w="756" w:type="dxa"/>
                  <w:tcBorders>
                    <w:top w:val="nil"/>
                    <w:left w:val="nil"/>
                    <w:bottom w:val="nil"/>
                    <w:right w:val="nil"/>
                  </w:tcBorders>
                </w:tcPr>
                <w:p w:rsidR="00EE13F6" w:rsidRDefault="002E5BC4">
                  <w:pPr>
                    <w:framePr w:wrap="around" w:vAnchor="text" w:hAnchor="margin"/>
                    <w:spacing w:after="0"/>
                    <w:ind w:left="99"/>
                    <w:suppressOverlap/>
                  </w:pPr>
                  <w:r>
                    <w:rPr>
                      <w:sz w:val="16"/>
                    </w:rPr>
                    <w:t>0.2698</w:t>
                  </w:r>
                </w:p>
              </w:tc>
              <w:tc>
                <w:tcPr>
                  <w:tcW w:w="1869" w:type="dxa"/>
                  <w:tcBorders>
                    <w:top w:val="nil"/>
                    <w:left w:val="nil"/>
                    <w:bottom w:val="nil"/>
                    <w:right w:val="nil"/>
                  </w:tcBorders>
                </w:tcPr>
                <w:p w:rsidR="00EE13F6" w:rsidRDefault="002E5BC4">
                  <w:pPr>
                    <w:framePr w:wrap="around" w:vAnchor="text" w:hAnchor="margin"/>
                    <w:spacing w:after="0"/>
                    <w:ind w:left="6"/>
                    <w:suppressOverlap/>
                    <w:jc w:val="center"/>
                  </w:pPr>
                  <w:r>
                    <w:rPr>
                      <w:sz w:val="16"/>
                    </w:rPr>
                    <w:t>26.39</w:t>
                  </w:r>
                </w:p>
              </w:tc>
              <w:tc>
                <w:tcPr>
                  <w:tcW w:w="1177" w:type="dxa"/>
                  <w:tcBorders>
                    <w:top w:val="nil"/>
                    <w:left w:val="nil"/>
                    <w:bottom w:val="nil"/>
                    <w:right w:val="nil"/>
                  </w:tcBorders>
                </w:tcPr>
                <w:p w:rsidR="00EE13F6" w:rsidRDefault="002E5BC4">
                  <w:pPr>
                    <w:framePr w:wrap="around" w:vAnchor="text" w:hAnchor="margin"/>
                    <w:spacing w:after="0"/>
                    <w:ind w:left="76"/>
                    <w:suppressOverlap/>
                  </w:pPr>
                  <w:r>
                    <w:rPr>
                      <w:sz w:val="16"/>
                    </w:rPr>
                    <w:t>27.42</w:t>
                  </w:r>
                </w:p>
              </w:tc>
              <w:tc>
                <w:tcPr>
                  <w:tcW w:w="1176" w:type="dxa"/>
                  <w:tcBorders>
                    <w:top w:val="nil"/>
                    <w:left w:val="nil"/>
                    <w:bottom w:val="nil"/>
                    <w:right w:val="nil"/>
                  </w:tcBorders>
                </w:tcPr>
                <w:p w:rsidR="00EE13F6" w:rsidRDefault="002E5BC4">
                  <w:pPr>
                    <w:framePr w:wrap="around" w:vAnchor="text" w:hAnchor="margin"/>
                    <w:spacing w:after="0"/>
                    <w:ind w:left="76"/>
                    <w:suppressOverlap/>
                  </w:pPr>
                  <w:r>
                    <w:rPr>
                      <w:sz w:val="16"/>
                    </w:rPr>
                    <w:t>27.24</w:t>
                  </w:r>
                </w:p>
              </w:tc>
              <w:tc>
                <w:tcPr>
                  <w:tcW w:w="413" w:type="dxa"/>
                  <w:tcBorders>
                    <w:top w:val="nil"/>
                    <w:left w:val="nil"/>
                    <w:bottom w:val="nil"/>
                    <w:right w:val="nil"/>
                  </w:tcBorders>
                </w:tcPr>
                <w:p w:rsidR="00EE13F6" w:rsidRDefault="002E5BC4">
                  <w:pPr>
                    <w:framePr w:wrap="around" w:vAnchor="text" w:hAnchor="margin"/>
                    <w:spacing w:after="0"/>
                    <w:ind w:left="76"/>
                    <w:suppressOverlap/>
                  </w:pPr>
                  <w:r>
                    <w:rPr>
                      <w:sz w:val="16"/>
                    </w:rPr>
                    <w:t>26.61</w:t>
                  </w:r>
                </w:p>
              </w:tc>
            </w:tr>
          </w:tbl>
          <w:p w:rsidR="00EE13F6" w:rsidRDefault="002E5BC4">
            <w:pPr>
              <w:spacing w:after="0"/>
            </w:pPr>
            <w:r>
              <w:rPr>
                <w:noProof/>
              </w:rPr>
              <mc:AlternateContent>
                <mc:Choice Requires="wpg">
                  <w:drawing>
                    <wp:inline distT="0" distB="0" distL="0" distR="0">
                      <wp:extent cx="6216472" cy="6477"/>
                      <wp:effectExtent l="0" t="0" r="0" b="0"/>
                      <wp:docPr id="217746" name="Group 217746"/>
                      <wp:cNvGraphicFramePr/>
                      <a:graphic xmlns:a="http://schemas.openxmlformats.org/drawingml/2006/main">
                        <a:graphicData uri="http://schemas.microsoft.com/office/word/2010/wordprocessingGroup">
                          <wpg:wgp>
                            <wpg:cNvGrpSpPr/>
                            <wpg:grpSpPr>
                              <a:xfrm>
                                <a:off x="0" y="0"/>
                                <a:ext cx="6216472" cy="6477"/>
                                <a:chOff x="0" y="0"/>
                                <a:chExt cx="6216472" cy="6477"/>
                              </a:xfrm>
                            </wpg:grpSpPr>
                            <wps:wsp>
                              <wps:cNvPr id="231000" name="Shape 231000"/>
                              <wps:cNvSpPr/>
                              <wps:spPr>
                                <a:xfrm>
                                  <a:off x="0" y="0"/>
                                  <a:ext cx="6216472" cy="9144"/>
                                </a:xfrm>
                                <a:custGeom>
                                  <a:avLst/>
                                  <a:gdLst/>
                                  <a:ahLst/>
                                  <a:cxnLst/>
                                  <a:rect l="0" t="0" r="0" b="0"/>
                                  <a:pathLst>
                                    <a:path w="6216472" h="9144">
                                      <a:moveTo>
                                        <a:pt x="0" y="0"/>
                                      </a:moveTo>
                                      <a:lnTo>
                                        <a:pt x="6216472" y="0"/>
                                      </a:lnTo>
                                      <a:lnTo>
                                        <a:pt x="6216472" y="9144"/>
                                      </a:lnTo>
                                      <a:lnTo>
                                        <a:pt x="0" y="9144"/>
                                      </a:lnTo>
                                      <a:lnTo>
                                        <a:pt x="0" y="0"/>
                                      </a:lnTo>
                                    </a:path>
                                  </a:pathLst>
                                </a:custGeom>
                                <a:ln w="0" cap="rnd">
                                  <a:round/>
                                </a:ln>
                              </wps:spPr>
                              <wps:style>
                                <a:lnRef idx="1">
                                  <a:srgbClr val="841F27"/>
                                </a:lnRef>
                                <a:fillRef idx="1">
                                  <a:srgbClr val="841F27"/>
                                </a:fillRef>
                                <a:effectRef idx="0">
                                  <a:scrgbClr r="0" g="0" b="0"/>
                                </a:effectRef>
                                <a:fontRef idx="none"/>
                              </wps:style>
                              <wps:bodyPr/>
                            </wps:wsp>
                          </wpg:wgp>
                        </a:graphicData>
                      </a:graphic>
                    </wp:inline>
                  </w:drawing>
                </mc:Choice>
                <mc:Fallback>
                  <w:pict>
                    <v:group w14:anchorId="6DD64272" id="Group 217746" o:spid="_x0000_s1026" style="width:489.5pt;height:.5pt;mso-position-horizontal-relative:char;mso-position-vertical-relative:line" coordsize="621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">
                      <v:shape id="Shape 231000" o:spid="_x0000_s1027" style="position:absolute;width:62164;height:91;visibility:visible;mso-wrap-style:square;v-text-anchor:top" coordsize="62164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K68cA&#10;AADfAAAADwAAAGRycy9kb3ducmV2LnhtbESPTWsCMRCG74X+hzAFL0UTLUhZjSLtFoRCobZQ9jZs&#10;xs3SzWTZibr+e3Mo9PjyfvGst2Po1JkGaSNbmM8MKOI6upYbC99fb9NnUJKQHXaRycKVBLab+7s1&#10;Fi5e+JPOh9SoPMJSoAWfUl9oLbWngDKLPXH2jnEImLIcGu0GvOTx0OmFMUsdsOX84LGnF0/17+EU&#10;LFRlKa/SyTFVy4/3yu9OZfXzaO3kYdytQCUa03/4r713FhZPc2MyQebJLK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BCuvHAAAA3wAAAA8AAAAAAAAAAAAAAAAAmAIAAGRy&#10;cy9kb3ducmV2LnhtbFBLBQYAAAAABAAEAPUAAACMAwAAAAA=&#10;" path="m,l6216472,r,9144l,9144,,e" fillcolor="#841f27" strokecolor="#841f27" strokeweight="0">
                        <v:stroke endcap="round"/>
                        <v:path arrowok="t" textboxrect="0,0,6216472,9144"/>
                      </v:shape>
                      <w10:anchorlock/>
                    </v:group>
                  </w:pict>
                </mc:Fallback>
              </mc:AlternateContent>
            </w:r>
          </w:p>
        </w:tc>
      </w:tr>
    </w:tbl>
    <w:p w:rsidR="00EE13F6" w:rsidRDefault="002E5BC4">
      <w:pPr>
        <w:spacing w:after="5" w:line="271" w:lineRule="auto"/>
        <w:ind w:left="-4" w:hanging="10"/>
        <w:jc w:val="both"/>
      </w:pPr>
      <w:r>
        <w:rPr>
          <w:rFonts w:ascii="Times New Roman" w:eastAsia="Times New Roman" w:hAnsi="Times New Roman" w:cs="Times New Roman"/>
        </w:rPr>
        <w:lastRenderedPageBreak/>
        <w:t>20%and50%ofrelativeincreaseofthecreditspread.For the three industrial companies, the increase in the credit spreads ranges from 56 to 174 basis points, and for Michelin and Alsthom is consistent with a doubling of the credit spread at 5 years.</w:t>
      </w:r>
    </w:p>
    <w:p w:rsidR="00EE13F6" w:rsidRDefault="002E5BC4">
      <w:pPr>
        <w:spacing w:after="5" w:line="271" w:lineRule="auto"/>
        <w:ind w:left="-14" w:firstLine="240"/>
        <w:jc w:val="both"/>
      </w:pPr>
      <w:r>
        <w:rPr>
          <w:rFonts w:ascii="Times New Roman" w:eastAsia="Times New Roman" w:hAnsi="Times New Roman" w:cs="Times New Roman"/>
        </w:rPr>
        <w:t xml:space="preserve">The results </w:t>
      </w:r>
      <w:r>
        <w:rPr>
          <w:rFonts w:ascii="Times New Roman" w:eastAsia="Times New Roman" w:hAnsi="Times New Roman" w:cs="Times New Roman"/>
        </w:rPr>
        <w:t>compare to the analysis performed by Lendvai, Raciborski, and Vogel (</w:t>
      </w:r>
      <w:r>
        <w:rPr>
          <w:rFonts w:ascii="Times New Roman" w:eastAsia="Times New Roman" w:hAnsi="Times New Roman" w:cs="Times New Roman"/>
          <w:color w:val="00007F"/>
        </w:rPr>
        <w:t>2012</w:t>
      </w:r>
      <w:r>
        <w:rPr>
          <w:rFonts w:ascii="Times New Roman" w:eastAsia="Times New Roman" w:hAnsi="Times New Roman" w:cs="Times New Roman"/>
        </w:rPr>
        <w:t>). This study uses a general equilibrium model and concludes that the introduction of the FTT would lead to an increase of 9 basis points per annum of the cost of capital for European</w:t>
      </w:r>
      <w:r>
        <w:rPr>
          <w:rFonts w:ascii="Times New Roman" w:eastAsia="Times New Roman" w:hAnsi="Times New Roman" w:cs="Times New Roman"/>
        </w:rPr>
        <w:t xml:space="preserve"> corporations. By contrast, we find an impact that is between 5 and 20 times more, and which depends upon the balance sheet of the corporation considered, as well as the implied volatility of its equity shares (recall that our calculation is based upon a l</w:t>
      </w:r>
      <w:r>
        <w:rPr>
          <w:rFonts w:ascii="Times New Roman" w:eastAsia="Times New Roman" w:hAnsi="Times New Roman" w:cs="Times New Roman"/>
        </w:rPr>
        <w:t>enient assumption on the final decision about the taxation of stock lending and borrowing).</w:t>
      </w:r>
    </w:p>
    <w:p w:rsidR="00EE13F6" w:rsidRDefault="002E5BC4">
      <w:pPr>
        <w:spacing w:after="453" w:line="271" w:lineRule="auto"/>
        <w:ind w:left="-14" w:firstLine="240"/>
        <w:jc w:val="both"/>
      </w:pPr>
      <w:r>
        <w:rPr>
          <w:rFonts w:ascii="Times New Roman" w:eastAsia="Times New Roman" w:hAnsi="Times New Roman" w:cs="Times New Roman"/>
        </w:rPr>
        <w:t xml:space="preserve">Because of the connection between CDS and corporate bond markets through </w:t>
      </w:r>
      <w:r>
        <w:t>‘</w:t>
      </w:r>
      <w:r>
        <w:rPr>
          <w:rFonts w:ascii="Times New Roman" w:eastAsia="Times New Roman" w:hAnsi="Times New Roman" w:cs="Times New Roman"/>
        </w:rPr>
        <w:t>basis arbitrage</w:t>
      </w:r>
      <w:r>
        <w:t>’</w:t>
      </w:r>
      <w:r>
        <w:rPr>
          <w:rFonts w:ascii="Times New Roman" w:eastAsia="Times New Roman" w:hAnsi="Times New Roman" w:cs="Times New Roman"/>
        </w:rPr>
        <w:t>, this increase is likely to propagate to the bond market.</w:t>
      </w:r>
    </w:p>
    <w:p w:rsidR="00EE13F6" w:rsidRDefault="002E5BC4">
      <w:pPr>
        <w:spacing w:after="132" w:line="257" w:lineRule="auto"/>
        <w:ind w:left="-5" w:hanging="10"/>
      </w:pPr>
      <w:r>
        <w:rPr>
          <w:color w:val="841F27"/>
        </w:rPr>
        <w:t>Acknowledgments</w:t>
      </w:r>
    </w:p>
    <w:p w:rsidR="00EE13F6" w:rsidRDefault="002E5BC4">
      <w:pPr>
        <w:spacing w:after="474" w:line="267" w:lineRule="auto"/>
        <w:ind w:left="-14"/>
        <w:jc w:val="both"/>
      </w:pPr>
      <w:r>
        <w:rPr>
          <w:rFonts w:ascii="Times New Roman" w:eastAsia="Times New Roman" w:hAnsi="Times New Roman" w:cs="Times New Roman"/>
          <w:sz w:val="19"/>
        </w:rPr>
        <w:t>I thank Martine Carré-Tallon, René Aïd, Jerôme Mathis and participants of Doctorants Workshop (Paris Dauphine, June 2016) for useful comments.</w:t>
      </w:r>
    </w:p>
    <w:p w:rsidR="00EE13F6" w:rsidRDefault="002E5BC4">
      <w:pPr>
        <w:spacing w:after="92" w:line="257" w:lineRule="auto"/>
        <w:ind w:left="-5" w:hanging="10"/>
      </w:pPr>
      <w:r>
        <w:rPr>
          <w:color w:val="841F27"/>
        </w:rPr>
        <w:t>Disclosure statement</w:t>
      </w:r>
    </w:p>
    <w:p w:rsidR="00EE13F6" w:rsidRDefault="002E5BC4">
      <w:pPr>
        <w:spacing w:after="496" w:line="267" w:lineRule="auto"/>
        <w:ind w:left="-14"/>
        <w:jc w:val="both"/>
      </w:pPr>
      <w:r>
        <w:rPr>
          <w:rFonts w:ascii="Times New Roman" w:eastAsia="Times New Roman" w:hAnsi="Times New Roman" w:cs="Times New Roman"/>
          <w:sz w:val="19"/>
        </w:rPr>
        <w:t>No potential conflict of interest was reported by the author.</w:t>
      </w:r>
    </w:p>
    <w:p w:rsidR="00EE13F6" w:rsidRDefault="002E5BC4">
      <w:pPr>
        <w:spacing w:after="132" w:line="257" w:lineRule="auto"/>
        <w:ind w:left="-5" w:hanging="10"/>
      </w:pPr>
      <w:r>
        <w:rPr>
          <w:color w:val="841F27"/>
        </w:rPr>
        <w:t>References</w:t>
      </w:r>
    </w:p>
    <w:p w:rsidR="00EE13F6" w:rsidRDefault="002E5BC4">
      <w:pPr>
        <w:spacing w:after="4" w:line="267" w:lineRule="auto"/>
        <w:ind w:left="195" w:hanging="209"/>
        <w:jc w:val="both"/>
      </w:pPr>
      <w:r>
        <w:rPr>
          <w:rFonts w:ascii="Times New Roman" w:eastAsia="Times New Roman" w:hAnsi="Times New Roman" w:cs="Times New Roman"/>
          <w:sz w:val="19"/>
        </w:rPr>
        <w:t xml:space="preserve">Amihud, Y., and H. Mendelson. </w:t>
      </w:r>
      <w:r>
        <w:rPr>
          <w:rFonts w:ascii="Times New Roman" w:eastAsia="Times New Roman" w:hAnsi="Times New Roman" w:cs="Times New Roman"/>
          <w:color w:val="00007F"/>
          <w:sz w:val="19"/>
        </w:rPr>
        <w:t>1991</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Liquidity, Asset Prices and Financial Policy.</w:t>
      </w:r>
      <w:r>
        <w:rPr>
          <w:sz w:val="19"/>
        </w:rPr>
        <w:t xml:space="preserve">” Financial Analysts Journal </w:t>
      </w:r>
      <w:r>
        <w:rPr>
          <w:rFonts w:ascii="Times New Roman" w:eastAsia="Times New Roman" w:hAnsi="Times New Roman" w:cs="Times New Roman"/>
          <w:sz w:val="19"/>
        </w:rPr>
        <w:t>47 (6, nov, Dec.): 56</w:t>
      </w:r>
      <w:r>
        <w:rPr>
          <w:sz w:val="19"/>
        </w:rPr>
        <w:t>–</w:t>
      </w:r>
      <w:r>
        <w:rPr>
          <w:rFonts w:ascii="Times New Roman" w:eastAsia="Times New Roman" w:hAnsi="Times New Roman" w:cs="Times New Roman"/>
          <w:sz w:val="19"/>
        </w:rPr>
        <w:t>66.</w:t>
      </w:r>
    </w:p>
    <w:p w:rsidR="00EE13F6" w:rsidRDefault="002E5BC4">
      <w:pPr>
        <w:spacing w:after="4" w:line="267" w:lineRule="auto"/>
        <w:ind w:left="195" w:hanging="209"/>
        <w:jc w:val="both"/>
      </w:pPr>
      <w:r>
        <w:rPr>
          <w:rFonts w:ascii="Times New Roman" w:eastAsia="Times New Roman" w:hAnsi="Times New Roman" w:cs="Times New Roman"/>
          <w:sz w:val="19"/>
        </w:rPr>
        <w:t>Anthony, J., M. Bijlsma, A. Elbourne, M. Lever, and G. Zwart (</w:t>
      </w:r>
      <w:r>
        <w:rPr>
          <w:rFonts w:ascii="Times New Roman" w:eastAsia="Times New Roman" w:hAnsi="Times New Roman" w:cs="Times New Roman"/>
          <w:color w:val="00007F"/>
          <w:sz w:val="19"/>
        </w:rPr>
        <w:t>2012</w:t>
      </w:r>
      <w:r>
        <w:rPr>
          <w:rFonts w:ascii="Times New Roman" w:eastAsia="Times New Roman" w:hAnsi="Times New Roman" w:cs="Times New Roman"/>
          <w:sz w:val="19"/>
        </w:rPr>
        <w:t xml:space="preserve">) Financial Transaction Tax: Review and Assessment. </w:t>
      </w:r>
      <w:r>
        <w:rPr>
          <w:sz w:val="19"/>
        </w:rPr>
        <w:t>C</w:t>
      </w:r>
      <w:r>
        <w:rPr>
          <w:sz w:val="19"/>
        </w:rPr>
        <w:t>PB Netherlands Bureau For Economic Policy Analysis. CPB Discussion Paper</w:t>
      </w:r>
      <w:r>
        <w:rPr>
          <w:rFonts w:ascii="Times New Roman" w:eastAsia="Times New Roman" w:hAnsi="Times New Roman" w:cs="Times New Roman"/>
          <w:sz w:val="19"/>
        </w:rPr>
        <w:t>.</w:t>
      </w:r>
    </w:p>
    <w:p w:rsidR="00EE13F6" w:rsidRDefault="002E5BC4">
      <w:pPr>
        <w:spacing w:after="4" w:line="267" w:lineRule="auto"/>
        <w:ind w:left="195" w:hanging="209"/>
        <w:jc w:val="both"/>
      </w:pPr>
      <w:r>
        <w:rPr>
          <w:rFonts w:ascii="Times New Roman" w:eastAsia="Times New Roman" w:hAnsi="Times New Roman" w:cs="Times New Roman"/>
          <w:sz w:val="19"/>
        </w:rPr>
        <w:t xml:space="preserve">Avellaneda, M., and S. Stoikov. </w:t>
      </w:r>
      <w:r>
        <w:rPr>
          <w:rFonts w:ascii="Times New Roman" w:eastAsia="Times New Roman" w:hAnsi="Times New Roman" w:cs="Times New Roman"/>
          <w:color w:val="00007F"/>
          <w:sz w:val="19"/>
        </w:rPr>
        <w:t>2008</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High Frequency Trading in a Limit Order Book.</w:t>
      </w:r>
      <w:r>
        <w:rPr>
          <w:sz w:val="19"/>
        </w:rPr>
        <w:t xml:space="preserve">” Quantitative Finance </w:t>
      </w:r>
      <w:r>
        <w:rPr>
          <w:rFonts w:ascii="Times New Roman" w:eastAsia="Times New Roman" w:hAnsi="Times New Roman" w:cs="Times New Roman"/>
          <w:sz w:val="19"/>
        </w:rPr>
        <w:t>8 (3): 217</w:t>
      </w:r>
      <w:r>
        <w:rPr>
          <w:sz w:val="19"/>
        </w:rPr>
        <w:t>–</w:t>
      </w:r>
      <w:r>
        <w:rPr>
          <w:rFonts w:ascii="Times New Roman" w:eastAsia="Times New Roman" w:hAnsi="Times New Roman" w:cs="Times New Roman"/>
          <w:sz w:val="19"/>
        </w:rPr>
        <w:t>224.</w:t>
      </w:r>
    </w:p>
    <w:p w:rsidR="00EE13F6" w:rsidRDefault="002E5BC4">
      <w:pPr>
        <w:spacing w:after="4" w:line="267" w:lineRule="auto"/>
        <w:ind w:left="195" w:hanging="209"/>
        <w:jc w:val="both"/>
      </w:pPr>
      <w:r>
        <w:rPr>
          <w:rFonts w:ascii="Times New Roman" w:eastAsia="Times New Roman" w:hAnsi="Times New Roman" w:cs="Times New Roman"/>
          <w:sz w:val="19"/>
        </w:rPr>
        <w:t xml:space="preserve">Black, F., and J. Cox. </w:t>
      </w:r>
      <w:r>
        <w:rPr>
          <w:rFonts w:ascii="Times New Roman" w:eastAsia="Times New Roman" w:hAnsi="Times New Roman" w:cs="Times New Roman"/>
          <w:color w:val="00007F"/>
          <w:sz w:val="19"/>
        </w:rPr>
        <w:t>1976</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Valuing Corporate Securities: Some Effects of Bond Indenture Provisions.</w:t>
      </w:r>
      <w:r>
        <w:rPr>
          <w:sz w:val="19"/>
        </w:rPr>
        <w:t xml:space="preserve">” The Journal of Finance </w:t>
      </w:r>
      <w:r>
        <w:rPr>
          <w:rFonts w:ascii="Times New Roman" w:eastAsia="Times New Roman" w:hAnsi="Times New Roman" w:cs="Times New Roman"/>
          <w:sz w:val="19"/>
        </w:rPr>
        <w:t>31: 351</w:t>
      </w:r>
      <w:r>
        <w:rPr>
          <w:sz w:val="19"/>
        </w:rPr>
        <w:t>–</w:t>
      </w:r>
      <w:r>
        <w:rPr>
          <w:rFonts w:ascii="Times New Roman" w:eastAsia="Times New Roman" w:hAnsi="Times New Roman" w:cs="Times New Roman"/>
          <w:sz w:val="19"/>
        </w:rPr>
        <w:t>367.</w:t>
      </w:r>
    </w:p>
    <w:p w:rsidR="00EE13F6" w:rsidRDefault="002E5BC4">
      <w:pPr>
        <w:spacing w:after="4" w:line="267" w:lineRule="auto"/>
        <w:ind w:left="195" w:hanging="209"/>
        <w:jc w:val="both"/>
      </w:pPr>
      <w:r>
        <w:rPr>
          <w:rFonts w:ascii="Times New Roman" w:eastAsia="Times New Roman" w:hAnsi="Times New Roman" w:cs="Times New Roman"/>
          <w:sz w:val="19"/>
        </w:rPr>
        <w:lastRenderedPageBreak/>
        <w:t xml:space="preserve">Boyle, P., and T. Vorst. </w:t>
      </w:r>
      <w:r>
        <w:rPr>
          <w:rFonts w:ascii="Times New Roman" w:eastAsia="Times New Roman" w:hAnsi="Times New Roman" w:cs="Times New Roman"/>
          <w:color w:val="00007F"/>
          <w:sz w:val="19"/>
        </w:rPr>
        <w:t>1992</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Option Replication in Discrete Time with Transaction Costs.</w:t>
      </w:r>
      <w:r>
        <w:rPr>
          <w:sz w:val="19"/>
        </w:rPr>
        <w:t>” The Journal of Fin</w:t>
      </w:r>
      <w:r>
        <w:rPr>
          <w:sz w:val="19"/>
        </w:rPr>
        <w:t xml:space="preserve">ance </w:t>
      </w:r>
      <w:r>
        <w:rPr>
          <w:rFonts w:ascii="Times New Roman" w:eastAsia="Times New Roman" w:hAnsi="Times New Roman" w:cs="Times New Roman"/>
          <w:sz w:val="19"/>
        </w:rPr>
        <w:t>47: 271</w:t>
      </w:r>
      <w:r>
        <w:rPr>
          <w:sz w:val="19"/>
        </w:rPr>
        <w:t>–</w:t>
      </w:r>
      <w:r>
        <w:rPr>
          <w:rFonts w:ascii="Times New Roman" w:eastAsia="Times New Roman" w:hAnsi="Times New Roman" w:cs="Times New Roman"/>
          <w:sz w:val="19"/>
        </w:rPr>
        <w:t>293.</w:t>
      </w:r>
    </w:p>
    <w:p w:rsidR="00EE13F6" w:rsidRDefault="002E5BC4">
      <w:pPr>
        <w:spacing w:after="4" w:line="267" w:lineRule="auto"/>
        <w:ind w:left="195" w:hanging="209"/>
        <w:jc w:val="both"/>
      </w:pPr>
      <w:r>
        <w:rPr>
          <w:rFonts w:ascii="Times New Roman" w:eastAsia="Times New Roman" w:hAnsi="Times New Roman" w:cs="Times New Roman"/>
          <w:sz w:val="19"/>
        </w:rPr>
        <w:t xml:space="preserve">Finkelstein, V., J. P. Lardy, G. Pan, T. Ta, and J. Tierney. </w:t>
      </w:r>
      <w:r>
        <w:rPr>
          <w:rFonts w:ascii="Times New Roman" w:eastAsia="Times New Roman" w:hAnsi="Times New Roman" w:cs="Times New Roman"/>
          <w:color w:val="00007F"/>
          <w:sz w:val="19"/>
        </w:rPr>
        <w:t>2002</w:t>
      </w:r>
      <w:r>
        <w:rPr>
          <w:rFonts w:ascii="Times New Roman" w:eastAsia="Times New Roman" w:hAnsi="Times New Roman" w:cs="Times New Roman"/>
          <w:sz w:val="19"/>
        </w:rPr>
        <w:t xml:space="preserve">. </w:t>
      </w:r>
      <w:r>
        <w:rPr>
          <w:sz w:val="19"/>
        </w:rPr>
        <w:t>Credit Grades Technical Document</w:t>
      </w:r>
      <w:r>
        <w:rPr>
          <w:rFonts w:ascii="Times New Roman" w:eastAsia="Times New Roman" w:hAnsi="Times New Roman" w:cs="Times New Roman"/>
          <w:sz w:val="19"/>
        </w:rPr>
        <w:t>. RiskMetrics Group, Inc, Deutsche Bank.</w:t>
      </w:r>
    </w:p>
    <w:p w:rsidR="00EE13F6" w:rsidRDefault="002E5BC4">
      <w:pPr>
        <w:spacing w:after="4" w:line="267" w:lineRule="auto"/>
        <w:ind w:left="195" w:hanging="209"/>
        <w:jc w:val="both"/>
      </w:pPr>
      <w:r>
        <w:rPr>
          <w:rFonts w:ascii="Times New Roman" w:eastAsia="Times New Roman" w:hAnsi="Times New Roman" w:cs="Times New Roman"/>
          <w:sz w:val="19"/>
        </w:rPr>
        <w:t xml:space="preserve">Hakkio, C. </w:t>
      </w:r>
      <w:r>
        <w:rPr>
          <w:rFonts w:ascii="Times New Roman" w:eastAsia="Times New Roman" w:hAnsi="Times New Roman" w:cs="Times New Roman"/>
          <w:color w:val="00007F"/>
          <w:sz w:val="19"/>
        </w:rPr>
        <w:t>1994</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Should We Throw Sand in the Gears of Financial Markets?</w:t>
      </w:r>
      <w:r>
        <w:rPr>
          <w:sz w:val="19"/>
        </w:rPr>
        <w:t xml:space="preserve">” Economic Review </w:t>
      </w:r>
      <w:r>
        <w:rPr>
          <w:rFonts w:ascii="Times New Roman" w:eastAsia="Times New Roman" w:hAnsi="Times New Roman" w:cs="Times New Roman"/>
          <w:sz w:val="19"/>
        </w:rPr>
        <w:t>79 (2):</w:t>
      </w:r>
      <w:r>
        <w:rPr>
          <w:rFonts w:ascii="Times New Roman" w:eastAsia="Times New Roman" w:hAnsi="Times New Roman" w:cs="Times New Roman"/>
          <w:sz w:val="19"/>
        </w:rPr>
        <w:t xml:space="preserve"> 17</w:t>
      </w:r>
      <w:r>
        <w:rPr>
          <w:sz w:val="19"/>
        </w:rPr>
        <w:t>–</w:t>
      </w:r>
      <w:r>
        <w:rPr>
          <w:rFonts w:ascii="Times New Roman" w:eastAsia="Times New Roman" w:hAnsi="Times New Roman" w:cs="Times New Roman"/>
          <w:sz w:val="19"/>
        </w:rPr>
        <w:t>30. issue Q II, No v.</w:t>
      </w:r>
    </w:p>
    <w:p w:rsidR="00EE13F6" w:rsidRDefault="002E5BC4">
      <w:pPr>
        <w:spacing w:after="4" w:line="267" w:lineRule="auto"/>
        <w:ind w:left="195" w:hanging="209"/>
        <w:jc w:val="both"/>
      </w:pPr>
      <w:r>
        <w:rPr>
          <w:rFonts w:ascii="Times New Roman" w:eastAsia="Times New Roman" w:hAnsi="Times New Roman" w:cs="Times New Roman"/>
          <w:sz w:val="19"/>
        </w:rPr>
        <w:t xml:space="preserve">Hawkins, M., and J. McCrae. </w:t>
      </w:r>
      <w:r>
        <w:rPr>
          <w:rFonts w:ascii="Times New Roman" w:eastAsia="Times New Roman" w:hAnsi="Times New Roman" w:cs="Times New Roman"/>
          <w:color w:val="00007F"/>
          <w:sz w:val="19"/>
        </w:rPr>
        <w:t>2002</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Stamp Duty on Share Transactions: Is There A Case for Change?.</w:t>
      </w:r>
      <w:r>
        <w:rPr>
          <w:sz w:val="19"/>
        </w:rPr>
        <w:t xml:space="preserve">” </w:t>
      </w:r>
      <w:r>
        <w:rPr>
          <w:rFonts w:ascii="Times New Roman" w:eastAsia="Times New Roman" w:hAnsi="Times New Roman" w:cs="Times New Roman"/>
          <w:sz w:val="19"/>
        </w:rPr>
        <w:t xml:space="preserve">In </w:t>
      </w:r>
      <w:r>
        <w:rPr>
          <w:sz w:val="19"/>
        </w:rPr>
        <w:t>Institute For Fiscal Studies, Vol. 31.</w:t>
      </w:r>
    </w:p>
    <w:p w:rsidR="00EE13F6" w:rsidRDefault="002E5BC4">
      <w:pPr>
        <w:spacing w:after="4" w:line="267" w:lineRule="auto"/>
        <w:ind w:left="-14"/>
        <w:jc w:val="both"/>
      </w:pPr>
      <w:r>
        <w:rPr>
          <w:rFonts w:ascii="Times New Roman" w:eastAsia="Times New Roman" w:hAnsi="Times New Roman" w:cs="Times New Roman"/>
          <w:sz w:val="19"/>
        </w:rPr>
        <w:t xml:space="preserve">Ho, T., and R. Macris. 1984. </w:t>
      </w:r>
      <w:r>
        <w:rPr>
          <w:sz w:val="19"/>
        </w:rPr>
        <w:t>“</w:t>
      </w:r>
      <w:r>
        <w:rPr>
          <w:rFonts w:ascii="Times New Roman" w:eastAsia="Times New Roman" w:hAnsi="Times New Roman" w:cs="Times New Roman"/>
          <w:sz w:val="19"/>
        </w:rPr>
        <w:t xml:space="preserve">Dealer Bid-Ask Quotes and Transaction Prices: An Empirical </w:t>
      </w:r>
      <w:r>
        <w:rPr>
          <w:rFonts w:ascii="Times New Roman" w:eastAsia="Times New Roman" w:hAnsi="Times New Roman" w:cs="Times New Roman"/>
          <w:sz w:val="19"/>
        </w:rPr>
        <w:t>Study of Some AMEX Option s.</w:t>
      </w:r>
      <w:r>
        <w:rPr>
          <w:sz w:val="19"/>
        </w:rPr>
        <w:t xml:space="preserve">” The Journal of Finance </w:t>
      </w:r>
      <w:r>
        <w:rPr>
          <w:rFonts w:ascii="Times New Roman" w:eastAsia="Times New Roman" w:hAnsi="Times New Roman" w:cs="Times New Roman"/>
          <w:sz w:val="19"/>
        </w:rPr>
        <w:t>39: 23</w:t>
      </w:r>
      <w:r>
        <w:rPr>
          <w:sz w:val="19"/>
        </w:rPr>
        <w:t>–</w:t>
      </w:r>
      <w:r>
        <w:rPr>
          <w:rFonts w:ascii="Times New Roman" w:eastAsia="Times New Roman" w:hAnsi="Times New Roman" w:cs="Times New Roman"/>
          <w:sz w:val="19"/>
        </w:rPr>
        <w:t xml:space="preserve">45. Ho, T., and H. Stoll. </w:t>
      </w:r>
      <w:r>
        <w:rPr>
          <w:rFonts w:ascii="Times New Roman" w:eastAsia="Times New Roman" w:hAnsi="Times New Roman" w:cs="Times New Roman"/>
          <w:color w:val="00007F"/>
          <w:sz w:val="19"/>
        </w:rPr>
        <w:t>1980</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On Dealer Markest under Competition.</w:t>
      </w:r>
      <w:r>
        <w:rPr>
          <w:sz w:val="19"/>
        </w:rPr>
        <w:t xml:space="preserve">” The Journal of Finance </w:t>
      </w:r>
      <w:r>
        <w:rPr>
          <w:rFonts w:ascii="Times New Roman" w:eastAsia="Times New Roman" w:hAnsi="Times New Roman" w:cs="Times New Roman"/>
          <w:sz w:val="19"/>
        </w:rPr>
        <w:t>35: 259</w:t>
      </w:r>
      <w:r>
        <w:rPr>
          <w:sz w:val="19"/>
        </w:rPr>
        <w:t>–</w:t>
      </w:r>
      <w:r>
        <w:rPr>
          <w:rFonts w:ascii="Times New Roman" w:eastAsia="Times New Roman" w:hAnsi="Times New Roman" w:cs="Times New Roman"/>
          <w:sz w:val="19"/>
        </w:rPr>
        <w:t xml:space="preserve">267. Lardy, J.-P. </w:t>
      </w:r>
      <w:r>
        <w:rPr>
          <w:rFonts w:ascii="Times New Roman" w:eastAsia="Times New Roman" w:hAnsi="Times New Roman" w:cs="Times New Roman"/>
          <w:color w:val="00007F"/>
          <w:sz w:val="19"/>
        </w:rPr>
        <w:t>2001</w:t>
      </w:r>
      <w:r>
        <w:rPr>
          <w:rFonts w:ascii="Times New Roman" w:eastAsia="Times New Roman" w:hAnsi="Times New Roman" w:cs="Times New Roman"/>
          <w:sz w:val="19"/>
        </w:rPr>
        <w:t xml:space="preserve">. </w:t>
      </w:r>
      <w:r>
        <w:rPr>
          <w:sz w:val="19"/>
        </w:rPr>
        <w:t>A Simple Closed-Form Formula to Price Credit</w:t>
      </w:r>
      <w:r>
        <w:rPr>
          <w:rFonts w:ascii="Times New Roman" w:eastAsia="Times New Roman" w:hAnsi="Times New Roman" w:cs="Times New Roman"/>
          <w:sz w:val="19"/>
        </w:rPr>
        <w:t>. Paris: Presentation, Risk.</w:t>
      </w:r>
    </w:p>
    <w:p w:rsidR="00EE13F6" w:rsidRDefault="002E5BC4">
      <w:pPr>
        <w:spacing w:after="4" w:line="267" w:lineRule="auto"/>
        <w:ind w:left="195" w:hanging="209"/>
        <w:jc w:val="both"/>
      </w:pPr>
      <w:r>
        <w:rPr>
          <w:rFonts w:ascii="Times New Roman" w:eastAsia="Times New Roman" w:hAnsi="Times New Roman" w:cs="Times New Roman"/>
          <w:sz w:val="19"/>
        </w:rPr>
        <w:t xml:space="preserve">Leland, H. </w:t>
      </w:r>
      <w:r>
        <w:rPr>
          <w:rFonts w:ascii="Times New Roman" w:eastAsia="Times New Roman" w:hAnsi="Times New Roman" w:cs="Times New Roman"/>
          <w:color w:val="00007F"/>
          <w:sz w:val="19"/>
        </w:rPr>
        <w:t>1985</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Option Pricing and Replication with Transaction Costs.</w:t>
      </w:r>
      <w:r>
        <w:rPr>
          <w:sz w:val="19"/>
        </w:rPr>
        <w:t xml:space="preserve">” The Journal of Finance </w:t>
      </w:r>
      <w:r>
        <w:rPr>
          <w:rFonts w:ascii="Times New Roman" w:eastAsia="Times New Roman" w:hAnsi="Times New Roman" w:cs="Times New Roman"/>
          <w:sz w:val="19"/>
        </w:rPr>
        <w:t>40: 1283</w:t>
      </w:r>
      <w:r>
        <w:rPr>
          <w:sz w:val="19"/>
        </w:rPr>
        <w:t xml:space="preserve">– </w:t>
      </w:r>
      <w:r>
        <w:rPr>
          <w:rFonts w:ascii="Times New Roman" w:eastAsia="Times New Roman" w:hAnsi="Times New Roman" w:cs="Times New Roman"/>
          <w:sz w:val="19"/>
        </w:rPr>
        <w:t>1301.</w:t>
      </w:r>
    </w:p>
    <w:p w:rsidR="00EE13F6" w:rsidRDefault="002E5BC4">
      <w:pPr>
        <w:spacing w:after="4" w:line="267" w:lineRule="auto"/>
        <w:ind w:left="195" w:hanging="209"/>
        <w:jc w:val="both"/>
      </w:pPr>
      <w:r>
        <w:rPr>
          <w:rFonts w:ascii="Times New Roman" w:eastAsia="Times New Roman" w:hAnsi="Times New Roman" w:cs="Times New Roman"/>
          <w:sz w:val="19"/>
        </w:rPr>
        <w:t xml:space="preserve">Leland, H. </w:t>
      </w:r>
      <w:r>
        <w:rPr>
          <w:rFonts w:ascii="Times New Roman" w:eastAsia="Times New Roman" w:hAnsi="Times New Roman" w:cs="Times New Roman"/>
          <w:color w:val="00007F"/>
          <w:sz w:val="19"/>
        </w:rPr>
        <w:t>1994</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Corporate Debt Value, Bond Covenants, and Optimal Capital Structure.</w:t>
      </w:r>
      <w:r>
        <w:rPr>
          <w:sz w:val="19"/>
        </w:rPr>
        <w:t xml:space="preserve">” The Journal of Finance </w:t>
      </w:r>
      <w:r>
        <w:rPr>
          <w:rFonts w:ascii="Times New Roman" w:eastAsia="Times New Roman" w:hAnsi="Times New Roman" w:cs="Times New Roman"/>
          <w:sz w:val="19"/>
        </w:rPr>
        <w:t>49:</w:t>
      </w:r>
      <w:r>
        <w:rPr>
          <w:rFonts w:ascii="Times New Roman" w:eastAsia="Times New Roman" w:hAnsi="Times New Roman" w:cs="Times New Roman"/>
          <w:sz w:val="19"/>
        </w:rPr>
        <w:t xml:space="preserve"> 1213</w:t>
      </w:r>
      <w:r>
        <w:rPr>
          <w:sz w:val="19"/>
        </w:rPr>
        <w:t>–</w:t>
      </w:r>
      <w:r>
        <w:rPr>
          <w:rFonts w:ascii="Times New Roman" w:eastAsia="Times New Roman" w:hAnsi="Times New Roman" w:cs="Times New Roman"/>
          <w:sz w:val="19"/>
        </w:rPr>
        <w:t>1252.</w:t>
      </w:r>
    </w:p>
    <w:p w:rsidR="00EE13F6" w:rsidRDefault="002E5BC4">
      <w:pPr>
        <w:spacing w:after="4" w:line="267" w:lineRule="auto"/>
        <w:ind w:left="-14"/>
        <w:jc w:val="both"/>
      </w:pPr>
      <w:r>
        <w:rPr>
          <w:rFonts w:ascii="Times New Roman" w:eastAsia="Times New Roman" w:hAnsi="Times New Roman" w:cs="Times New Roman"/>
          <w:sz w:val="19"/>
        </w:rPr>
        <w:t xml:space="preserve">Lendvai, J., R. Raciborski, and L. Vogel. </w:t>
      </w:r>
      <w:r>
        <w:rPr>
          <w:rFonts w:ascii="Times New Roman" w:eastAsia="Times New Roman" w:hAnsi="Times New Roman" w:cs="Times New Roman"/>
          <w:color w:val="00007F"/>
          <w:sz w:val="19"/>
        </w:rPr>
        <w:t>2012</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Securities</w:t>
      </w:r>
    </w:p>
    <w:p w:rsidR="00EE13F6" w:rsidRDefault="002E5BC4">
      <w:pPr>
        <w:spacing w:after="4" w:line="267" w:lineRule="auto"/>
        <w:ind w:left="200"/>
        <w:jc w:val="both"/>
      </w:pPr>
      <w:r>
        <w:rPr>
          <w:rFonts w:ascii="Times New Roman" w:eastAsia="Times New Roman" w:hAnsi="Times New Roman" w:cs="Times New Roman"/>
          <w:sz w:val="19"/>
        </w:rPr>
        <w:t>Transaction Taxes: Macroeconomic Implications in a General Equilibrium Model.</w:t>
      </w:r>
      <w:r>
        <w:rPr>
          <w:sz w:val="19"/>
        </w:rPr>
        <w:t xml:space="preserve">” European Economy: Economic Papers </w:t>
      </w:r>
      <w:r>
        <w:rPr>
          <w:rFonts w:ascii="Times New Roman" w:eastAsia="Times New Roman" w:hAnsi="Times New Roman" w:cs="Times New Roman"/>
          <w:sz w:val="19"/>
        </w:rPr>
        <w:t>450 (March 2012), European Commission.</w:t>
      </w:r>
    </w:p>
    <w:p w:rsidR="00EE13F6" w:rsidRDefault="002E5BC4">
      <w:pPr>
        <w:spacing w:after="4" w:line="267" w:lineRule="auto"/>
        <w:ind w:left="195" w:hanging="209"/>
        <w:jc w:val="both"/>
      </w:pPr>
      <w:r>
        <w:rPr>
          <w:rFonts w:ascii="Times New Roman" w:eastAsia="Times New Roman" w:hAnsi="Times New Roman" w:cs="Times New Roman"/>
          <w:sz w:val="19"/>
        </w:rPr>
        <w:t>Matheson, T. Taxing Financial Tr</w:t>
      </w:r>
      <w:r>
        <w:rPr>
          <w:rFonts w:ascii="Times New Roman" w:eastAsia="Times New Roman" w:hAnsi="Times New Roman" w:cs="Times New Roman"/>
          <w:sz w:val="19"/>
        </w:rPr>
        <w:t xml:space="preserve">ansactions: Issues and Evidence. </w:t>
      </w:r>
      <w:r>
        <w:rPr>
          <w:sz w:val="19"/>
        </w:rPr>
        <w:t>IMF Staff papers</w:t>
      </w:r>
      <w:r>
        <w:rPr>
          <w:rFonts w:ascii="Times New Roman" w:eastAsia="Times New Roman" w:hAnsi="Times New Roman" w:cs="Times New Roman"/>
          <w:sz w:val="19"/>
        </w:rPr>
        <w:t xml:space="preserve">. Vol. 50, Special issue </w:t>
      </w:r>
      <w:r>
        <w:rPr>
          <w:rFonts w:ascii="Times New Roman" w:eastAsia="Times New Roman" w:hAnsi="Times New Roman" w:cs="Times New Roman"/>
          <w:color w:val="00007F"/>
          <w:sz w:val="19"/>
        </w:rPr>
        <w:t xml:space="preserve">2003 </w:t>
      </w:r>
      <w:r>
        <w:rPr>
          <w:rFonts w:ascii="Times New Roman" w:eastAsia="Times New Roman" w:hAnsi="Times New Roman" w:cs="Times New Roman"/>
          <w:sz w:val="19"/>
        </w:rPr>
        <w:t>International Monetary Fund.</w:t>
      </w:r>
    </w:p>
    <w:p w:rsidR="00EE13F6" w:rsidRDefault="002E5BC4">
      <w:pPr>
        <w:spacing w:after="4" w:line="267" w:lineRule="auto"/>
        <w:ind w:left="-14"/>
        <w:jc w:val="both"/>
      </w:pPr>
      <w:r>
        <w:rPr>
          <w:rFonts w:ascii="Times New Roman" w:eastAsia="Times New Roman" w:hAnsi="Times New Roman" w:cs="Times New Roman"/>
          <w:sz w:val="19"/>
        </w:rPr>
        <w:t xml:space="preserve">Musiela, M., and M. Rutkowski. </w:t>
      </w:r>
      <w:r>
        <w:rPr>
          <w:rFonts w:ascii="Times New Roman" w:eastAsia="Times New Roman" w:hAnsi="Times New Roman" w:cs="Times New Roman"/>
          <w:color w:val="00007F"/>
          <w:sz w:val="19"/>
        </w:rPr>
        <w:t>1998</w:t>
      </w:r>
      <w:r>
        <w:rPr>
          <w:rFonts w:ascii="Times New Roman" w:eastAsia="Times New Roman" w:hAnsi="Times New Roman" w:cs="Times New Roman"/>
          <w:sz w:val="19"/>
        </w:rPr>
        <w:t xml:space="preserve">. </w:t>
      </w:r>
      <w:r>
        <w:rPr>
          <w:sz w:val="19"/>
        </w:rPr>
        <w:t>Martingales Methods in Financial Modeling</w:t>
      </w:r>
      <w:r>
        <w:rPr>
          <w:rFonts w:ascii="Times New Roman" w:eastAsia="Times New Roman" w:hAnsi="Times New Roman" w:cs="Times New Roman"/>
          <w:sz w:val="19"/>
        </w:rPr>
        <w:t xml:space="preserve">. </w:t>
      </w:r>
      <w:r>
        <w:rPr>
          <w:sz w:val="19"/>
        </w:rPr>
        <w:t xml:space="preserve">2nd </w:t>
      </w:r>
      <w:r>
        <w:rPr>
          <w:rFonts w:ascii="Times New Roman" w:eastAsia="Times New Roman" w:hAnsi="Times New Roman" w:cs="Times New Roman"/>
          <w:sz w:val="19"/>
        </w:rPr>
        <w:t xml:space="preserve">ed. Berlin: Springer Verlag. Rubinstein, M., and C. Reiner. </w:t>
      </w:r>
      <w:r>
        <w:rPr>
          <w:rFonts w:ascii="Times New Roman" w:eastAsia="Times New Roman" w:hAnsi="Times New Roman" w:cs="Times New Roman"/>
          <w:color w:val="00007F"/>
          <w:sz w:val="19"/>
        </w:rPr>
        <w:t>1991</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Breaking down the Barriers.</w:t>
      </w:r>
      <w:r>
        <w:rPr>
          <w:sz w:val="19"/>
        </w:rPr>
        <w:t xml:space="preserve">” Risk, </w:t>
      </w:r>
      <w:r>
        <w:rPr>
          <w:rFonts w:ascii="Times New Roman" w:eastAsia="Times New Roman" w:hAnsi="Times New Roman" w:cs="Times New Roman"/>
          <w:sz w:val="19"/>
        </w:rPr>
        <w:t>4(8): 28</w:t>
      </w:r>
      <w:r>
        <w:rPr>
          <w:sz w:val="19"/>
        </w:rPr>
        <w:t>–</w:t>
      </w:r>
      <w:r>
        <w:rPr>
          <w:rFonts w:ascii="Times New Roman" w:eastAsia="Times New Roman" w:hAnsi="Times New Roman" w:cs="Times New Roman"/>
          <w:sz w:val="19"/>
        </w:rPr>
        <w:t>35.</w:t>
      </w:r>
    </w:p>
    <w:p w:rsidR="00EE13F6" w:rsidRDefault="002E5BC4">
      <w:pPr>
        <w:spacing w:after="4" w:line="267" w:lineRule="auto"/>
        <w:ind w:left="195" w:hanging="209"/>
        <w:jc w:val="both"/>
      </w:pPr>
      <w:r>
        <w:rPr>
          <w:rFonts w:ascii="Times New Roman" w:eastAsia="Times New Roman" w:hAnsi="Times New Roman" w:cs="Times New Roman"/>
          <w:sz w:val="19"/>
        </w:rPr>
        <w:t xml:space="preserve">Saporta, V., and K. Kan. </w:t>
      </w:r>
      <w:r>
        <w:rPr>
          <w:rFonts w:ascii="Times New Roman" w:eastAsia="Times New Roman" w:hAnsi="Times New Roman" w:cs="Times New Roman"/>
          <w:color w:val="00007F"/>
          <w:sz w:val="19"/>
        </w:rPr>
        <w:t>1997</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Stamp Duty on Share Transactions: Is There a Case for Change?.</w:t>
      </w:r>
      <w:r>
        <w:rPr>
          <w:sz w:val="19"/>
        </w:rPr>
        <w:t xml:space="preserve">” </w:t>
      </w:r>
      <w:r>
        <w:rPr>
          <w:rFonts w:ascii="Times New Roman" w:eastAsia="Times New Roman" w:hAnsi="Times New Roman" w:cs="Times New Roman"/>
          <w:sz w:val="19"/>
        </w:rPr>
        <w:t>Bank of England Working Paper, No. 71.</w:t>
      </w:r>
    </w:p>
    <w:p w:rsidR="00EE13F6" w:rsidRDefault="002E5BC4">
      <w:pPr>
        <w:spacing w:after="4" w:line="267" w:lineRule="auto"/>
        <w:ind w:left="195" w:hanging="209"/>
        <w:jc w:val="both"/>
      </w:pPr>
      <w:r>
        <w:rPr>
          <w:rFonts w:ascii="Times New Roman" w:eastAsia="Times New Roman" w:hAnsi="Times New Roman" w:cs="Times New Roman"/>
          <w:sz w:val="19"/>
        </w:rPr>
        <w:t xml:space="preserve">Schwert, G., and S. P. Securities Transaction. 1993. </w:t>
      </w:r>
      <w:r>
        <w:rPr>
          <w:sz w:val="19"/>
        </w:rPr>
        <w:t>“</w:t>
      </w:r>
      <w:r>
        <w:rPr>
          <w:rFonts w:ascii="Times New Roman" w:eastAsia="Times New Roman" w:hAnsi="Times New Roman" w:cs="Times New Roman"/>
          <w:sz w:val="19"/>
        </w:rPr>
        <w:t>Taxes: An Overvi</w:t>
      </w:r>
      <w:r>
        <w:rPr>
          <w:rFonts w:ascii="Times New Roman" w:eastAsia="Times New Roman" w:hAnsi="Times New Roman" w:cs="Times New Roman"/>
          <w:sz w:val="19"/>
        </w:rPr>
        <w:t>ew of Costs, Benefits and Unresolved Questions.</w:t>
      </w:r>
      <w:r>
        <w:rPr>
          <w:sz w:val="19"/>
        </w:rPr>
        <w:t>” Financial Analysts Journal</w:t>
      </w:r>
      <w:r>
        <w:rPr>
          <w:rFonts w:ascii="Times New Roman" w:eastAsia="Times New Roman" w:hAnsi="Times New Roman" w:cs="Times New Roman"/>
          <w:sz w:val="19"/>
        </w:rPr>
        <w:t>. September-October.</w:t>
      </w:r>
    </w:p>
    <w:p w:rsidR="00EE13F6" w:rsidRDefault="002E5BC4">
      <w:pPr>
        <w:spacing w:after="4" w:line="267" w:lineRule="auto"/>
        <w:ind w:left="195" w:hanging="209"/>
        <w:jc w:val="both"/>
      </w:pPr>
      <w:r>
        <w:rPr>
          <w:rFonts w:ascii="Times New Roman" w:eastAsia="Times New Roman" w:hAnsi="Times New Roman" w:cs="Times New Roman"/>
          <w:sz w:val="19"/>
        </w:rPr>
        <w:t>Stamp Duty: Its Impact and the Benefits of Its Abolition. Prepared for ABI, City of London Corporation, IMA and</w:t>
      </w:r>
    </w:p>
    <w:p w:rsidR="00EE13F6" w:rsidRDefault="002E5BC4">
      <w:pPr>
        <w:spacing w:after="4" w:line="267" w:lineRule="auto"/>
        <w:ind w:left="200"/>
        <w:jc w:val="both"/>
      </w:pPr>
      <w:r>
        <w:rPr>
          <w:rFonts w:ascii="Times New Roman" w:eastAsia="Times New Roman" w:hAnsi="Times New Roman" w:cs="Times New Roman"/>
          <w:sz w:val="19"/>
        </w:rPr>
        <w:t xml:space="preserve">London Stock Exchange. Oxera. May </w:t>
      </w:r>
      <w:r>
        <w:rPr>
          <w:rFonts w:ascii="Times New Roman" w:eastAsia="Times New Roman" w:hAnsi="Times New Roman" w:cs="Times New Roman"/>
          <w:color w:val="00007F"/>
          <w:sz w:val="19"/>
        </w:rPr>
        <w:t>2007</w:t>
      </w:r>
    </w:p>
    <w:p w:rsidR="00EE13F6" w:rsidRDefault="002E5BC4">
      <w:pPr>
        <w:spacing w:after="3" w:line="269" w:lineRule="auto"/>
        <w:ind w:left="201" w:hanging="201"/>
      </w:pPr>
      <w:r>
        <w:rPr>
          <w:rFonts w:ascii="Times New Roman" w:eastAsia="Times New Roman" w:hAnsi="Times New Roman" w:cs="Times New Roman"/>
          <w:sz w:val="19"/>
        </w:rPr>
        <w:t xml:space="preserve">Taleb, N. </w:t>
      </w:r>
      <w:r>
        <w:rPr>
          <w:rFonts w:ascii="Times New Roman" w:eastAsia="Times New Roman" w:hAnsi="Times New Roman" w:cs="Times New Roman"/>
          <w:color w:val="00007F"/>
          <w:sz w:val="19"/>
        </w:rPr>
        <w:t>2001</w:t>
      </w:r>
      <w:r>
        <w:rPr>
          <w:rFonts w:ascii="Times New Roman" w:eastAsia="Times New Roman" w:hAnsi="Times New Roman" w:cs="Times New Roman"/>
          <w:sz w:val="19"/>
        </w:rPr>
        <w:t xml:space="preserve">. </w:t>
      </w:r>
      <w:r>
        <w:rPr>
          <w:sz w:val="19"/>
        </w:rPr>
        <w:t xml:space="preserve">Fooled by Randomness: The Hidden Role of Chance in Life and in the Markets, </w:t>
      </w:r>
      <w:r>
        <w:rPr>
          <w:rFonts w:ascii="Times New Roman" w:eastAsia="Times New Roman" w:hAnsi="Times New Roman" w:cs="Times New Roman"/>
          <w:sz w:val="19"/>
        </w:rPr>
        <w:t>Random House.</w:t>
      </w:r>
    </w:p>
    <w:p w:rsidR="00EE13F6" w:rsidRDefault="002E5BC4">
      <w:pPr>
        <w:spacing w:after="4" w:line="267" w:lineRule="auto"/>
        <w:ind w:left="195" w:hanging="209"/>
        <w:jc w:val="both"/>
      </w:pPr>
      <w:r>
        <w:rPr>
          <w:rFonts w:ascii="Times New Roman" w:eastAsia="Times New Roman" w:hAnsi="Times New Roman" w:cs="Times New Roman"/>
          <w:sz w:val="19"/>
        </w:rPr>
        <w:t xml:space="preserve">Umlauf, S. </w:t>
      </w:r>
      <w:r>
        <w:rPr>
          <w:rFonts w:ascii="Times New Roman" w:eastAsia="Times New Roman" w:hAnsi="Times New Roman" w:cs="Times New Roman"/>
          <w:color w:val="00007F"/>
          <w:sz w:val="19"/>
        </w:rPr>
        <w:t>1993</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Transaction Taxes and the Behavior of the Swedish Stock Market.</w:t>
      </w:r>
      <w:r>
        <w:rPr>
          <w:sz w:val="19"/>
        </w:rPr>
        <w:t xml:space="preserve">” Journal of Financial Economics </w:t>
      </w:r>
      <w:r>
        <w:rPr>
          <w:rFonts w:ascii="Times New Roman" w:eastAsia="Times New Roman" w:hAnsi="Times New Roman" w:cs="Times New Roman"/>
          <w:sz w:val="19"/>
        </w:rPr>
        <w:t>33 (issue 2): pages 227</w:t>
      </w:r>
      <w:r>
        <w:rPr>
          <w:sz w:val="19"/>
        </w:rPr>
        <w:t>–</w:t>
      </w:r>
      <w:r>
        <w:rPr>
          <w:rFonts w:ascii="Times New Roman" w:eastAsia="Times New Roman" w:hAnsi="Times New Roman" w:cs="Times New Roman"/>
          <w:sz w:val="19"/>
        </w:rPr>
        <w:t>240.</w:t>
      </w:r>
    </w:p>
    <w:p w:rsidR="00EE13F6" w:rsidRDefault="002E5BC4">
      <w:pPr>
        <w:spacing w:after="4" w:line="267" w:lineRule="auto"/>
        <w:ind w:left="195" w:hanging="209"/>
        <w:jc w:val="both"/>
      </w:pPr>
      <w:r>
        <w:rPr>
          <w:rFonts w:ascii="Times New Roman" w:eastAsia="Times New Roman" w:hAnsi="Times New Roman" w:cs="Times New Roman"/>
          <w:sz w:val="19"/>
        </w:rPr>
        <w:lastRenderedPageBreak/>
        <w:t xml:space="preserve">Vasicek, O. </w:t>
      </w:r>
      <w:r>
        <w:rPr>
          <w:rFonts w:ascii="Times New Roman" w:eastAsia="Times New Roman" w:hAnsi="Times New Roman" w:cs="Times New Roman"/>
          <w:color w:val="00007F"/>
          <w:sz w:val="19"/>
        </w:rPr>
        <w:t>2012</w:t>
      </w:r>
      <w:r>
        <w:rPr>
          <w:rFonts w:ascii="Times New Roman" w:eastAsia="Times New Roman" w:hAnsi="Times New Roman" w:cs="Times New Roman"/>
          <w:sz w:val="19"/>
        </w:rPr>
        <w:t xml:space="preserve">. </w:t>
      </w:r>
      <w:r>
        <w:rPr>
          <w:sz w:val="19"/>
        </w:rPr>
        <w:t>KMV (Kealhofer, McQuown and Vasicek)</w:t>
      </w:r>
      <w:r>
        <w:rPr>
          <w:rFonts w:ascii="Times New Roman" w:eastAsia="Times New Roman" w:hAnsi="Times New Roman" w:cs="Times New Roman"/>
          <w:sz w:val="19"/>
        </w:rPr>
        <w:t>. Structural Models in Credit Valuation, Presentation, NYU Stern.</w:t>
      </w:r>
    </w:p>
    <w:p w:rsidR="00EE13F6" w:rsidRDefault="002E5BC4">
      <w:pPr>
        <w:spacing w:after="304" w:line="314" w:lineRule="auto"/>
        <w:ind w:left="10" w:right="-12" w:hanging="10"/>
        <w:jc w:val="right"/>
      </w:pPr>
      <w:r>
        <w:rPr>
          <w:sz w:val="15"/>
        </w:rPr>
        <w:t>11</w:t>
      </w:r>
    </w:p>
    <w:p w:rsidR="00EE13F6" w:rsidRDefault="002E5BC4">
      <w:pPr>
        <w:spacing w:after="4" w:line="267" w:lineRule="auto"/>
        <w:ind w:left="195" w:hanging="209"/>
        <w:jc w:val="both"/>
      </w:pPr>
      <w:r>
        <w:rPr>
          <w:rFonts w:ascii="Times New Roman" w:eastAsia="Times New Roman" w:hAnsi="Times New Roman" w:cs="Times New Roman"/>
          <w:sz w:val="19"/>
        </w:rPr>
        <w:t xml:space="preserve">Wang, G., and J. Yau. 2012. </w:t>
      </w:r>
      <w:r>
        <w:rPr>
          <w:sz w:val="19"/>
        </w:rPr>
        <w:t>“</w:t>
      </w:r>
      <w:r>
        <w:rPr>
          <w:rFonts w:ascii="Times New Roman" w:eastAsia="Times New Roman" w:hAnsi="Times New Roman" w:cs="Times New Roman"/>
          <w:sz w:val="19"/>
        </w:rPr>
        <w:t>Would a Financial Transaction Tax Affect Fi</w:t>
      </w:r>
      <w:r>
        <w:rPr>
          <w:rFonts w:ascii="Times New Roman" w:eastAsia="Times New Roman" w:hAnsi="Times New Roman" w:cs="Times New Roman"/>
          <w:sz w:val="19"/>
        </w:rPr>
        <w:t>nancial Market Activity?.</w:t>
      </w:r>
      <w:r>
        <w:rPr>
          <w:sz w:val="19"/>
        </w:rPr>
        <w:t xml:space="preserve">” Insights from Futures Markets Em Policy Analysis </w:t>
      </w:r>
      <w:r>
        <w:rPr>
          <w:rFonts w:ascii="Times New Roman" w:eastAsia="Times New Roman" w:hAnsi="Times New Roman" w:cs="Times New Roman"/>
          <w:sz w:val="19"/>
        </w:rPr>
        <w:t>702.</w:t>
      </w:r>
    </w:p>
    <w:p w:rsidR="00EE13F6" w:rsidRDefault="002E5BC4" w:rsidP="003742A7">
      <w:pPr>
        <w:spacing w:after="4" w:line="267" w:lineRule="auto"/>
        <w:ind w:left="195" w:hanging="209"/>
        <w:jc w:val="both"/>
        <w:sectPr w:rsidR="00EE13F6">
          <w:footnotePr>
            <w:numRestart w:val="eachPage"/>
          </w:footnotePr>
          <w:type w:val="continuous"/>
          <w:pgSz w:w="12189" w:h="15874"/>
          <w:pgMar w:top="553" w:right="1198" w:bottom="1606" w:left="1200" w:header="720" w:footer="720" w:gutter="0"/>
          <w:cols w:num="2" w:space="360"/>
        </w:sectPr>
      </w:pPr>
      <w:r>
        <w:rPr>
          <w:rFonts w:ascii="Times New Roman" w:eastAsia="Times New Roman" w:hAnsi="Times New Roman" w:cs="Times New Roman"/>
          <w:sz w:val="19"/>
        </w:rPr>
        <w:t xml:space="preserve">Westerholm, J. </w:t>
      </w:r>
      <w:r>
        <w:rPr>
          <w:rFonts w:ascii="Times New Roman" w:eastAsia="Times New Roman" w:hAnsi="Times New Roman" w:cs="Times New Roman"/>
          <w:color w:val="00007F"/>
          <w:sz w:val="19"/>
        </w:rPr>
        <w:t>2003</w:t>
      </w:r>
      <w:r>
        <w:rPr>
          <w:rFonts w:ascii="Times New Roman" w:eastAsia="Times New Roman" w:hAnsi="Times New Roman" w:cs="Times New Roman"/>
          <w:sz w:val="19"/>
        </w:rPr>
        <w:t xml:space="preserve">. </w:t>
      </w:r>
      <w:r>
        <w:rPr>
          <w:sz w:val="19"/>
        </w:rPr>
        <w:t>“</w:t>
      </w:r>
      <w:r>
        <w:rPr>
          <w:rFonts w:ascii="Times New Roman" w:eastAsia="Times New Roman" w:hAnsi="Times New Roman" w:cs="Times New Roman"/>
          <w:sz w:val="19"/>
        </w:rPr>
        <w:t>The Impact of Transaction Costs on Turnover, Asset Prices and Volatility: The Cases of Sweden and Finland</w:t>
      </w:r>
      <w:r>
        <w:rPr>
          <w:sz w:val="19"/>
        </w:rPr>
        <w:t>’</w:t>
      </w:r>
      <w:r>
        <w:rPr>
          <w:rFonts w:ascii="Times New Roman" w:eastAsia="Times New Roman" w:hAnsi="Times New Roman" w:cs="Times New Roman"/>
          <w:sz w:val="19"/>
        </w:rPr>
        <w:t>s Security Transaction Tax Reductions.</w:t>
      </w:r>
      <w:r>
        <w:rPr>
          <w:sz w:val="19"/>
        </w:rPr>
        <w:t xml:space="preserve">” Lta </w:t>
      </w:r>
      <w:r>
        <w:rPr>
          <w:rFonts w:ascii="Times New Roman" w:eastAsia="Times New Roman" w:hAnsi="Times New Roman" w:cs="Times New Roman"/>
          <w:sz w:val="19"/>
        </w:rPr>
        <w:t>2 /</w:t>
      </w:r>
      <w:r>
        <w:rPr>
          <w:rFonts w:ascii="Times New Roman" w:eastAsia="Times New Roman" w:hAnsi="Times New Roman" w:cs="Times New Roman"/>
          <w:sz w:val="19"/>
        </w:rPr>
        <w:t>03p. 213</w:t>
      </w:r>
      <w:r>
        <w:rPr>
          <w:sz w:val="19"/>
        </w:rPr>
        <w:t>–</w:t>
      </w:r>
      <w:r>
        <w:rPr>
          <w:rFonts w:ascii="Times New Roman" w:eastAsia="Times New Roman" w:hAnsi="Times New Roman" w:cs="Times New Roman"/>
          <w:sz w:val="19"/>
        </w:rPr>
        <w:t>241.</w:t>
      </w:r>
    </w:p>
    <w:p w:rsidR="00EE13F6" w:rsidRDefault="00EE13F6" w:rsidP="003742A7">
      <w:pPr>
        <w:spacing w:after="0"/>
        <w:ind w:right="10459"/>
      </w:pPr>
    </w:p>
    <w:sectPr w:rsidR="00EE13F6">
      <w:headerReference w:type="even" r:id="rId305"/>
      <w:headerReference w:type="default" r:id="rId306"/>
      <w:footerReference w:type="even" r:id="rId307"/>
      <w:footerReference w:type="default" r:id="rId308"/>
      <w:headerReference w:type="first" r:id="rId309"/>
      <w:footerReference w:type="first" r:id="rId310"/>
      <w:footnotePr>
        <w:numRestart w:val="eachPage"/>
      </w:footnotePr>
      <w:pgSz w:w="11899" w:h="16841"/>
      <w:pgMar w:top="1440" w:right="1440" w:bottom="1440" w:left="1440" w:header="720" w:footer="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BC4" w:rsidRDefault="002E5BC4">
      <w:pPr>
        <w:spacing w:after="0" w:line="240" w:lineRule="auto"/>
      </w:pPr>
      <w:r>
        <w:separator/>
      </w:r>
    </w:p>
  </w:endnote>
  <w:endnote w:type="continuationSeparator" w:id="0">
    <w:p w:rsidR="002E5BC4" w:rsidRDefault="002E5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2E5BC4">
    <w:pPr>
      <w:spacing w:after="0"/>
      <w:ind w:left="238"/>
      <w:jc w:val="center"/>
    </w:pPr>
    <w:r>
      <w:fldChar w:fldCharType="begin"/>
    </w:r>
    <w:r>
      <w:instrText xml:space="preserve"> PAGE   \* MERGEFORMAT </w:instrText>
    </w:r>
    <w:r>
      <w:fldChar w:fldCharType="separate"/>
    </w:r>
    <w:r w:rsidR="003742A7" w:rsidRPr="003742A7">
      <w:rPr>
        <w:rFonts w:ascii="Arial" w:eastAsia="Arial" w:hAnsi="Arial" w:cs="Arial"/>
        <w:noProof/>
        <w:sz w:val="24"/>
      </w:rPr>
      <w:t>166</w:t>
    </w:r>
    <w:r>
      <w:rPr>
        <w:rFonts w:ascii="Arial" w:eastAsia="Arial" w:hAnsi="Arial" w:cs="Arial"/>
        <w:sz w:val="2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2E5BC4">
    <w:pPr>
      <w:spacing w:after="0"/>
      <w:ind w:left="238"/>
      <w:jc w:val="center"/>
    </w:pPr>
    <w:r>
      <w:fldChar w:fldCharType="begin"/>
    </w:r>
    <w:r>
      <w:instrText xml:space="preserve"> PAGE   \* MERGEFORMAT </w:instrText>
    </w:r>
    <w:r>
      <w:fldChar w:fldCharType="separate"/>
    </w:r>
    <w:r w:rsidR="003742A7" w:rsidRPr="003742A7">
      <w:rPr>
        <w:rFonts w:ascii="Arial" w:eastAsia="Arial" w:hAnsi="Arial" w:cs="Arial"/>
        <w:noProof/>
        <w:sz w:val="24"/>
      </w:rPr>
      <w:t>167</w:t>
    </w:r>
    <w:r>
      <w:rPr>
        <w:rFonts w:ascii="Arial" w:eastAsia="Arial" w:hAnsi="Arial" w:cs="Arial"/>
        <w:sz w:val="2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2E5BC4">
    <w:pPr>
      <w:spacing w:after="0"/>
      <w:ind w:left="238"/>
      <w:jc w:val="center"/>
    </w:pPr>
    <w:r>
      <w:fldChar w:fldCharType="begin"/>
    </w:r>
    <w:r>
      <w:instrText xml:space="preserve"> PAGE   \* MERGEFORMAT </w:instrText>
    </w:r>
    <w:r>
      <w:fldChar w:fldCharType="separate"/>
    </w:r>
    <w:r w:rsidR="003742A7" w:rsidRPr="003742A7">
      <w:rPr>
        <w:rFonts w:ascii="Arial" w:eastAsia="Arial" w:hAnsi="Arial" w:cs="Arial"/>
        <w:noProof/>
        <w:sz w:val="24"/>
      </w:rPr>
      <w:t>156</w:t>
    </w:r>
    <w:r>
      <w:rPr>
        <w:rFonts w:ascii="Arial" w:eastAsia="Arial" w:hAnsi="Arial" w:cs="Arial"/>
        <w:sz w:val="24"/>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2E5BC4">
    <w:pPr>
      <w:spacing w:after="0"/>
      <w:ind w:right="-1"/>
      <w:jc w:val="right"/>
    </w:pPr>
    <w:r>
      <w:fldChar w:fldCharType="begin"/>
    </w:r>
    <w:r>
      <w:instrText xml:space="preserve"> PAGE   \* MERGEFORMAT </w:instrText>
    </w:r>
    <w:r>
      <w:fldChar w:fldCharType="separate"/>
    </w:r>
    <w:r w:rsidR="003742A7" w:rsidRPr="003742A7">
      <w:rPr>
        <w:noProof/>
        <w:sz w:val="24"/>
      </w:rPr>
      <w:t>2</w:t>
    </w:r>
    <w:r>
      <w:rPr>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2E5BC4">
    <w:pPr>
      <w:tabs>
        <w:tab w:val="right" w:pos="9361"/>
      </w:tabs>
      <w:spacing w:after="0"/>
      <w:ind w:right="-1"/>
    </w:pPr>
    <w:r>
      <w:rPr>
        <w:sz w:val="24"/>
      </w:rPr>
      <w:tab/>
    </w:r>
    <w:r>
      <w:fldChar w:fldCharType="begin"/>
    </w:r>
    <w:r>
      <w:instrText xml:space="preserve"> PAGE   \* MERGEFORMAT </w:instrText>
    </w:r>
    <w:r>
      <w:fldChar w:fldCharType="separate"/>
    </w:r>
    <w:r w:rsidR="003742A7" w:rsidRPr="003742A7">
      <w:rPr>
        <w:noProof/>
        <w:sz w:val="24"/>
      </w:rPr>
      <w:t>3</w:t>
    </w:r>
    <w:r>
      <w:rPr>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2E5BC4">
    <w:pPr>
      <w:spacing w:after="0"/>
      <w:ind w:right="-1"/>
      <w:jc w:val="right"/>
    </w:pPr>
    <w:r>
      <w:fldChar w:fldCharType="begin"/>
    </w:r>
    <w:r>
      <w:instrText xml:space="preserve"> PAGE   \* MERGEFORMAT </w:instrText>
    </w:r>
    <w:r>
      <w:fldChar w:fldCharType="separate"/>
    </w:r>
    <w:r w:rsidR="003742A7" w:rsidRPr="003742A7">
      <w:rPr>
        <w:noProof/>
        <w:sz w:val="24"/>
      </w:rPr>
      <w:t>1</w:t>
    </w:r>
    <w:r>
      <w:rPr>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2E5BC4">
    <w:pPr>
      <w:spacing w:after="0"/>
      <w:ind w:right="483"/>
      <w:jc w:val="center"/>
    </w:pPr>
    <w:r>
      <w:fldChar w:fldCharType="begin"/>
    </w:r>
    <w:r>
      <w:instrText xml:space="preserve"> PAGE   \* MERGEFORMAT </w:instrText>
    </w:r>
    <w:r>
      <w:fldChar w:fldCharType="separate"/>
    </w:r>
    <w:r w:rsidR="003742A7" w:rsidRPr="003742A7">
      <w:rPr>
        <w:rFonts w:ascii="Cambria" w:eastAsia="Cambria" w:hAnsi="Cambria" w:cs="Cambria"/>
        <w:noProof/>
      </w:rPr>
      <w:t>152</w:t>
    </w:r>
    <w:r>
      <w:rPr>
        <w:rFonts w:ascii="Cambria" w:eastAsia="Cambria" w:hAnsi="Cambria" w:cs="Cambri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2E5BC4">
    <w:pPr>
      <w:spacing w:after="0"/>
      <w:ind w:right="483"/>
      <w:jc w:val="center"/>
    </w:pPr>
    <w:r>
      <w:fldChar w:fldCharType="begin"/>
    </w:r>
    <w:r>
      <w:instrText xml:space="preserve"> PAGE   \* MERGEFORMAT </w:instrText>
    </w:r>
    <w:r>
      <w:fldChar w:fldCharType="separate"/>
    </w:r>
    <w:r w:rsidR="003742A7" w:rsidRPr="003742A7">
      <w:rPr>
        <w:rFonts w:ascii="Cambria" w:eastAsia="Cambria" w:hAnsi="Cambria" w:cs="Cambria"/>
        <w:noProof/>
      </w:rPr>
      <w:t>153</w:t>
    </w:r>
    <w:r>
      <w:rPr>
        <w:rFonts w:ascii="Cambria" w:eastAsia="Cambria" w:hAnsi="Cambria" w:cs="Cambria"/>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2E5BC4">
    <w:pPr>
      <w:spacing w:after="0"/>
      <w:ind w:right="483"/>
      <w:jc w:val="center"/>
    </w:pPr>
    <w:r>
      <w:fldChar w:fldCharType="begin"/>
    </w:r>
    <w:r>
      <w:instrText xml:space="preserve"> PAGE   \* MERGEFORMAT </w:instrText>
    </w:r>
    <w:r>
      <w:fldChar w:fldCharType="separate"/>
    </w:r>
    <w:r>
      <w:rPr>
        <w:rFonts w:ascii="Cambria" w:eastAsia="Cambria" w:hAnsi="Cambria" w:cs="Cambria"/>
      </w:rPr>
      <w:t>25</w:t>
    </w:r>
    <w:r>
      <w:rPr>
        <w:rFonts w:ascii="Cambria" w:eastAsia="Cambria" w:hAnsi="Cambria" w:cs="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BC4" w:rsidRDefault="002E5BC4">
      <w:pPr>
        <w:spacing w:after="0" w:line="277" w:lineRule="auto"/>
      </w:pPr>
      <w:r>
        <w:separator/>
      </w:r>
    </w:p>
  </w:footnote>
  <w:footnote w:type="continuationSeparator" w:id="0">
    <w:p w:rsidR="002E5BC4" w:rsidRDefault="002E5BC4">
      <w:pPr>
        <w:spacing w:after="0" w:line="277" w:lineRule="auto"/>
      </w:pPr>
      <w:r>
        <w:continuationSeparator/>
      </w:r>
    </w:p>
  </w:footnote>
  <w:footnote w:id="1">
    <w:p w:rsidR="00EE13F6" w:rsidRDefault="002E5BC4">
      <w:pPr>
        <w:pStyle w:val="footnotedescription"/>
        <w:spacing w:line="277" w:lineRule="auto"/>
      </w:pPr>
      <w:r>
        <w:rPr>
          <w:rStyle w:val="footnotemark"/>
        </w:rPr>
        <w:footnoteRef/>
      </w:r>
      <w:r>
        <w:t xml:space="preserve"> </w:t>
      </w:r>
      <w:r>
        <w:rPr>
          <w:rFonts w:ascii="Times New Roman" w:eastAsia="Times New Roman" w:hAnsi="Times New Roman" w:cs="Times New Roman"/>
          <w:sz w:val="20"/>
        </w:rPr>
        <w:t>One must also pay attention to the long term increase in the stock volumes (</w:t>
      </w:r>
      <w:r>
        <w:rPr>
          <w:rFonts w:ascii="Times New Roman" w:eastAsia="Times New Roman" w:hAnsi="Times New Roman" w:cs="Times New Roman"/>
          <w:i/>
          <w:sz w:val="20"/>
        </w:rPr>
        <w:t>see</w:t>
      </w: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Chapter III) linked to the influence of the FTT on the optimal capital structure of the business, which will further increase liquidity.  </w:t>
      </w:r>
      <w:r>
        <w:rPr>
          <w:rFonts w:ascii="Calibri" w:eastAsia="Calibri" w:hAnsi="Calibri" w:cs="Calibri"/>
          <w:sz w:val="20"/>
        </w:rPr>
        <w:tab/>
      </w:r>
    </w:p>
  </w:footnote>
  <w:footnote w:id="2">
    <w:p w:rsidR="00EE13F6" w:rsidRDefault="002E5BC4">
      <w:pPr>
        <w:pStyle w:val="footnotedescription"/>
        <w:ind w:right="483"/>
        <w:jc w:val="right"/>
      </w:pPr>
      <w:r>
        <w:rPr>
          <w:rStyle w:val="footnotemark"/>
        </w:rPr>
        <w:footnoteRef/>
      </w:r>
      <w:r>
        <w:t xml:space="preserve"> </w:t>
      </w:r>
      <w:r>
        <w:t>This hypothesis can be justified by the general practice and the competitive pressure observed in capital markets</w:t>
      </w:r>
    </w:p>
  </w:footnote>
  <w:footnote w:id="3">
    <w:p w:rsidR="00EE13F6" w:rsidRDefault="002E5BC4">
      <w:pPr>
        <w:pStyle w:val="footnotedescription"/>
        <w:ind w:left="249"/>
      </w:pPr>
      <w:r>
        <w:rPr>
          <w:rStyle w:val="footnotemark"/>
        </w:rPr>
        <w:footnoteRef/>
      </w:r>
      <w:r>
        <w:t xml:space="preserve"> See Finkelstein et al. (2002).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2E5BC4">
    <w:pPr>
      <w:spacing w:after="0"/>
      <w:ind w:right="373"/>
      <w:jc w:val="right"/>
    </w:pPr>
    <w:r>
      <w:rPr>
        <w:noProof/>
      </w:rPr>
      <mc:AlternateContent>
        <mc:Choice Requires="wpg">
          <w:drawing>
            <wp:anchor distT="0" distB="0" distL="114300" distR="114300" simplePos="0" relativeHeight="251658240" behindDoc="0" locked="0" layoutInCell="1" allowOverlap="1">
              <wp:simplePos x="0" y="0"/>
              <wp:positionH relativeFrom="page">
                <wp:posOffset>6690234</wp:posOffset>
              </wp:positionH>
              <wp:positionV relativeFrom="page">
                <wp:posOffset>317526</wp:posOffset>
              </wp:positionV>
              <wp:extent cx="139700" cy="139700"/>
              <wp:effectExtent l="0" t="0" r="0" b="0"/>
              <wp:wrapSquare wrapText="bothSides"/>
              <wp:docPr id="222166" name="Group 222166"/>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222167" name="Shape 222167"/>
                      <wps:cNvSpPr/>
                      <wps:spPr>
                        <a:xfrm>
                          <a:off x="49847" y="67462"/>
                          <a:ext cx="41719" cy="3251"/>
                        </a:xfrm>
                        <a:custGeom>
                          <a:avLst/>
                          <a:gdLst/>
                          <a:ahLst/>
                          <a:cxnLst/>
                          <a:rect l="0" t="0" r="0" b="0"/>
                          <a:pathLst>
                            <a:path w="41719" h="3251">
                              <a:moveTo>
                                <a:pt x="0" y="0"/>
                              </a:moveTo>
                              <a:lnTo>
                                <a:pt x="41719" y="0"/>
                              </a:lnTo>
                              <a:lnTo>
                                <a:pt x="40360" y="3251"/>
                              </a:lnTo>
                              <a:lnTo>
                                <a:pt x="1371" y="3251"/>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68" name="Shape 222168"/>
                      <wps:cNvSpPr/>
                      <wps:spPr>
                        <a:xfrm>
                          <a:off x="47727" y="62445"/>
                          <a:ext cx="45986" cy="3251"/>
                        </a:xfrm>
                        <a:custGeom>
                          <a:avLst/>
                          <a:gdLst/>
                          <a:ahLst/>
                          <a:cxnLst/>
                          <a:rect l="0" t="0" r="0" b="0"/>
                          <a:pathLst>
                            <a:path w="45986" h="3251">
                              <a:moveTo>
                                <a:pt x="0" y="0"/>
                              </a:moveTo>
                              <a:lnTo>
                                <a:pt x="45986" y="0"/>
                              </a:lnTo>
                              <a:lnTo>
                                <a:pt x="44615" y="3251"/>
                              </a:lnTo>
                              <a:lnTo>
                                <a:pt x="1371" y="3251"/>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69" name="Shape 222169"/>
                      <wps:cNvSpPr/>
                      <wps:spPr>
                        <a:xfrm>
                          <a:off x="18846"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70" name="Shape 222170"/>
                      <wps:cNvSpPr/>
                      <wps:spPr>
                        <a:xfrm>
                          <a:off x="57531"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71" name="Shape 222171"/>
                      <wps:cNvSpPr/>
                      <wps:spPr>
                        <a:xfrm>
                          <a:off x="20333" y="70510"/>
                          <a:ext cx="88589" cy="29058"/>
                        </a:xfrm>
                        <a:custGeom>
                          <a:avLst/>
                          <a:gdLst/>
                          <a:ahLst/>
                          <a:cxnLst/>
                          <a:rect l="0" t="0" r="0" b="0"/>
                          <a:pathLst>
                            <a:path w="88589" h="29058">
                              <a:moveTo>
                                <a:pt x="2260" y="0"/>
                              </a:moveTo>
                              <a:lnTo>
                                <a:pt x="12014" y="0"/>
                              </a:lnTo>
                              <a:lnTo>
                                <a:pt x="12014" y="1816"/>
                              </a:lnTo>
                              <a:lnTo>
                                <a:pt x="85306" y="1816"/>
                              </a:lnTo>
                              <a:lnTo>
                                <a:pt x="88589" y="919"/>
                              </a:lnTo>
                              <a:lnTo>
                                <a:pt x="88589" y="3871"/>
                              </a:lnTo>
                              <a:lnTo>
                                <a:pt x="87426" y="4178"/>
                              </a:lnTo>
                              <a:cubicBezTo>
                                <a:pt x="86385" y="7023"/>
                                <a:pt x="84442" y="10008"/>
                                <a:pt x="84442" y="10008"/>
                              </a:cubicBezTo>
                              <a:cubicBezTo>
                                <a:pt x="83338" y="11786"/>
                                <a:pt x="82105" y="13475"/>
                                <a:pt x="80772" y="15062"/>
                              </a:cubicBezTo>
                              <a:cubicBezTo>
                                <a:pt x="81940" y="15037"/>
                                <a:pt x="84537" y="14761"/>
                                <a:pt x="87498" y="12971"/>
                              </a:cubicBezTo>
                              <a:lnTo>
                                <a:pt x="88589" y="11604"/>
                              </a:lnTo>
                              <a:lnTo>
                                <a:pt x="88589" y="15495"/>
                              </a:lnTo>
                              <a:lnTo>
                                <a:pt x="78067" y="17907"/>
                              </a:lnTo>
                              <a:cubicBezTo>
                                <a:pt x="70853" y="24829"/>
                                <a:pt x="61061" y="29058"/>
                                <a:pt x="50279" y="29058"/>
                              </a:cubicBezTo>
                              <a:cubicBezTo>
                                <a:pt x="34798" y="29058"/>
                                <a:pt x="21399" y="20333"/>
                                <a:pt x="14681" y="7518"/>
                              </a:cubicBezTo>
                              <a:lnTo>
                                <a:pt x="2451" y="7518"/>
                              </a:lnTo>
                              <a:lnTo>
                                <a:pt x="0" y="1816"/>
                              </a:lnTo>
                              <a:lnTo>
                                <a:pt x="2260" y="1816"/>
                              </a:lnTo>
                              <a:lnTo>
                                <a:pt x="226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72" name="Shape 222172"/>
                      <wps:cNvSpPr/>
                      <wps:spPr>
                        <a:xfrm>
                          <a:off x="108922" y="68135"/>
                          <a:ext cx="12058" cy="17870"/>
                        </a:xfrm>
                        <a:custGeom>
                          <a:avLst/>
                          <a:gdLst/>
                          <a:ahLst/>
                          <a:cxnLst/>
                          <a:rect l="0" t="0" r="0" b="0"/>
                          <a:pathLst>
                            <a:path w="12058" h="17870">
                              <a:moveTo>
                                <a:pt x="12058" y="0"/>
                              </a:moveTo>
                              <a:cubicBezTo>
                                <a:pt x="12058" y="0"/>
                                <a:pt x="9565" y="12216"/>
                                <a:pt x="662" y="17718"/>
                              </a:cubicBezTo>
                              <a:lnTo>
                                <a:pt x="0" y="17870"/>
                              </a:lnTo>
                              <a:lnTo>
                                <a:pt x="0" y="13978"/>
                              </a:lnTo>
                              <a:lnTo>
                                <a:pt x="7817" y="4178"/>
                              </a:lnTo>
                              <a:lnTo>
                                <a:pt x="0" y="6246"/>
                              </a:lnTo>
                              <a:lnTo>
                                <a:pt x="0" y="3294"/>
                              </a:lnTo>
                              <a:lnTo>
                                <a:pt x="12058"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73" name="Shape 222173"/>
                      <wps:cNvSpPr/>
                      <wps:spPr>
                        <a:xfrm>
                          <a:off x="0" y="2"/>
                          <a:ext cx="69850" cy="139695"/>
                        </a:xfrm>
                        <a:custGeom>
                          <a:avLst/>
                          <a:gdLst/>
                          <a:ahLst/>
                          <a:cxnLst/>
                          <a:rect l="0" t="0" r="0" b="0"/>
                          <a:pathLst>
                            <a:path w="69850" h="139695">
                              <a:moveTo>
                                <a:pt x="69850" y="0"/>
                              </a:moveTo>
                              <a:lnTo>
                                <a:pt x="69850" y="6121"/>
                              </a:lnTo>
                              <a:lnTo>
                                <a:pt x="45049" y="11126"/>
                              </a:lnTo>
                              <a:cubicBezTo>
                                <a:pt x="22168" y="20799"/>
                                <a:pt x="6108" y="43444"/>
                                <a:pt x="6108" y="69848"/>
                              </a:cubicBezTo>
                              <a:cubicBezTo>
                                <a:pt x="6108" y="96260"/>
                                <a:pt x="22168" y="118901"/>
                                <a:pt x="45049" y="128571"/>
                              </a:cubicBezTo>
                              <a:lnTo>
                                <a:pt x="69850" y="133574"/>
                              </a:lnTo>
                              <a:lnTo>
                                <a:pt x="69850" y="139695"/>
                              </a:lnTo>
                              <a:lnTo>
                                <a:pt x="42669" y="134211"/>
                              </a:lnTo>
                              <a:cubicBezTo>
                                <a:pt x="17595" y="123611"/>
                                <a:pt x="0" y="98794"/>
                                <a:pt x="0" y="69848"/>
                              </a:cubicBezTo>
                              <a:cubicBezTo>
                                <a:pt x="0" y="40920"/>
                                <a:pt x="17595" y="16093"/>
                                <a:pt x="42669" y="5488"/>
                              </a:cubicBezTo>
                              <a:lnTo>
                                <a:pt x="6985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74" name="Shape 222174"/>
                      <wps:cNvSpPr/>
                      <wps:spPr>
                        <a:xfrm>
                          <a:off x="69850" y="0"/>
                          <a:ext cx="69850" cy="139700"/>
                        </a:xfrm>
                        <a:custGeom>
                          <a:avLst/>
                          <a:gdLst/>
                          <a:ahLst/>
                          <a:cxnLst/>
                          <a:rect l="0" t="0" r="0" b="0"/>
                          <a:pathLst>
                            <a:path w="69850" h="139700">
                              <a:moveTo>
                                <a:pt x="12" y="0"/>
                              </a:moveTo>
                              <a:cubicBezTo>
                                <a:pt x="38595" y="0"/>
                                <a:pt x="69850" y="31280"/>
                                <a:pt x="69850" y="69850"/>
                              </a:cubicBezTo>
                              <a:cubicBezTo>
                                <a:pt x="69850" y="108445"/>
                                <a:pt x="38595" y="139700"/>
                                <a:pt x="12" y="139700"/>
                              </a:cubicBezTo>
                              <a:lnTo>
                                <a:pt x="0" y="139697"/>
                              </a:lnTo>
                              <a:lnTo>
                                <a:pt x="0" y="133576"/>
                              </a:lnTo>
                              <a:lnTo>
                                <a:pt x="12" y="133579"/>
                              </a:lnTo>
                              <a:cubicBezTo>
                                <a:pt x="35204" y="133579"/>
                                <a:pt x="63741" y="105067"/>
                                <a:pt x="63741" y="69850"/>
                              </a:cubicBezTo>
                              <a:cubicBezTo>
                                <a:pt x="63741" y="34646"/>
                                <a:pt x="35204" y="6121"/>
                                <a:pt x="12" y="6121"/>
                              </a:cubicBezTo>
                              <a:lnTo>
                                <a:pt x="0" y="6124"/>
                              </a:lnTo>
                              <a:lnTo>
                                <a:pt x="0" y="2"/>
                              </a:lnTo>
                              <a:lnTo>
                                <a:pt x="12"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g:wgp>
                </a:graphicData>
              </a:graphic>
            </wp:anchor>
          </w:drawing>
        </mc:Choice>
        <mc:Fallback>
          <w:pict>
            <v:group w14:anchorId="034CA1D0" id="Group 222166" o:spid="_x0000_s1026" style="position:absolute;margin-left:526.8pt;margin-top:25pt;width:11pt;height:11pt;z-index:251658240;mso-position-horizontal-relative:page;mso-position-vertical-relative:page" coordsize="13970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">
              <v:shape id="Shape 222167" o:spid="_x0000_s1027" style="position:absolute;left:49847;top:67462;width:41719;height:3251;visibility:visible;mso-wrap-style:square;v-text-anchor:top" coordsize="41719,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MS8YA&#10;AADfAAAADwAAAGRycy9kb3ducmV2LnhtbESPQWvCQBSE7wX/w/KE3uome4gSXUVFQbAI2ur5kX0m&#10;wezbkN1q/PddodDjMDPfMLNFbxtxp87XjjWkowQEceFMzaWG76/txwSED8gGG8ek4UkeFvPB2wxz&#10;4x58pPsplCJC2OeooQqhzaX0RUUW/ci1xNG7us5iiLIrpenwEeG2kSpJMmmx5rhQYUvriorb6cdq&#10;2O/OE3+oN358/MzSdHVpypXaav0+7JdTEIH68B/+a++MBqVUmo3h9S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rMS8YAAADfAAAADwAAAAAAAAAAAAAAAACYAgAAZHJz&#10;L2Rvd25yZXYueG1sUEsFBgAAAAAEAAQA9QAAAIsDAAAAAA==&#10;" path="m,l41719,,40360,3251r-38989,l,xe" fillcolor="#221d1d" stroked="f" strokeweight="0">
                <v:stroke miterlimit="83231f" joinstyle="miter"/>
                <v:path arrowok="t" textboxrect="0,0,41719,3251"/>
              </v:shape>
              <v:shape id="Shape 222168" o:spid="_x0000_s1028" style="position:absolute;left:47727;top:62445;width:45986;height:3251;visibility:visible;mso-wrap-style:square;v-text-anchor:top" coordsize="4598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mzsUA&#10;AADfAAAADwAAAGRycy9kb3ducmV2LnhtbERP3WrCMBS+H+wdwhnsTlM70FEbxQ0Gjomsbg9wbE5/&#10;sDkpSVarT28uhF1+fP/5ejSdGMj51rKC2TQBQVxa3XKt4PfnY/IKwgdkjZ1lUnAhD+vV40OOmbZn&#10;Lmg4hFrEEPYZKmhC6DMpfdmQQT+1PXHkKusMhghdLbXDcww3nUyTZC4NthwbGuzpvaHydPgzCvaX&#10;7eKtq76GfeFKf/1OPl92x16p56dxswQRaAz/4rt7qxWkaTqbx8HxT/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GbOxQAAAN8AAAAPAAAAAAAAAAAAAAAAAJgCAABkcnMv&#10;ZG93bnJldi54bWxQSwUGAAAAAAQABAD1AAAAigMAAAAA&#10;" path="m,l45986,,44615,3251r-43244,l,xe" fillcolor="#221d1d" stroked="f" strokeweight="0">
                <v:stroke miterlimit="83231f" joinstyle="miter"/>
                <v:path arrowok="t" textboxrect="0,0,45986,3251"/>
              </v:shape>
              <v:shape id="Shape 222169" o:spid="_x0000_s1029" style="position:absolute;left:18846;top:47790;width:16307;height:18961;visibility:visible;mso-wrap-style:square;v-text-anchor:top" coordsize="16307,1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FtccA&#10;AADfAAAADwAAAGRycy9kb3ducmV2LnhtbESPQWuDQBSE74X8h+UFcmvWeJBqswklIRBCS6na+8N9&#10;Uan7VtyNmv76bqHQ4zAz3zDb/Ww6MdLgWssKNusIBHFldcu1grI4PT6BcB5ZY2eZFNzJwX63eNhi&#10;pu3EHzTmvhYBwi5DBY33fSalqxoy6Na2Jw7e1Q4GfZBDLfWAU4CbTsZRlEiDLYeFBns6NFR95Tej&#10;YLy95e3re42HSzFd+TP6Lrv0qNRqOb88g/A0+//wX/usFcRxvElS+P0Tv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uRbXHAAAA3wAAAA8AAAAAAAAAAAAAAAAAmAIAAGRy&#10;cy9kb3ducmV2LnhtbFBLBQYAAAAABAAEAPUAAACMAwAAAAA=&#10;" path="m8357,v7950,18961,114,18707,114,18707c,18491,8357,,8357,xe" fillcolor="#221d1d" stroked="f" strokeweight="0">
                <v:stroke miterlimit="83231f" joinstyle="miter"/>
                <v:path arrowok="t" textboxrect="0,0,16307,18961"/>
              </v:shape>
              <v:shape id="Shape 222170" o:spid="_x0000_s1030" style="position:absolute;left:57531;top:42545;width:20104;height:16904;visibility:visible;mso-wrap-style:square;v-text-anchor:top" coordsize="20104,1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A8sQA&#10;AADfAAAADwAAAGRycy9kb3ducmV2LnhtbESPzYrCMBSF94LvEK4wO03bAR2qUaSiDCiIju6vzZ22&#10;THNTm4zWtzcLweXh/PHNFp2pxY1aV1lWEI8iEMS51RUXCk4/6+EXCOeRNdaWScGDHCzm/d4MU23v&#10;fKDb0RcijLBLUUHpfZNK6fKSDLqRbYiD92tbgz7ItpC6xXsYN7VMomgsDVYcHkpsKCsp/zv+GwWr&#10;s4+u28+9KbKxjS+7TcZrmSn1MeiWUxCeOv8Ov9rfWkGSJPEkEASew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QPLEAAAA3wAAAA8AAAAAAAAAAAAAAAAAmAIAAGRycy9k&#10;b3ducmV2LnhtbFBLBQYAAAAABAAEAPUAAACJAwAAAAA=&#10;" path="m20104,c12040,10376,12624,16904,12624,16904,,8814,20104,,20104,xe" fillcolor="#221d1d" stroked="f" strokeweight="0">
                <v:stroke miterlimit="83231f" joinstyle="miter"/>
                <v:path arrowok="t" textboxrect="0,0,20104,16904"/>
              </v:shape>
              <v:shape id="Shape 222171" o:spid="_x0000_s1031" style="position:absolute;left:20333;top:70510;width:88589;height:29058;visibility:visible;mso-wrap-style:square;v-text-anchor:top" coordsize="88589,29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3Z8oA&#10;AADfAAAADwAAAGRycy9kb3ducmV2LnhtbESPQWvCQBSE7wX/w/KE3nSTYLWkrlKUliJYrS30+pp9&#10;zaZm38bsqvHfdwtCj8PMfMNM552txYlaXzlWkA4TEMSF0xWXCj7enwb3IHxA1lg7JgUX8jCf9W6m&#10;mGt35jc67UIpIoR9jgpMCE0upS8MWfRD1xBH79u1FkOUbSl1i+cIt7XMkmQsLVYcFww2tDBU7HdH&#10;q0BO7laj5c/xdbRdfy2eG3MoPjdjpW773eMDiEBd+A9f2y9aQZZl6SSFvz/xC8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6lN2fKAAAA3wAAAA8AAAAAAAAAAAAAAAAAmAIA&#10;AGRycy9kb3ducmV2LnhtbFBLBQYAAAAABAAEAPUAAACPAwAAAAA=&#10;" path="m2260,r9754,l12014,1816r73292,l88589,919r,2952l87426,4178v-1041,2845,-2984,5830,-2984,5830c83338,11786,82105,13475,80772,15062v1168,-25,3765,-301,6726,-2091l88589,11604r,3891l78067,17907c70853,24829,61061,29058,50279,29058,34798,29058,21399,20333,14681,7518r-12230,l,1816r2260,l2260,xe" fillcolor="#221d1d" stroked="f" strokeweight="0">
                <v:stroke miterlimit="83231f" joinstyle="miter"/>
                <v:path arrowok="t" textboxrect="0,0,88589,29058"/>
              </v:shape>
              <v:shape id="Shape 222172" o:spid="_x0000_s1032" style="position:absolute;left:108922;top:68135;width:12058;height:17870;visibility:visible;mso-wrap-style:square;v-text-anchor:top" coordsize="12058,1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NeMgA&#10;AADfAAAADwAAAGRycy9kb3ducmV2LnhtbESPQWsCMRSE7wX/Q3hCbzVrClpWoyxCoWClaHvp7bF5&#10;bhY3L9tNum799Y0geBxm5htmuR5cI3rqQu1Zw3SSgSAuvam50vD1+fr0AiJEZIONZ9LwRwHWq9HD&#10;EnPjz7yn/hArkSAcctRgY2xzKUNpyWGY+JY4eUffOYxJdpU0HZ4T3DVSZdlMOqw5LVhsaWOpPB1+&#10;nYYNbZ/lLP7Ywn+/f2z3xXF+2fVaP46HYgEi0hDv4Vv7zWhQSk3nCq5/0he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kg14yAAAAN8AAAAPAAAAAAAAAAAAAAAAAJgCAABk&#10;cnMvZG93bnJldi54bWxQSwUGAAAAAAQABAD1AAAAjQMAAAAA&#10;" path="m12058,v,,-2493,12216,-11396,17718l,17870,,13978,7817,4178,,6246,,3294,12058,xe" fillcolor="#221d1d" stroked="f" strokeweight="0">
                <v:stroke miterlimit="83231f" joinstyle="miter"/>
                <v:path arrowok="t" textboxrect="0,0,12058,17870"/>
              </v:shape>
              <v:shape id="Shape 222173" o:spid="_x0000_s1033" style="position:absolute;top:2;width:69850;height:139695;visibility:visible;mso-wrap-style:square;v-text-anchor:top" coordsize="69850,13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QO8cA&#10;AADfAAAADwAAAGRycy9kb3ducmV2LnhtbESP0WrCQBRE3wv9h+UKfaubRIiSuoottRSRgrYfcMle&#10;s8Hs3ZBdTdKvdwsFH4eZOcMs14NtxJU6XztWkE4TEMSl0zVXCn6+t88LED4ga2wck4KRPKxXjw9L&#10;LLTr+UDXY6hEhLAvUIEJoS2k9KUhi37qWuLonVxnMUTZVVJ32Ee4bWSWJLm0WHNcMNjSm6HyfLxY&#10;Bbnpxw8k/zqa9Ov3cnjfLew+V+ppMmxeQAQawj383/7UCrIsS+cz+PsTv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gEDvHAAAA3wAAAA8AAAAAAAAAAAAAAAAAmAIAAGRy&#10;cy9kb3ducmV2LnhtbFBLBQYAAAAABAAEAPUAAACMAwAAAAA=&#10;" path="m69850,r,6121l45049,11126c22168,20799,6108,43444,6108,69848v,26412,16060,49053,38941,58723l69850,133574r,6121l42669,134211c17595,123611,,98794,,69848,,40920,17595,16093,42669,5488l69850,xe" fillcolor="#221d1d" stroked="f" strokeweight="0">
                <v:stroke miterlimit="83231f" joinstyle="miter"/>
                <v:path arrowok="t" textboxrect="0,0,69850,139695"/>
              </v:shape>
              <v:shape id="Shape 222174" o:spid="_x0000_s1034" style="position:absolute;left:69850;width:69850;height:139700;visibility:visible;mso-wrap-style:square;v-text-anchor:top" coordsize="6985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lWckA&#10;AADfAAAADwAAAGRycy9kb3ducmV2LnhtbESPUUvDMBSF3wf+h3CFvW3pOumkLhsyNtwQBq4iPl6a&#10;a1NsbkoSt7pfbwTBx8M55zuc5XqwnTiTD61jBbNpBoK4drrlRsFrtZvcgwgRWWPnmBR8U4D16ma0&#10;xFK7C7/Q+RQbkSAcSlRgYuxLKUNtyGKYup44eR/OW4xJ+kZqj5cEt53Ms6yQFltOCwZ72hiqP09f&#10;VkGzf5fZtnh6XsyPmzd/MFWsiqtS49vh8QFEpCH+h//ae60gz/PZ4g5+/6Qv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3lWckAAADfAAAADwAAAAAAAAAAAAAAAACYAgAA&#10;ZHJzL2Rvd25yZXYueG1sUEsFBgAAAAAEAAQA9QAAAI4DAAAAAA==&#10;" path="m12,c38595,,69850,31280,69850,69850v,38595,-31255,69850,-69838,69850l,139697r,-6121l12,133579v35192,,63729,-28512,63729,-63729c63741,34646,35204,6121,12,6121l,6124,,2,12,xe" fillcolor="#221d1d" stroked="f" strokeweight="0">
                <v:stroke miterlimit="83231f" joinstyle="miter"/>
                <v:path arrowok="t" textboxrect="0,0,69850,139700"/>
              </v:shape>
              <w10:wrap type="square" anchorx="page" anchory="page"/>
            </v:group>
          </w:pict>
        </mc:Fallback>
      </mc:AlternateContent>
    </w:r>
    <w:r>
      <w:rPr>
        <w:sz w:val="15"/>
      </w:rPr>
      <w:t>APPLIED ECONOMICS</w:t>
    </w:r>
    <w:r>
      <w:rPr>
        <w:sz w:val="15"/>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2E5BC4">
    <w:pPr>
      <w:tabs>
        <w:tab w:val="center" w:pos="454"/>
        <w:tab w:val="center" w:pos="1092"/>
      </w:tabs>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910082</wp:posOffset>
              </wp:positionH>
              <wp:positionV relativeFrom="page">
                <wp:posOffset>317526</wp:posOffset>
              </wp:positionV>
              <wp:extent cx="139700" cy="139700"/>
              <wp:effectExtent l="0" t="0" r="0" b="0"/>
              <wp:wrapSquare wrapText="bothSides"/>
              <wp:docPr id="222144" name="Group 222144"/>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222145" name="Shape 222145"/>
                      <wps:cNvSpPr/>
                      <wps:spPr>
                        <a:xfrm>
                          <a:off x="49848"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46" name="Shape 222146"/>
                      <wps:cNvSpPr/>
                      <wps:spPr>
                        <a:xfrm>
                          <a:off x="47727"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47" name="Shape 222147"/>
                      <wps:cNvSpPr/>
                      <wps:spPr>
                        <a:xfrm>
                          <a:off x="18834"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48" name="Shape 222148"/>
                      <wps:cNvSpPr/>
                      <wps:spPr>
                        <a:xfrm>
                          <a:off x="57531"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49" name="Shape 222149"/>
                      <wps:cNvSpPr/>
                      <wps:spPr>
                        <a:xfrm>
                          <a:off x="20333" y="70510"/>
                          <a:ext cx="88589" cy="29058"/>
                        </a:xfrm>
                        <a:custGeom>
                          <a:avLst/>
                          <a:gdLst/>
                          <a:ahLst/>
                          <a:cxnLst/>
                          <a:rect l="0" t="0" r="0" b="0"/>
                          <a:pathLst>
                            <a:path w="88589" h="29058">
                              <a:moveTo>
                                <a:pt x="2261" y="0"/>
                              </a:moveTo>
                              <a:lnTo>
                                <a:pt x="12014" y="0"/>
                              </a:lnTo>
                              <a:lnTo>
                                <a:pt x="12014" y="1816"/>
                              </a:lnTo>
                              <a:lnTo>
                                <a:pt x="85306" y="1816"/>
                              </a:lnTo>
                              <a:lnTo>
                                <a:pt x="88589" y="919"/>
                              </a:lnTo>
                              <a:lnTo>
                                <a:pt x="88589" y="3871"/>
                              </a:lnTo>
                              <a:lnTo>
                                <a:pt x="87427" y="4178"/>
                              </a:lnTo>
                              <a:cubicBezTo>
                                <a:pt x="86385" y="7023"/>
                                <a:pt x="84442" y="10008"/>
                                <a:pt x="84442" y="10008"/>
                              </a:cubicBezTo>
                              <a:cubicBezTo>
                                <a:pt x="83337" y="11786"/>
                                <a:pt x="82106" y="13475"/>
                                <a:pt x="80772" y="15062"/>
                              </a:cubicBezTo>
                              <a:cubicBezTo>
                                <a:pt x="81940" y="15037"/>
                                <a:pt x="84538" y="14761"/>
                                <a:pt x="87498" y="12971"/>
                              </a:cubicBezTo>
                              <a:lnTo>
                                <a:pt x="88589" y="11604"/>
                              </a:lnTo>
                              <a:lnTo>
                                <a:pt x="88589" y="15495"/>
                              </a:lnTo>
                              <a:lnTo>
                                <a:pt x="78067" y="17907"/>
                              </a:lnTo>
                              <a:cubicBezTo>
                                <a:pt x="70853" y="24829"/>
                                <a:pt x="61062" y="29058"/>
                                <a:pt x="50279" y="29058"/>
                              </a:cubicBezTo>
                              <a:cubicBezTo>
                                <a:pt x="34798" y="29058"/>
                                <a:pt x="21399" y="20333"/>
                                <a:pt x="14681" y="7518"/>
                              </a:cubicBezTo>
                              <a:lnTo>
                                <a:pt x="2464" y="7518"/>
                              </a:lnTo>
                              <a:lnTo>
                                <a:pt x="0" y="1816"/>
                              </a:lnTo>
                              <a:lnTo>
                                <a:pt x="2261" y="1816"/>
                              </a:lnTo>
                              <a:lnTo>
                                <a:pt x="2261"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50" name="Shape 222150"/>
                      <wps:cNvSpPr/>
                      <wps:spPr>
                        <a:xfrm>
                          <a:off x="108922" y="68135"/>
                          <a:ext cx="12059" cy="17870"/>
                        </a:xfrm>
                        <a:custGeom>
                          <a:avLst/>
                          <a:gdLst/>
                          <a:ahLst/>
                          <a:cxnLst/>
                          <a:rect l="0" t="0" r="0" b="0"/>
                          <a:pathLst>
                            <a:path w="12059" h="17870">
                              <a:moveTo>
                                <a:pt x="12059" y="0"/>
                              </a:moveTo>
                              <a:cubicBezTo>
                                <a:pt x="12059" y="0"/>
                                <a:pt x="9566" y="12216"/>
                                <a:pt x="663" y="17718"/>
                              </a:cubicBezTo>
                              <a:lnTo>
                                <a:pt x="0" y="17870"/>
                              </a:lnTo>
                              <a:lnTo>
                                <a:pt x="0" y="13979"/>
                              </a:lnTo>
                              <a:lnTo>
                                <a:pt x="7817" y="4178"/>
                              </a:lnTo>
                              <a:lnTo>
                                <a:pt x="0" y="6246"/>
                              </a:lnTo>
                              <a:lnTo>
                                <a:pt x="0" y="3294"/>
                              </a:lnTo>
                              <a:lnTo>
                                <a:pt x="12059"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51" name="Shape 222151"/>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s:wsp>
                      <wps:cNvPr id="222152" name="Shape 222152"/>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flat">
                          <a:miter lim="127000"/>
                        </a:ln>
                      </wps:spPr>
                      <wps:style>
                        <a:lnRef idx="0">
                          <a:srgbClr val="000000">
                            <a:alpha val="0"/>
                          </a:srgbClr>
                        </a:lnRef>
                        <a:fillRef idx="1">
                          <a:srgbClr val="221D1D"/>
                        </a:fillRef>
                        <a:effectRef idx="0">
                          <a:scrgbClr r="0" g="0" b="0"/>
                        </a:effectRef>
                        <a:fontRef idx="none"/>
                      </wps:style>
                      <wps:bodyPr/>
                    </wps:wsp>
                  </wpg:wgp>
                </a:graphicData>
              </a:graphic>
            </wp:anchor>
          </w:drawing>
        </mc:Choice>
        <mc:Fallback>
          <w:pict>
            <v:group w14:anchorId="5B147D65" id="Group 222144" o:spid="_x0000_s1026" style="position:absolute;margin-left:71.65pt;margin-top:25pt;width:11pt;height:11pt;z-index:251659264;mso-position-horizontal-relative:page;mso-position-vertical-relative:page" coordsize="13970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">
              <v:shape id="Shape 222145" o:spid="_x0000_s1027" style="position:absolute;left:49848;top:67462;width:41720;height:3251;visibility:visible;mso-wrap-style:square;v-text-anchor:top" coordsize="41720,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qG8kA&#10;AADfAAAADwAAAGRycy9kb3ducmV2LnhtbESPQWvCQBSE7wX/w/KE3pqNaSsluooILUIR0fSgt0f2&#10;NVmafRuzW0399a5Q8DjMzDfMdN7bRpyo88axglGSgiAunTZcKfgq3p/eQPiArLFxTAr+yMN8NniY&#10;Yq7dmbd02oVKRAj7HBXUIbS5lL6syaJPXEscvW/XWQxRdpXUHZ4j3DYyS9OxtGg4LtTY0rKm8mf3&#10;axUcFh+a+qK4fJrDyjw3683eHTdKPQ77xQREoD7cw//tlVaQZdno5RVuf+IX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yQqG8kAAADfAAAADwAAAAAAAAAAAAAAAACYAgAA&#10;ZHJzL2Rvd25yZXYueG1sUEsFBgAAAAAEAAQA9QAAAI4DAAAAAA==&#10;" path="m,l41720,,40361,3251r-38989,l,xe" fillcolor="#221d1d" stroked="f" strokeweight="0">
                <v:stroke miterlimit="83231f" joinstyle="miter"/>
                <v:path arrowok="t" textboxrect="0,0,41720,3251"/>
              </v:shape>
              <v:shape id="Shape 222146" o:spid="_x0000_s1028" style="position:absolute;left:47727;top:62445;width:45987;height:3251;visibility:visible;mso-wrap-style:square;v-text-anchor:top" coordsize="45987,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28YA&#10;AADfAAAADwAAAGRycy9kb3ducmV2LnhtbESP0WqDQBRE3wP9h+UW+hbX2FZS40ZqIaFvRZMPuLi3&#10;KnHvirsm5u+7hUIfh5k5w+TFYgZxpcn1lhVsohgEcWN1z62C8+mw3oJwHlnjYJkU3MlBsX9Y5Zhp&#10;e+OKrrVvRYCwy1BB5/2YSemajgy6yI7Ewfu2k0Ef5NRKPeEtwM0gkzhOpcGew0KHI3101Fzq2Sjg&#10;UvO8LSs6v/rjm7kfy+fDV6nU0+PyvgPhafH/4b/2p1aQJMnmJYXfP+EL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28YAAADfAAAADwAAAAAAAAAAAAAAAACYAgAAZHJz&#10;L2Rvd25yZXYueG1sUEsFBgAAAAAEAAQA9QAAAIsDAAAAAA==&#10;" path="m,l45987,,44615,3251r-43243,l,xe" fillcolor="#221d1d" stroked="f" strokeweight="0">
                <v:stroke miterlimit="83231f" joinstyle="miter"/>
                <v:path arrowok="t" textboxrect="0,0,45987,3251"/>
              </v:shape>
              <v:shape id="Shape 222147" o:spid="_x0000_s1029" style="position:absolute;left:18834;top:47790;width:16307;height:18961;visibility:visible;mso-wrap-style:square;v-text-anchor:top" coordsize="16307,1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oPMgA&#10;AADfAAAADwAAAGRycy9kb3ducmV2LnhtbESP3WrCQBSE74W+w3KE3unGULSNbqRYCkUqpVHvD9mT&#10;H8yeDdk1Sfv03YLg5TAz3zCb7Wga0VPnassKFvMIBHFudc2lgtPxffYMwnlkjY1lUvBDDrbpw2SD&#10;ibYDf1Of+VIECLsEFVTet4mULq/IoJvbljh4he0M+iC7UuoOhwA3jYyjaCkN1hwWKmxpV1F+ya5G&#10;QX89ZPXnV4m7/XEo+Bz9npqXN6Uep+PrGoSn0d/Dt/aHVhDH8eJpBf9/whe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iCg8yAAAAN8AAAAPAAAAAAAAAAAAAAAAAJgCAABk&#10;cnMvZG93bnJldi54bWxQSwUGAAAAAAQABAD1AAAAjQMAAAAA&#10;" path="m8357,v7950,18961,114,18707,114,18707c,18491,8357,,8357,xe" fillcolor="#221d1d" stroked="f" strokeweight="0">
                <v:stroke miterlimit="83231f" joinstyle="miter"/>
                <v:path arrowok="t" textboxrect="0,0,16307,18961"/>
              </v:shape>
              <v:shape id="Shape 222148" o:spid="_x0000_s1030" style="position:absolute;left:57531;top:42545;width:20104;height:16904;visibility:visible;mso-wrap-style:square;v-text-anchor:top" coordsize="20104,1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GScQA&#10;AADfAAAADwAAAGRycy9kb3ducmV2LnhtbERPTWvCQBC9C/6HZQq9NZukRUp0lRJRChWKqd7H7DQJ&#10;zc7G7DZJ/333IHh8vO/VZjKtGKh3jWUFSRSDIC6tbrhScPraPb2CcB5ZY2uZFPyRg816Plthpu3I&#10;RxoKX4kQwi5DBbX3XSalK2sy6CLbEQfu2/YGfYB9JXWPYwg3rUzjeCENNhwaauwor6n8KX6Ngu3Z&#10;x9eP509T5QubXA77nHcyV+rxYXpbgvA0+bv45n7XCtI0TV7C4PAnf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hknEAAAA3wAAAA8AAAAAAAAAAAAAAAAAmAIAAGRycy9k&#10;b3ducmV2LnhtbFBLBQYAAAAABAAEAPUAAACJAwAAAAA=&#10;" path="m20104,c12040,10376,12624,16904,12624,16904,,8814,20104,,20104,xe" fillcolor="#221d1d" stroked="f" strokeweight="0">
                <v:stroke miterlimit="83231f" joinstyle="miter"/>
                <v:path arrowok="t" textboxrect="0,0,20104,16904"/>
              </v:shape>
              <v:shape id="Shape 222149" o:spid="_x0000_s1031" style="position:absolute;left:20333;top:70510;width:88589;height:29058;visibility:visible;mso-wrap-style:square;v-text-anchor:top" coordsize="88589,29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3MoA&#10;AADfAAAADwAAAGRycy9kb3ducmV2LnhtbESP3WrCQBSE74W+w3IK3unGkNo2ukpRWqTQPyt4e8ye&#10;ZtNmz8bsqvHtu0Khl8PMfMNM552txZFaXzlWMBomIIgLpysuFWw+Hwd3IHxA1lg7JgVn8jCfXfWm&#10;mGt34g86rkMpIoR9jgpMCE0upS8MWfRD1xBH78u1FkOUbSl1i6cIt7VMk2QsLVYcFww2tDBU/KwP&#10;VoG8vXnOlt+H1+z9Zbd4asy+2L6Nlepfdw8TEIG68B/+a6+0gjRNR9k9XP7ELy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6/8dzKAAAA3wAAAA8AAAAAAAAAAAAAAAAAmAIA&#10;AGRycy9kb3ducmV2LnhtbFBLBQYAAAAABAAEAPUAAACPAwAAAAA=&#10;" path="m2261,r9753,l12014,1816r73292,l88589,919r,2952l87427,4178v-1042,2845,-2985,5830,-2985,5830c83337,11786,82106,13475,80772,15062v1168,-25,3766,-301,6726,-2091l88589,11604r,3891l78067,17907c70853,24829,61062,29058,50279,29058,34798,29058,21399,20333,14681,7518r-12217,l,1816r2261,l2261,xe" fillcolor="#221d1d" stroked="f" strokeweight="0">
                <v:stroke miterlimit="83231f" joinstyle="miter"/>
                <v:path arrowok="t" textboxrect="0,0,88589,29058"/>
              </v:shape>
              <v:shape id="Shape 222150" o:spid="_x0000_s1032" style="position:absolute;left:108922;top:68135;width:12059;height:17870;visibility:visible;mso-wrap-style:square;v-text-anchor:top" coordsize="12059,1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sbMYA&#10;AADfAAAADwAAAGRycy9kb3ducmV2LnhtbESPy2rCQBSG94LvMBzBjZiJgYqkGUVaBKF00Wjp9pg5&#10;TYKZMyEzubRP31kUXP78N77sMJlGDNS52rKCTRSDIC6srrlUcL2c1jsQziNrbCyTgh9ycNjPZxmm&#10;2o78QUPuSxFG2KWooPK+TaV0RUUGXWRb4uB9286gD7Irpe5wDOOmkUkcb6XBmsNDhS29VFTc894o&#10;GL7erqff99dBr9DK/mbHz3oqlVoupuMzCE+Tf4T/22etIEmSzVMgCDyBBe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LsbMYAAADfAAAADwAAAAAAAAAAAAAAAACYAgAAZHJz&#10;L2Rvd25yZXYueG1sUEsFBgAAAAAEAAQA9QAAAIsDAAAAAA==&#10;" path="m12059,v,,-2493,12216,-11396,17718l,17870,,13979,7817,4178,,6246,,3294,12059,xe" fillcolor="#221d1d" stroked="f" strokeweight="0">
                <v:stroke miterlimit="83231f" joinstyle="miter"/>
                <v:path arrowok="t" textboxrect="0,0,12059,17870"/>
              </v:shape>
              <v:shape id="Shape 222151" o:spid="_x0000_s1033" style="position:absolute;top:3;width:69850;height:139695;visibility:visible;mso-wrap-style:square;v-text-anchor:top" coordsize="69850,13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3t8YA&#10;AADfAAAADwAAAGRycy9kb3ducmV2LnhtbESP0WrCQBRE3wv+w3KFvtVNAgZJXaVKK0WkoO0HXLK3&#10;2dDs3ZBdTeLXu4LQx2FmzjDL9WAbcaHO144VpLMEBHHpdM2Vgp/vj5cFCB+QNTaOScFIHtarydMS&#10;C+16PtLlFCoRIewLVGBCaAspfWnIop+5ljh6v66zGKLsKqk77CPcNjJLklxarDkuGGxpa6j8O52t&#10;gtz04w7Jb0aTfl3Px/f9wh5ypZ6nw9sriEBD+A8/2p9aQZZl6TyF+5/4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t3t8YAAADfAAAADwAAAAAAAAAAAAAAAACYAgAAZHJz&#10;L2Rvd25yZXYueG1sUEsFBgAAAAAEAAQA9QAAAIsDAAAAAA==&#10;" path="m69850,r,6121l45049,11126c22168,20798,6109,43444,6109,69847v,26413,16059,49054,38940,58724l69850,133573r,6122l42670,134211c17595,123611,,98794,,69847,,40920,17595,16093,42670,5488l69850,xe" fillcolor="#221d1d" stroked="f" strokeweight="0">
                <v:stroke miterlimit="83231f" joinstyle="miter"/>
                <v:path arrowok="t" textboxrect="0,0,69850,139695"/>
              </v:shape>
              <v:shape id="Shape 222152" o:spid="_x0000_s1034" style="position:absolute;left:69850;width:69850;height:139700;visibility:visible;mso-wrap-style:square;v-text-anchor:top" coordsize="69850,13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E1sgA&#10;AADfAAAADwAAAGRycy9kb3ducmV2LnhtbESPQUsDMRSE70L/Q3gFbzbbFFfZNi1SLFYEwa5Ij4/N&#10;c7O4eVmS2K7+eiMIHoeZ+YZZbUbXixOF2HnWMJ8VIIgbbzpuNbzWu6tbEDEhG+w9k4YvirBZTy5W&#10;WBl/5hc6HVIrMoRjhRpsSkMlZWwsOYwzPxBn790HhynL0EoT8JzhrpeqKErpsOO8YHGgraXm4/Dp&#10;NLT7oyzuy4enm8Xz9i082jrV5bfWl9Pxbgki0Zj+w3/tvdGglJpfK/j9k7+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7YTWyAAAAN8AAAAPAAAAAAAAAAAAAAAAAJgCAABk&#10;cnMvZG93bnJldi54bWxQSwUGAAAAAAQABAD1AAAAjQMAAAAA&#10;" path="m13,c38595,,69850,31280,69850,69850v,38595,-31255,69850,-69837,69850l,139697r,-6121l13,133579v35179,,63728,-28512,63728,-63729c63741,34646,35192,6121,13,6121l,6124,,3,13,xe" fillcolor="#221d1d" stroked="f" strokeweight="0">
                <v:stroke miterlimit="83231f" joinstyle="miter"/>
                <v:path arrowok="t" textboxrect="0,0,69850,139700"/>
              </v:shape>
              <w10:wrap type="square" anchorx="page" anchory="page"/>
            </v:group>
          </w:pict>
        </mc:Fallback>
      </mc:AlternateContent>
    </w:r>
    <w:r>
      <w:tab/>
    </w:r>
    <w:r>
      <w:rPr>
        <w:sz w:val="15"/>
      </w:rPr>
      <w:tab/>
      <w:t>J. P. FRAICHOT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F6" w:rsidRDefault="00EE13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2CC0"/>
    <w:multiLevelType w:val="hybridMultilevel"/>
    <w:tmpl w:val="0350660A"/>
    <w:lvl w:ilvl="0" w:tplc="E2800A2E">
      <w:start w:val="1"/>
      <w:numFmt w:val="lowerRoman"/>
      <w:lvlText w:val="(%1)"/>
      <w:lvlJc w:val="left"/>
      <w:pPr>
        <w:ind w:left="1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1" w:tplc="DD48C128">
      <w:start w:val="1"/>
      <w:numFmt w:val="lowerLetter"/>
      <w:lvlText w:val="%2"/>
      <w:lvlJc w:val="left"/>
      <w:pPr>
        <w:ind w:left="1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D270BB26">
      <w:start w:val="1"/>
      <w:numFmt w:val="lowerRoman"/>
      <w:lvlText w:val="%3"/>
      <w:lvlJc w:val="left"/>
      <w:pPr>
        <w:ind w:left="18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27E02F9E">
      <w:start w:val="1"/>
      <w:numFmt w:val="decimal"/>
      <w:lvlText w:val="%4"/>
      <w:lvlJc w:val="left"/>
      <w:pPr>
        <w:ind w:left="25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0B5E6854">
      <w:start w:val="1"/>
      <w:numFmt w:val="lowerLetter"/>
      <w:lvlText w:val="%5"/>
      <w:lvlJc w:val="left"/>
      <w:pPr>
        <w:ind w:left="32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D3EA6D68">
      <w:start w:val="1"/>
      <w:numFmt w:val="lowerRoman"/>
      <w:lvlText w:val="%6"/>
      <w:lvlJc w:val="left"/>
      <w:pPr>
        <w:ind w:left="40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8A1A799A">
      <w:start w:val="1"/>
      <w:numFmt w:val="decimal"/>
      <w:lvlText w:val="%7"/>
      <w:lvlJc w:val="left"/>
      <w:pPr>
        <w:ind w:left="47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94FAC3AE">
      <w:start w:val="1"/>
      <w:numFmt w:val="lowerLetter"/>
      <w:lvlText w:val="%8"/>
      <w:lvlJc w:val="left"/>
      <w:pPr>
        <w:ind w:left="54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5C0CA24A">
      <w:start w:val="1"/>
      <w:numFmt w:val="lowerRoman"/>
      <w:lvlText w:val="%9"/>
      <w:lvlJc w:val="left"/>
      <w:pPr>
        <w:ind w:left="61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
    <w:nsid w:val="00A97EE5"/>
    <w:multiLevelType w:val="hybridMultilevel"/>
    <w:tmpl w:val="BB949E9C"/>
    <w:lvl w:ilvl="0" w:tplc="31307A48">
      <w:start w:val="1"/>
      <w:numFmt w:val="lowerLetter"/>
      <w:lvlText w:val="%1."/>
      <w:lvlJc w:val="left"/>
      <w:pPr>
        <w:ind w:left="2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C6416D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9930611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CFA608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9681EC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876E33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3BE51D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AD0F762">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6423DA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
    <w:nsid w:val="016B14A9"/>
    <w:multiLevelType w:val="hybridMultilevel"/>
    <w:tmpl w:val="774C3DC4"/>
    <w:lvl w:ilvl="0" w:tplc="EC4A9394">
      <w:start w:val="3"/>
      <w:numFmt w:val="lowerRoman"/>
      <w:lvlText w:val="(%1)"/>
      <w:lvlJc w:val="left"/>
      <w:pPr>
        <w:ind w:left="1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72A9112">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DD8183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71E373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75637E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D6E7B1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830E31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45A7A7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9561E9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
    <w:nsid w:val="03F92511"/>
    <w:multiLevelType w:val="hybridMultilevel"/>
    <w:tmpl w:val="54746300"/>
    <w:lvl w:ilvl="0" w:tplc="8DBCDC8E">
      <w:start w:val="3"/>
      <w:numFmt w:val="lowerRoman"/>
      <w:lvlText w:val="(%1)"/>
      <w:lvlJc w:val="left"/>
      <w:pPr>
        <w:ind w:left="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B06E6D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C7AD0F2">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5503D3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396940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AB2B7B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382CB0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64263D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4C443D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
    <w:nsid w:val="081D726D"/>
    <w:multiLevelType w:val="hybridMultilevel"/>
    <w:tmpl w:val="240AE4BC"/>
    <w:lvl w:ilvl="0" w:tplc="97FC2B2A">
      <w:start w:val="1"/>
      <w:numFmt w:val="lowerRoman"/>
      <w:lvlText w:val="(%1)"/>
      <w:lvlJc w:val="left"/>
      <w:pPr>
        <w:ind w:left="41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1020A6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D544B7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358F19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D3EA75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4126716">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B2C393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A24082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E9E95F2">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
    <w:nsid w:val="0ABA3113"/>
    <w:multiLevelType w:val="hybridMultilevel"/>
    <w:tmpl w:val="C5E6BCFC"/>
    <w:lvl w:ilvl="0" w:tplc="B3A2F0D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8224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AA74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4E03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F2AE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F86F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A280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68B3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AAE0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0B1716E2"/>
    <w:multiLevelType w:val="hybridMultilevel"/>
    <w:tmpl w:val="053E6CA8"/>
    <w:lvl w:ilvl="0" w:tplc="EA80BAE0">
      <w:start w:val="2"/>
      <w:numFmt w:val="lowerRoman"/>
      <w:lvlText w:val="(%1)"/>
      <w:lvlJc w:val="left"/>
      <w:pPr>
        <w:ind w:left="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358AA02">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0DC923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60E6D1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BFC383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5C6591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ED8CAF0">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D0C980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BFE8174">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7">
    <w:nsid w:val="12A321D2"/>
    <w:multiLevelType w:val="hybridMultilevel"/>
    <w:tmpl w:val="54B61F36"/>
    <w:lvl w:ilvl="0" w:tplc="CD14F012">
      <w:start w:val="1"/>
      <w:numFmt w:val="decimal"/>
      <w:lvlText w:val="%1."/>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62C76DE">
      <w:start w:val="1"/>
      <w:numFmt w:val="lowerLetter"/>
      <w:lvlText w:val="%2"/>
      <w:lvlJc w:val="left"/>
      <w:pPr>
        <w:ind w:left="13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0D8FB90">
      <w:start w:val="1"/>
      <w:numFmt w:val="lowerRoman"/>
      <w:lvlText w:val="%3"/>
      <w:lvlJc w:val="left"/>
      <w:pPr>
        <w:ind w:left="20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218F898">
      <w:start w:val="1"/>
      <w:numFmt w:val="decimal"/>
      <w:lvlText w:val="%4"/>
      <w:lvlJc w:val="left"/>
      <w:pPr>
        <w:ind w:left="27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6AC6ECA">
      <w:start w:val="1"/>
      <w:numFmt w:val="lowerLetter"/>
      <w:lvlText w:val="%5"/>
      <w:lvlJc w:val="left"/>
      <w:pPr>
        <w:ind w:left="35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6CEA01C">
      <w:start w:val="1"/>
      <w:numFmt w:val="lowerRoman"/>
      <w:lvlText w:val="%6"/>
      <w:lvlJc w:val="left"/>
      <w:pPr>
        <w:ind w:left="42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0AA9B3A">
      <w:start w:val="1"/>
      <w:numFmt w:val="decimal"/>
      <w:lvlText w:val="%7"/>
      <w:lvlJc w:val="left"/>
      <w:pPr>
        <w:ind w:left="49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8223BE6">
      <w:start w:val="1"/>
      <w:numFmt w:val="lowerLetter"/>
      <w:lvlText w:val="%8"/>
      <w:lvlJc w:val="left"/>
      <w:pPr>
        <w:ind w:left="56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EDCF6A0">
      <w:start w:val="1"/>
      <w:numFmt w:val="lowerRoman"/>
      <w:lvlText w:val="%9"/>
      <w:lvlJc w:val="left"/>
      <w:pPr>
        <w:ind w:left="63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8">
    <w:nsid w:val="15341CC2"/>
    <w:multiLevelType w:val="hybridMultilevel"/>
    <w:tmpl w:val="0BFAB9A0"/>
    <w:lvl w:ilvl="0" w:tplc="AA540E28">
      <w:start w:val="1"/>
      <w:numFmt w:val="lowerRoman"/>
      <w:lvlText w:val="(%1)"/>
      <w:lvlJc w:val="left"/>
      <w:pPr>
        <w:ind w:left="29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2C29512">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E463A6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F30FB3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8DC29A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FC6F4A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55CC35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0242F8A">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91CA0F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9">
    <w:nsid w:val="17856F45"/>
    <w:multiLevelType w:val="hybridMultilevel"/>
    <w:tmpl w:val="0E1A4624"/>
    <w:lvl w:ilvl="0" w:tplc="5BA401A8">
      <w:start w:val="1"/>
      <w:numFmt w:val="lowerLetter"/>
      <w:lvlText w:val="%1."/>
      <w:lvlJc w:val="left"/>
      <w:pPr>
        <w:ind w:left="2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7E65792">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F762C2E">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6F8131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EB68520">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B0E121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1DEAD5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9D61FA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29C41B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0">
    <w:nsid w:val="184C3EDB"/>
    <w:multiLevelType w:val="hybridMultilevel"/>
    <w:tmpl w:val="2D9E73D0"/>
    <w:lvl w:ilvl="0" w:tplc="5462C654">
      <w:start w:val="3"/>
      <w:numFmt w:val="lowerRoman"/>
      <w:lvlText w:val="(%1)"/>
      <w:lvlJc w:val="left"/>
      <w:pPr>
        <w:ind w:left="1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6141182">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C8A4B6E">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2164F7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648DED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4E043D7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D68B97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FB6E86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CE01C62">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1">
    <w:nsid w:val="1B2632B8"/>
    <w:multiLevelType w:val="hybridMultilevel"/>
    <w:tmpl w:val="1A4C1C4E"/>
    <w:lvl w:ilvl="0" w:tplc="42088B86">
      <w:start w:val="1"/>
      <w:numFmt w:val="lowerLetter"/>
      <w:lvlText w:val="%1."/>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F62150">
      <w:start w:val="1"/>
      <w:numFmt w:val="lowerLetter"/>
      <w:lvlText w:val="%2"/>
      <w:lvlJc w:val="left"/>
      <w:pPr>
        <w:ind w:left="1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3C8114">
      <w:start w:val="1"/>
      <w:numFmt w:val="lowerRoman"/>
      <w:lvlText w:val="%3"/>
      <w:lvlJc w:val="left"/>
      <w:pPr>
        <w:ind w:left="2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C0D3E8">
      <w:start w:val="1"/>
      <w:numFmt w:val="decimal"/>
      <w:lvlText w:val="%4"/>
      <w:lvlJc w:val="left"/>
      <w:pPr>
        <w:ind w:left="2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028D4E">
      <w:start w:val="1"/>
      <w:numFmt w:val="lowerLetter"/>
      <w:lvlText w:val="%5"/>
      <w:lvlJc w:val="left"/>
      <w:pPr>
        <w:ind w:left="3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18D44C">
      <w:start w:val="1"/>
      <w:numFmt w:val="lowerRoman"/>
      <w:lvlText w:val="%6"/>
      <w:lvlJc w:val="left"/>
      <w:pPr>
        <w:ind w:left="4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EE0064">
      <w:start w:val="1"/>
      <w:numFmt w:val="decimal"/>
      <w:lvlText w:val="%7"/>
      <w:lvlJc w:val="left"/>
      <w:pPr>
        <w:ind w:left="49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C107D1E">
      <w:start w:val="1"/>
      <w:numFmt w:val="lowerLetter"/>
      <w:lvlText w:val="%8"/>
      <w:lvlJc w:val="left"/>
      <w:pPr>
        <w:ind w:left="5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485EFC">
      <w:start w:val="1"/>
      <w:numFmt w:val="lowerRoman"/>
      <w:lvlText w:val="%9"/>
      <w:lvlJc w:val="left"/>
      <w:pPr>
        <w:ind w:left="6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1C2E3776"/>
    <w:multiLevelType w:val="hybridMultilevel"/>
    <w:tmpl w:val="B7502996"/>
    <w:lvl w:ilvl="0" w:tplc="ADF632B6">
      <w:start w:val="1"/>
      <w:numFmt w:val="lowerLetter"/>
      <w:lvlText w:val="%1)"/>
      <w:lvlJc w:val="left"/>
      <w:pPr>
        <w:ind w:left="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B8283C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86A3EEE">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E66035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67CD9C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64CCE5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FF6BCC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FF0F17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DEED56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3">
    <w:nsid w:val="22C349C4"/>
    <w:multiLevelType w:val="hybridMultilevel"/>
    <w:tmpl w:val="30B01BA2"/>
    <w:lvl w:ilvl="0" w:tplc="5A142BF4">
      <w:start w:val="1"/>
      <w:numFmt w:val="lowerLetter"/>
      <w:lvlText w:val="%1."/>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3E2746">
      <w:start w:val="1"/>
      <w:numFmt w:val="lowerLetter"/>
      <w:lvlText w:val="%2"/>
      <w:lvlJc w:val="left"/>
      <w:pPr>
        <w:ind w:left="1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502844">
      <w:start w:val="1"/>
      <w:numFmt w:val="lowerRoman"/>
      <w:lvlText w:val="%3"/>
      <w:lvlJc w:val="left"/>
      <w:pPr>
        <w:ind w:left="2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DC9D46">
      <w:start w:val="1"/>
      <w:numFmt w:val="decimal"/>
      <w:lvlText w:val="%4"/>
      <w:lvlJc w:val="left"/>
      <w:pPr>
        <w:ind w:left="2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EA87AA">
      <w:start w:val="1"/>
      <w:numFmt w:val="lowerLetter"/>
      <w:lvlText w:val="%5"/>
      <w:lvlJc w:val="left"/>
      <w:pPr>
        <w:ind w:left="3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FA2B24">
      <w:start w:val="1"/>
      <w:numFmt w:val="lowerRoman"/>
      <w:lvlText w:val="%6"/>
      <w:lvlJc w:val="left"/>
      <w:pPr>
        <w:ind w:left="4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12572C">
      <w:start w:val="1"/>
      <w:numFmt w:val="decimal"/>
      <w:lvlText w:val="%7"/>
      <w:lvlJc w:val="left"/>
      <w:pPr>
        <w:ind w:left="49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30C004">
      <w:start w:val="1"/>
      <w:numFmt w:val="lowerLetter"/>
      <w:lvlText w:val="%8"/>
      <w:lvlJc w:val="left"/>
      <w:pPr>
        <w:ind w:left="5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38C038">
      <w:start w:val="1"/>
      <w:numFmt w:val="lowerRoman"/>
      <w:lvlText w:val="%9"/>
      <w:lvlJc w:val="left"/>
      <w:pPr>
        <w:ind w:left="6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286E37BB"/>
    <w:multiLevelType w:val="hybridMultilevel"/>
    <w:tmpl w:val="7FAEC4A0"/>
    <w:lvl w:ilvl="0" w:tplc="DE365122">
      <w:start w:val="2"/>
      <w:numFmt w:val="low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A20890">
      <w:start w:val="1"/>
      <w:numFmt w:val="lowerLetter"/>
      <w:lvlText w:val="%2"/>
      <w:lvlJc w:val="left"/>
      <w:pPr>
        <w:ind w:left="1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C20170">
      <w:start w:val="1"/>
      <w:numFmt w:val="lowerRoman"/>
      <w:lvlText w:val="%3"/>
      <w:lvlJc w:val="left"/>
      <w:pPr>
        <w:ind w:left="2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5E59F2">
      <w:start w:val="1"/>
      <w:numFmt w:val="decimal"/>
      <w:lvlText w:val="%4"/>
      <w:lvlJc w:val="left"/>
      <w:pPr>
        <w:ind w:left="2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9C1B62">
      <w:start w:val="1"/>
      <w:numFmt w:val="lowerLetter"/>
      <w:lvlText w:val="%5"/>
      <w:lvlJc w:val="left"/>
      <w:pPr>
        <w:ind w:left="3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D895F8">
      <w:start w:val="1"/>
      <w:numFmt w:val="lowerRoman"/>
      <w:lvlText w:val="%6"/>
      <w:lvlJc w:val="left"/>
      <w:pPr>
        <w:ind w:left="4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82CB2E">
      <w:start w:val="1"/>
      <w:numFmt w:val="decimal"/>
      <w:lvlText w:val="%7"/>
      <w:lvlJc w:val="left"/>
      <w:pPr>
        <w:ind w:left="4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841F54">
      <w:start w:val="1"/>
      <w:numFmt w:val="lowerLetter"/>
      <w:lvlText w:val="%8"/>
      <w:lvlJc w:val="left"/>
      <w:pPr>
        <w:ind w:left="56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BEEB8A">
      <w:start w:val="1"/>
      <w:numFmt w:val="lowerRoman"/>
      <w:lvlText w:val="%9"/>
      <w:lvlJc w:val="left"/>
      <w:pPr>
        <w:ind w:left="6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2BCB3FD0"/>
    <w:multiLevelType w:val="hybridMultilevel"/>
    <w:tmpl w:val="AE8471D8"/>
    <w:lvl w:ilvl="0" w:tplc="C570DF1C">
      <w:start w:val="1"/>
      <w:numFmt w:val="lowerLetter"/>
      <w:lvlText w:val="%1."/>
      <w:lvlJc w:val="left"/>
      <w:pPr>
        <w:ind w:left="1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A96C2F2">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10CA1E2">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6D2E63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AF8988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2A2E69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B6E281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244CB1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FE0283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6">
    <w:nsid w:val="2CDF2AD8"/>
    <w:multiLevelType w:val="hybridMultilevel"/>
    <w:tmpl w:val="D9702AB8"/>
    <w:lvl w:ilvl="0" w:tplc="5760636E">
      <w:start w:val="1"/>
      <w:numFmt w:val="lowerLetter"/>
      <w:lvlText w:val="%1)"/>
      <w:lvlJc w:val="left"/>
      <w:pPr>
        <w:ind w:left="2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FFC166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FCCCE4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C96CBE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550A000">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B5980C2A">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8805D0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EDC695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3C09F6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7">
    <w:nsid w:val="33A75B61"/>
    <w:multiLevelType w:val="hybridMultilevel"/>
    <w:tmpl w:val="D702E2E6"/>
    <w:lvl w:ilvl="0" w:tplc="1EC48532">
      <w:start w:val="1"/>
      <w:numFmt w:val="bullet"/>
      <w:lvlText w:val="•"/>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5447DBE">
      <w:start w:val="1"/>
      <w:numFmt w:val="bullet"/>
      <w:lvlText w:val="o"/>
      <w:lvlJc w:val="left"/>
      <w:pPr>
        <w:ind w:left="14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7FCC6DC">
      <w:start w:val="1"/>
      <w:numFmt w:val="bullet"/>
      <w:lvlText w:val="▪"/>
      <w:lvlJc w:val="left"/>
      <w:pPr>
        <w:ind w:left="21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4A8949E">
      <w:start w:val="1"/>
      <w:numFmt w:val="bullet"/>
      <w:lvlText w:val="•"/>
      <w:lvlJc w:val="left"/>
      <w:pPr>
        <w:ind w:left="28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21EA6B0">
      <w:start w:val="1"/>
      <w:numFmt w:val="bullet"/>
      <w:lvlText w:val="o"/>
      <w:lvlJc w:val="left"/>
      <w:pPr>
        <w:ind w:left="35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09E555C">
      <w:start w:val="1"/>
      <w:numFmt w:val="bullet"/>
      <w:lvlText w:val="▪"/>
      <w:lvlJc w:val="left"/>
      <w:pPr>
        <w:ind w:left="42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C747F48">
      <w:start w:val="1"/>
      <w:numFmt w:val="bullet"/>
      <w:lvlText w:val="•"/>
      <w:lvlJc w:val="left"/>
      <w:pPr>
        <w:ind w:left="50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D7EE296">
      <w:start w:val="1"/>
      <w:numFmt w:val="bullet"/>
      <w:lvlText w:val="o"/>
      <w:lvlJc w:val="left"/>
      <w:pPr>
        <w:ind w:left="57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4583FB8">
      <w:start w:val="1"/>
      <w:numFmt w:val="bullet"/>
      <w:lvlText w:val="▪"/>
      <w:lvlJc w:val="left"/>
      <w:pPr>
        <w:ind w:left="64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8">
    <w:nsid w:val="35B63870"/>
    <w:multiLevelType w:val="hybridMultilevel"/>
    <w:tmpl w:val="A828926E"/>
    <w:lvl w:ilvl="0" w:tplc="12D28774">
      <w:start w:val="1"/>
      <w:numFmt w:val="lowerRoman"/>
      <w:lvlText w:val="(%1)"/>
      <w:lvlJc w:val="left"/>
      <w:pPr>
        <w:ind w:left="1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BFE81E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246FB7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6C63D9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CEEA1DA">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A1E005A">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53AE95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9DEE92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B88B35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9">
    <w:nsid w:val="35F36034"/>
    <w:multiLevelType w:val="hybridMultilevel"/>
    <w:tmpl w:val="E4040464"/>
    <w:lvl w:ilvl="0" w:tplc="B82CE956">
      <w:start w:val="2"/>
      <w:numFmt w:val="lowerRoman"/>
      <w:lvlText w:val="(%1)"/>
      <w:lvlJc w:val="left"/>
      <w:pPr>
        <w:ind w:left="43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4D623E0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02AA072">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4FCCC8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5B874B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3AAB01A">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F9C67C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8AA81D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E0EC3A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0">
    <w:nsid w:val="35F82074"/>
    <w:multiLevelType w:val="hybridMultilevel"/>
    <w:tmpl w:val="7144CDEC"/>
    <w:lvl w:ilvl="0" w:tplc="57221FF6">
      <w:start w:val="1"/>
      <w:numFmt w:val="lowerRoman"/>
      <w:lvlText w:val="(%1)"/>
      <w:lvlJc w:val="left"/>
      <w:pPr>
        <w:ind w:left="1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76C83278">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C1401EE">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9C2975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B587C7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14CC25A">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2F297B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90EBC2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7865ED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1">
    <w:nsid w:val="3B2F2ACC"/>
    <w:multiLevelType w:val="hybridMultilevel"/>
    <w:tmpl w:val="FBE892E2"/>
    <w:lvl w:ilvl="0" w:tplc="594C10B2">
      <w:start w:val="1"/>
      <w:numFmt w:val="lowerLetter"/>
      <w:lvlText w:val="%1."/>
      <w:lvlJc w:val="left"/>
      <w:pPr>
        <w:ind w:left="321"/>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1" w:tplc="F952470E">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44701246">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532E729C">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299808E4">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8F7AB760">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8AFEC824">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C17073C8">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21B81B60">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2">
    <w:nsid w:val="44617F40"/>
    <w:multiLevelType w:val="hybridMultilevel"/>
    <w:tmpl w:val="13ACF0C6"/>
    <w:lvl w:ilvl="0" w:tplc="611A9A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A82B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0678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D013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C8D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5827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5E3D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5292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B282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5A052EB"/>
    <w:multiLevelType w:val="hybridMultilevel"/>
    <w:tmpl w:val="9DD470BA"/>
    <w:lvl w:ilvl="0" w:tplc="FBB010AA">
      <w:start w:val="6"/>
      <w:numFmt w:val="lowerRoman"/>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35C5022">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0760042">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FA00BB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304EBDA">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C44C98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642544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83E8AA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23AC65A">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4">
    <w:nsid w:val="46020480"/>
    <w:multiLevelType w:val="hybridMultilevel"/>
    <w:tmpl w:val="A1EC4930"/>
    <w:lvl w:ilvl="0" w:tplc="1C728EF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9A7C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F233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DC91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E80E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66BD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9A42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BACB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5244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AA016BD"/>
    <w:multiLevelType w:val="hybridMultilevel"/>
    <w:tmpl w:val="1806FA0E"/>
    <w:lvl w:ilvl="0" w:tplc="6E8098D6">
      <w:start w:val="1"/>
      <w:numFmt w:val="lowerRoman"/>
      <w:lvlText w:val="(%1)"/>
      <w:lvlJc w:val="left"/>
      <w:pPr>
        <w:ind w:left="42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D96900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054C33A">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47AAC6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D9C2BF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E88570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7CC6E48">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13ECBE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A24351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6">
    <w:nsid w:val="4C843572"/>
    <w:multiLevelType w:val="hybridMultilevel"/>
    <w:tmpl w:val="22E622AA"/>
    <w:lvl w:ilvl="0" w:tplc="5AD65218">
      <w:start w:val="1"/>
      <w:numFmt w:val="lowerRoman"/>
      <w:lvlText w:val="(%1)"/>
      <w:lvlJc w:val="left"/>
      <w:pPr>
        <w:ind w:left="3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0A22BE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0B84378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AA49716">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6DE0AA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960CBE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CAC68E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B5A669E">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E768E8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7">
    <w:nsid w:val="4E2A593E"/>
    <w:multiLevelType w:val="hybridMultilevel"/>
    <w:tmpl w:val="D2DE4F64"/>
    <w:lvl w:ilvl="0" w:tplc="250C806A">
      <w:start w:val="1"/>
      <w:numFmt w:val="bullet"/>
      <w:lvlText w:val="•"/>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BBEBBC8">
      <w:start w:val="1"/>
      <w:numFmt w:val="bullet"/>
      <w:lvlText w:val="o"/>
      <w:lvlJc w:val="left"/>
      <w:pPr>
        <w:ind w:left="14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242E938">
      <w:start w:val="1"/>
      <w:numFmt w:val="bullet"/>
      <w:lvlText w:val="▪"/>
      <w:lvlJc w:val="left"/>
      <w:pPr>
        <w:ind w:left="21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9FA24BE">
      <w:start w:val="1"/>
      <w:numFmt w:val="bullet"/>
      <w:lvlText w:val="•"/>
      <w:lvlJc w:val="left"/>
      <w:pPr>
        <w:ind w:left="28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DDAE688">
      <w:start w:val="1"/>
      <w:numFmt w:val="bullet"/>
      <w:lvlText w:val="o"/>
      <w:lvlJc w:val="left"/>
      <w:pPr>
        <w:ind w:left="35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B58C5A50">
      <w:start w:val="1"/>
      <w:numFmt w:val="bullet"/>
      <w:lvlText w:val="▪"/>
      <w:lvlJc w:val="left"/>
      <w:pPr>
        <w:ind w:left="42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F2C20A6">
      <w:start w:val="1"/>
      <w:numFmt w:val="bullet"/>
      <w:lvlText w:val="•"/>
      <w:lvlJc w:val="left"/>
      <w:pPr>
        <w:ind w:left="50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94232A8">
      <w:start w:val="1"/>
      <w:numFmt w:val="bullet"/>
      <w:lvlText w:val="o"/>
      <w:lvlJc w:val="left"/>
      <w:pPr>
        <w:ind w:left="57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AB28768">
      <w:start w:val="1"/>
      <w:numFmt w:val="bullet"/>
      <w:lvlText w:val="▪"/>
      <w:lvlJc w:val="left"/>
      <w:pPr>
        <w:ind w:left="64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8">
    <w:nsid w:val="520A08D7"/>
    <w:multiLevelType w:val="hybridMultilevel"/>
    <w:tmpl w:val="963C04E8"/>
    <w:lvl w:ilvl="0" w:tplc="B78AAD3E">
      <w:start w:val="1"/>
      <w:numFmt w:val="lowerLetter"/>
      <w:lvlText w:val="%1-"/>
      <w:lvlJc w:val="left"/>
      <w:pPr>
        <w:ind w:left="1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75295A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F5A072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7881AF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416687A">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34084F0">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69848C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3D6797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E827EAA">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9">
    <w:nsid w:val="52E67669"/>
    <w:multiLevelType w:val="hybridMultilevel"/>
    <w:tmpl w:val="C0AE55C4"/>
    <w:lvl w:ilvl="0" w:tplc="CE808A48">
      <w:start w:val="1"/>
      <w:numFmt w:val="lowerLetter"/>
      <w:lvlText w:val="%1"/>
      <w:lvlJc w:val="left"/>
      <w:pPr>
        <w:ind w:left="257"/>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1" w:tplc="56C073D4">
      <w:start w:val="1"/>
      <w:numFmt w:val="bullet"/>
      <w:lvlText w:val="-"/>
      <w:lvlJc w:val="left"/>
      <w:pPr>
        <w:ind w:left="6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96E8782">
      <w:start w:val="1"/>
      <w:numFmt w:val="bullet"/>
      <w:lvlText w:val="▪"/>
      <w:lvlJc w:val="left"/>
      <w:pPr>
        <w:ind w:left="16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10AC20E">
      <w:start w:val="1"/>
      <w:numFmt w:val="bullet"/>
      <w:lvlText w:val="•"/>
      <w:lvlJc w:val="left"/>
      <w:pPr>
        <w:ind w:left="23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C7CF242">
      <w:start w:val="1"/>
      <w:numFmt w:val="bullet"/>
      <w:lvlText w:val="o"/>
      <w:lvlJc w:val="left"/>
      <w:pPr>
        <w:ind w:left="30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9C24264">
      <w:start w:val="1"/>
      <w:numFmt w:val="bullet"/>
      <w:lvlText w:val="▪"/>
      <w:lvlJc w:val="left"/>
      <w:pPr>
        <w:ind w:left="37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620DF08">
      <w:start w:val="1"/>
      <w:numFmt w:val="bullet"/>
      <w:lvlText w:val="•"/>
      <w:lvlJc w:val="left"/>
      <w:pPr>
        <w:ind w:left="45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3E64D34">
      <w:start w:val="1"/>
      <w:numFmt w:val="bullet"/>
      <w:lvlText w:val="o"/>
      <w:lvlJc w:val="left"/>
      <w:pPr>
        <w:ind w:left="5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6222C12">
      <w:start w:val="1"/>
      <w:numFmt w:val="bullet"/>
      <w:lvlText w:val="▪"/>
      <w:lvlJc w:val="left"/>
      <w:pPr>
        <w:ind w:left="59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0">
    <w:nsid w:val="53DB3B11"/>
    <w:multiLevelType w:val="hybridMultilevel"/>
    <w:tmpl w:val="942A9228"/>
    <w:lvl w:ilvl="0" w:tplc="8564E254">
      <w:start w:val="1"/>
      <w:numFmt w:val="bullet"/>
      <w:lvlText w:val="-"/>
      <w:lvlJc w:val="left"/>
      <w:pPr>
        <w:ind w:left="15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AB8BB12">
      <w:start w:val="1"/>
      <w:numFmt w:val="bullet"/>
      <w:lvlText w:val="o"/>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9CC9E98">
      <w:start w:val="1"/>
      <w:numFmt w:val="bullet"/>
      <w:lvlText w:val="▪"/>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64C1CD6">
      <w:start w:val="1"/>
      <w:numFmt w:val="bullet"/>
      <w:lvlText w:val="•"/>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A2A7310">
      <w:start w:val="1"/>
      <w:numFmt w:val="bullet"/>
      <w:lvlText w:val="o"/>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80A001C">
      <w:start w:val="1"/>
      <w:numFmt w:val="bullet"/>
      <w:lvlText w:val="▪"/>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60CF47C">
      <w:start w:val="1"/>
      <w:numFmt w:val="bullet"/>
      <w:lvlText w:val="•"/>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3EE3714">
      <w:start w:val="1"/>
      <w:numFmt w:val="bullet"/>
      <w:lvlText w:val="o"/>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99CE1F0">
      <w:start w:val="1"/>
      <w:numFmt w:val="bullet"/>
      <w:lvlText w:val="▪"/>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1">
    <w:nsid w:val="54C56440"/>
    <w:multiLevelType w:val="hybridMultilevel"/>
    <w:tmpl w:val="49467E48"/>
    <w:lvl w:ilvl="0" w:tplc="23666C58">
      <w:start w:val="1"/>
      <w:numFmt w:val="bullet"/>
      <w:lvlText w:val="-"/>
      <w:lvlJc w:val="left"/>
      <w:pPr>
        <w:ind w:left="1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4BC9636">
      <w:start w:val="1"/>
      <w:numFmt w:val="bullet"/>
      <w:lvlText w:val="o"/>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4EA5170">
      <w:start w:val="1"/>
      <w:numFmt w:val="bullet"/>
      <w:lvlText w:val="▪"/>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34E576E">
      <w:start w:val="1"/>
      <w:numFmt w:val="bullet"/>
      <w:lvlText w:val="•"/>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DD03088">
      <w:start w:val="1"/>
      <w:numFmt w:val="bullet"/>
      <w:lvlText w:val="o"/>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CB2A0BC">
      <w:start w:val="1"/>
      <w:numFmt w:val="bullet"/>
      <w:lvlText w:val="▪"/>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382A7B4">
      <w:start w:val="1"/>
      <w:numFmt w:val="bullet"/>
      <w:lvlText w:val="•"/>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0D85E30">
      <w:start w:val="1"/>
      <w:numFmt w:val="bullet"/>
      <w:lvlText w:val="o"/>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7566A08">
      <w:start w:val="1"/>
      <w:numFmt w:val="bullet"/>
      <w:lvlText w:val="▪"/>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2">
    <w:nsid w:val="552F259F"/>
    <w:multiLevelType w:val="hybridMultilevel"/>
    <w:tmpl w:val="0E7C0700"/>
    <w:lvl w:ilvl="0" w:tplc="F600F2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8678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3207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C0D3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5E20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6A6A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9673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3869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7A01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5C12723"/>
    <w:multiLevelType w:val="hybridMultilevel"/>
    <w:tmpl w:val="36466B4A"/>
    <w:lvl w:ilvl="0" w:tplc="96188F80">
      <w:start w:val="1"/>
      <w:numFmt w:val="bullet"/>
      <w:lvlText w:val="-"/>
      <w:lvlJc w:val="left"/>
      <w:pPr>
        <w:ind w:left="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C28CCF8">
      <w:start w:val="1"/>
      <w:numFmt w:val="bullet"/>
      <w:lvlText w:val="o"/>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1320122">
      <w:start w:val="1"/>
      <w:numFmt w:val="bullet"/>
      <w:lvlText w:val="▪"/>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1E6354C">
      <w:start w:val="1"/>
      <w:numFmt w:val="bullet"/>
      <w:lvlText w:val="•"/>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55EB5BE">
      <w:start w:val="1"/>
      <w:numFmt w:val="bullet"/>
      <w:lvlText w:val="o"/>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CD2688E">
      <w:start w:val="1"/>
      <w:numFmt w:val="bullet"/>
      <w:lvlText w:val="▪"/>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2447378">
      <w:start w:val="1"/>
      <w:numFmt w:val="bullet"/>
      <w:lvlText w:val="•"/>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64A9022">
      <w:start w:val="1"/>
      <w:numFmt w:val="bullet"/>
      <w:lvlText w:val="o"/>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3DE634C">
      <w:start w:val="1"/>
      <w:numFmt w:val="bullet"/>
      <w:lvlText w:val="▪"/>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4">
    <w:nsid w:val="569E3C04"/>
    <w:multiLevelType w:val="hybridMultilevel"/>
    <w:tmpl w:val="66FA240A"/>
    <w:lvl w:ilvl="0" w:tplc="E14EFEC4">
      <w:start w:val="1"/>
      <w:numFmt w:val="decimal"/>
      <w:lvlText w:val="%1."/>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0E71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1C1B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8658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7E1E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FA65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6A12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4A21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239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5AEF4CEE"/>
    <w:multiLevelType w:val="hybridMultilevel"/>
    <w:tmpl w:val="3BA8F376"/>
    <w:lvl w:ilvl="0" w:tplc="B3B489FC">
      <w:start w:val="1"/>
      <w:numFmt w:val="lowerLetter"/>
      <w:lvlText w:val="%1."/>
      <w:lvlJc w:val="left"/>
      <w:pPr>
        <w:ind w:left="321"/>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1" w:tplc="0E9CC7C8">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DEE0E618">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A7027E92">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297E21FA">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6B40AD4">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DD465E7E">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A07EAC06">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906EC80">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36">
    <w:nsid w:val="5B0B075E"/>
    <w:multiLevelType w:val="hybridMultilevel"/>
    <w:tmpl w:val="C3F2B9EE"/>
    <w:lvl w:ilvl="0" w:tplc="88DCFFBC">
      <w:start w:val="1"/>
      <w:numFmt w:val="lowerLetter"/>
      <w:lvlText w:val="%1."/>
      <w:lvlJc w:val="left"/>
      <w:pPr>
        <w:ind w:left="7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tplc="6E90247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2174D63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5210975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087E136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430A2AB0">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3140F1C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ABE880B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5F70C44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37">
    <w:nsid w:val="5DFF4F32"/>
    <w:multiLevelType w:val="hybridMultilevel"/>
    <w:tmpl w:val="F0CEB1EC"/>
    <w:lvl w:ilvl="0" w:tplc="503C84E4">
      <w:start w:val="1"/>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5E5E3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F8700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148B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98F4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98549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7E57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C24A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B6EB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647774F9"/>
    <w:multiLevelType w:val="hybridMultilevel"/>
    <w:tmpl w:val="8F5E9016"/>
    <w:lvl w:ilvl="0" w:tplc="3C10832E">
      <w:start w:val="1"/>
      <w:numFmt w:val="bullet"/>
      <w:lvlText w:val="●"/>
      <w:lvlJc w:val="left"/>
      <w:pPr>
        <w:ind w:left="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FB617A4">
      <w:start w:val="1"/>
      <w:numFmt w:val="bullet"/>
      <w:lvlText w:val="o"/>
      <w:lvlJc w:val="left"/>
      <w:pPr>
        <w:ind w:left="13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D2925C">
      <w:start w:val="1"/>
      <w:numFmt w:val="bullet"/>
      <w:lvlText w:val="▪"/>
      <w:lvlJc w:val="left"/>
      <w:pPr>
        <w:ind w:left="20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445330">
      <w:start w:val="1"/>
      <w:numFmt w:val="bullet"/>
      <w:lvlText w:val="•"/>
      <w:lvlJc w:val="left"/>
      <w:pPr>
        <w:ind w:left="27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061908">
      <w:start w:val="1"/>
      <w:numFmt w:val="bullet"/>
      <w:lvlText w:val="o"/>
      <w:lvlJc w:val="left"/>
      <w:pPr>
        <w:ind w:left="34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4CB810">
      <w:start w:val="1"/>
      <w:numFmt w:val="bullet"/>
      <w:lvlText w:val="▪"/>
      <w:lvlJc w:val="left"/>
      <w:pPr>
        <w:ind w:left="4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646EF4">
      <w:start w:val="1"/>
      <w:numFmt w:val="bullet"/>
      <w:lvlText w:val="•"/>
      <w:lvlJc w:val="left"/>
      <w:pPr>
        <w:ind w:left="4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06169E">
      <w:start w:val="1"/>
      <w:numFmt w:val="bullet"/>
      <w:lvlText w:val="o"/>
      <w:lvlJc w:val="left"/>
      <w:pPr>
        <w:ind w:left="5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CEE8A2">
      <w:start w:val="1"/>
      <w:numFmt w:val="bullet"/>
      <w:lvlText w:val="▪"/>
      <w:lvlJc w:val="left"/>
      <w:pPr>
        <w:ind w:left="6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nsid w:val="66907DCD"/>
    <w:multiLevelType w:val="hybridMultilevel"/>
    <w:tmpl w:val="FEB40C0A"/>
    <w:lvl w:ilvl="0" w:tplc="3050EF86">
      <w:start w:val="2"/>
      <w:numFmt w:val="lowerRoman"/>
      <w:lvlText w:val="(%1)"/>
      <w:lvlJc w:val="left"/>
      <w:pPr>
        <w:ind w:left="42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BA6B56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76E525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978720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508CBEA">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2408776">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CD0874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E166AA0">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7B0151A">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0">
    <w:nsid w:val="669B20E5"/>
    <w:multiLevelType w:val="hybridMultilevel"/>
    <w:tmpl w:val="3AF64A86"/>
    <w:lvl w:ilvl="0" w:tplc="6CFC70EE">
      <w:start w:val="1"/>
      <w:numFmt w:val="decimal"/>
      <w:lvlText w:val="%1."/>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4521B26">
      <w:start w:val="1"/>
      <w:numFmt w:val="lowerLetter"/>
      <w:lvlText w:val="%2"/>
      <w:lvlJc w:val="left"/>
      <w:pPr>
        <w:ind w:left="13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F7A6E26">
      <w:start w:val="1"/>
      <w:numFmt w:val="lowerRoman"/>
      <w:lvlText w:val="%3"/>
      <w:lvlJc w:val="left"/>
      <w:pPr>
        <w:ind w:left="20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D22AEC2">
      <w:start w:val="1"/>
      <w:numFmt w:val="decimal"/>
      <w:lvlText w:val="%4"/>
      <w:lvlJc w:val="left"/>
      <w:pPr>
        <w:ind w:left="27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85CF4CA">
      <w:start w:val="1"/>
      <w:numFmt w:val="lowerLetter"/>
      <w:lvlText w:val="%5"/>
      <w:lvlJc w:val="left"/>
      <w:pPr>
        <w:ind w:left="35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1F2C38C">
      <w:start w:val="1"/>
      <w:numFmt w:val="lowerRoman"/>
      <w:lvlText w:val="%6"/>
      <w:lvlJc w:val="left"/>
      <w:pPr>
        <w:ind w:left="42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44E04F0">
      <w:start w:val="1"/>
      <w:numFmt w:val="decimal"/>
      <w:lvlText w:val="%7"/>
      <w:lvlJc w:val="left"/>
      <w:pPr>
        <w:ind w:left="49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836CC0E">
      <w:start w:val="1"/>
      <w:numFmt w:val="lowerLetter"/>
      <w:lvlText w:val="%8"/>
      <w:lvlJc w:val="left"/>
      <w:pPr>
        <w:ind w:left="56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BEE4068">
      <w:start w:val="1"/>
      <w:numFmt w:val="lowerRoman"/>
      <w:lvlText w:val="%9"/>
      <w:lvlJc w:val="left"/>
      <w:pPr>
        <w:ind w:left="63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1">
    <w:nsid w:val="67BE3BD9"/>
    <w:multiLevelType w:val="hybridMultilevel"/>
    <w:tmpl w:val="7D1AAF5A"/>
    <w:lvl w:ilvl="0" w:tplc="BEEE35EE">
      <w:start w:val="1"/>
      <w:numFmt w:val="lowerRoman"/>
      <w:lvlText w:val="(%1)"/>
      <w:lvlJc w:val="left"/>
      <w:pPr>
        <w:ind w:left="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48BBD0">
      <w:start w:val="1"/>
      <w:numFmt w:val="lowerLetter"/>
      <w:lvlText w:val="%2"/>
      <w:lvlJc w:val="left"/>
      <w:pPr>
        <w:ind w:left="1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DEAF12">
      <w:start w:val="1"/>
      <w:numFmt w:val="lowerRoman"/>
      <w:lvlText w:val="%3"/>
      <w:lvlJc w:val="left"/>
      <w:pPr>
        <w:ind w:left="2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24B282">
      <w:start w:val="1"/>
      <w:numFmt w:val="decimal"/>
      <w:lvlText w:val="%4"/>
      <w:lvlJc w:val="left"/>
      <w:pPr>
        <w:ind w:left="2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4E5CC4">
      <w:start w:val="1"/>
      <w:numFmt w:val="lowerLetter"/>
      <w:lvlText w:val="%5"/>
      <w:lvlJc w:val="left"/>
      <w:pPr>
        <w:ind w:left="3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746A96">
      <w:start w:val="1"/>
      <w:numFmt w:val="lowerRoman"/>
      <w:lvlText w:val="%6"/>
      <w:lvlJc w:val="left"/>
      <w:pPr>
        <w:ind w:left="4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2078DE">
      <w:start w:val="1"/>
      <w:numFmt w:val="decimal"/>
      <w:lvlText w:val="%7"/>
      <w:lvlJc w:val="left"/>
      <w:pPr>
        <w:ind w:left="4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A836E4">
      <w:start w:val="1"/>
      <w:numFmt w:val="lowerLetter"/>
      <w:lvlText w:val="%8"/>
      <w:lvlJc w:val="left"/>
      <w:pPr>
        <w:ind w:left="5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0CE622">
      <w:start w:val="1"/>
      <w:numFmt w:val="lowerRoman"/>
      <w:lvlText w:val="%9"/>
      <w:lvlJc w:val="left"/>
      <w:pPr>
        <w:ind w:left="6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68611D87"/>
    <w:multiLevelType w:val="hybridMultilevel"/>
    <w:tmpl w:val="E422A5E2"/>
    <w:lvl w:ilvl="0" w:tplc="3E827320">
      <w:start w:val="1"/>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80BD7C">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A091E6">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38D1DC">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FEDCA6">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D2C2E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3C732A">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4A9B9E">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08A4B0">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69C2038A"/>
    <w:multiLevelType w:val="hybridMultilevel"/>
    <w:tmpl w:val="0AD6F362"/>
    <w:lvl w:ilvl="0" w:tplc="800019BC">
      <w:start w:val="1"/>
      <w:numFmt w:val="lowerRoman"/>
      <w:lvlText w:val="(%1)"/>
      <w:lvlJc w:val="left"/>
      <w:pPr>
        <w:ind w:left="1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8C6531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5FC55E2">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07612A8">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45060C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478B2F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32AAC1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2544D82">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FE4A65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4">
    <w:nsid w:val="6B1D0FC7"/>
    <w:multiLevelType w:val="hybridMultilevel"/>
    <w:tmpl w:val="D912250C"/>
    <w:lvl w:ilvl="0" w:tplc="BCBE39B8">
      <w:start w:val="1"/>
      <w:numFmt w:val="decimal"/>
      <w:lvlText w:val="(%1)"/>
      <w:lvlJc w:val="left"/>
      <w:pPr>
        <w:ind w:left="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3A204C">
      <w:start w:val="1"/>
      <w:numFmt w:val="lowerLetter"/>
      <w:lvlText w:val="%2"/>
      <w:lvlJc w:val="left"/>
      <w:pPr>
        <w:ind w:left="1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52265E">
      <w:start w:val="1"/>
      <w:numFmt w:val="lowerRoman"/>
      <w:lvlText w:val="%3"/>
      <w:lvlJc w:val="left"/>
      <w:pPr>
        <w:ind w:left="2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7A30E0">
      <w:start w:val="1"/>
      <w:numFmt w:val="decimal"/>
      <w:lvlText w:val="%4"/>
      <w:lvlJc w:val="left"/>
      <w:pPr>
        <w:ind w:left="2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DAB12C">
      <w:start w:val="1"/>
      <w:numFmt w:val="lowerLetter"/>
      <w:lvlText w:val="%5"/>
      <w:lvlJc w:val="left"/>
      <w:pPr>
        <w:ind w:left="3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86E126">
      <w:start w:val="1"/>
      <w:numFmt w:val="lowerRoman"/>
      <w:lvlText w:val="%6"/>
      <w:lvlJc w:val="left"/>
      <w:pPr>
        <w:ind w:left="4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3A4698">
      <w:start w:val="1"/>
      <w:numFmt w:val="decimal"/>
      <w:lvlText w:val="%7"/>
      <w:lvlJc w:val="left"/>
      <w:pPr>
        <w:ind w:left="4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A212CA">
      <w:start w:val="1"/>
      <w:numFmt w:val="lowerLetter"/>
      <w:lvlText w:val="%8"/>
      <w:lvlJc w:val="left"/>
      <w:pPr>
        <w:ind w:left="5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602FAC">
      <w:start w:val="1"/>
      <w:numFmt w:val="lowerRoman"/>
      <w:lvlText w:val="%9"/>
      <w:lvlJc w:val="left"/>
      <w:pPr>
        <w:ind w:left="6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nsid w:val="722B2649"/>
    <w:multiLevelType w:val="hybridMultilevel"/>
    <w:tmpl w:val="D31C77C8"/>
    <w:lvl w:ilvl="0" w:tplc="B5A05BFE">
      <w:start w:val="1"/>
      <w:numFmt w:val="lowerLetter"/>
      <w:lvlText w:val="%1"/>
      <w:lvlJc w:val="left"/>
      <w:pPr>
        <w:ind w:left="24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1" w:tplc="BAAE1562">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9FA6413C">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17CA1CB4">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9CD4F586">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C6880320">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618496DA">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D812E692">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21DC6058">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46">
    <w:nsid w:val="72806DA9"/>
    <w:multiLevelType w:val="hybridMultilevel"/>
    <w:tmpl w:val="7354F908"/>
    <w:lvl w:ilvl="0" w:tplc="7286E4DA">
      <w:start w:val="1"/>
      <w:numFmt w:val="bullet"/>
      <w:lvlText w:val="•"/>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74C115C">
      <w:start w:val="1"/>
      <w:numFmt w:val="bullet"/>
      <w:lvlText w:val="o"/>
      <w:lvlJc w:val="left"/>
      <w:pPr>
        <w:ind w:left="14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92AF3BA">
      <w:start w:val="1"/>
      <w:numFmt w:val="bullet"/>
      <w:lvlText w:val="▪"/>
      <w:lvlJc w:val="left"/>
      <w:pPr>
        <w:ind w:left="21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86C086E">
      <w:start w:val="1"/>
      <w:numFmt w:val="bullet"/>
      <w:lvlText w:val="•"/>
      <w:lvlJc w:val="left"/>
      <w:pPr>
        <w:ind w:left="28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A126C8E">
      <w:start w:val="1"/>
      <w:numFmt w:val="bullet"/>
      <w:lvlText w:val="o"/>
      <w:lvlJc w:val="left"/>
      <w:pPr>
        <w:ind w:left="35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504A05A">
      <w:start w:val="1"/>
      <w:numFmt w:val="bullet"/>
      <w:lvlText w:val="▪"/>
      <w:lvlJc w:val="left"/>
      <w:pPr>
        <w:ind w:left="42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4D82CD4">
      <w:start w:val="1"/>
      <w:numFmt w:val="bullet"/>
      <w:lvlText w:val="•"/>
      <w:lvlJc w:val="left"/>
      <w:pPr>
        <w:ind w:left="50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61E645C">
      <w:start w:val="1"/>
      <w:numFmt w:val="bullet"/>
      <w:lvlText w:val="o"/>
      <w:lvlJc w:val="left"/>
      <w:pPr>
        <w:ind w:left="57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DD87BAC">
      <w:start w:val="1"/>
      <w:numFmt w:val="bullet"/>
      <w:lvlText w:val="▪"/>
      <w:lvlJc w:val="left"/>
      <w:pPr>
        <w:ind w:left="64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7">
    <w:nsid w:val="730E3F62"/>
    <w:multiLevelType w:val="hybridMultilevel"/>
    <w:tmpl w:val="90D0F83C"/>
    <w:lvl w:ilvl="0" w:tplc="A6AED324">
      <w:start w:val="1"/>
      <w:numFmt w:val="bullet"/>
      <w:lvlText w:val="-"/>
      <w:lvlJc w:val="left"/>
      <w:pPr>
        <w:ind w:left="1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18A8C30">
      <w:start w:val="1"/>
      <w:numFmt w:val="bullet"/>
      <w:lvlText w:val="o"/>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1EAA348">
      <w:start w:val="1"/>
      <w:numFmt w:val="bullet"/>
      <w:lvlText w:val="▪"/>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6628A1E">
      <w:start w:val="1"/>
      <w:numFmt w:val="bullet"/>
      <w:lvlText w:val="•"/>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2AED72E">
      <w:start w:val="1"/>
      <w:numFmt w:val="bullet"/>
      <w:lvlText w:val="o"/>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DB6DCE0">
      <w:start w:val="1"/>
      <w:numFmt w:val="bullet"/>
      <w:lvlText w:val="▪"/>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08434B4">
      <w:start w:val="1"/>
      <w:numFmt w:val="bullet"/>
      <w:lvlText w:val="•"/>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77E369A">
      <w:start w:val="1"/>
      <w:numFmt w:val="bullet"/>
      <w:lvlText w:val="o"/>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CBA1C2E">
      <w:start w:val="1"/>
      <w:numFmt w:val="bullet"/>
      <w:lvlText w:val="▪"/>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8">
    <w:nsid w:val="775A77BC"/>
    <w:multiLevelType w:val="hybridMultilevel"/>
    <w:tmpl w:val="537E6D58"/>
    <w:lvl w:ilvl="0" w:tplc="4656D716">
      <w:start w:val="1"/>
      <w:numFmt w:val="bullet"/>
      <w:lvlText w:val="•"/>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670C5CA">
      <w:start w:val="1"/>
      <w:numFmt w:val="bullet"/>
      <w:lvlText w:val="o"/>
      <w:lvlJc w:val="left"/>
      <w:pPr>
        <w:ind w:left="14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76AB9AE">
      <w:start w:val="1"/>
      <w:numFmt w:val="bullet"/>
      <w:lvlText w:val="▪"/>
      <w:lvlJc w:val="left"/>
      <w:pPr>
        <w:ind w:left="21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A7E4ECC">
      <w:start w:val="1"/>
      <w:numFmt w:val="bullet"/>
      <w:lvlText w:val="•"/>
      <w:lvlJc w:val="left"/>
      <w:pPr>
        <w:ind w:left="28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CAAC088">
      <w:start w:val="1"/>
      <w:numFmt w:val="bullet"/>
      <w:lvlText w:val="o"/>
      <w:lvlJc w:val="left"/>
      <w:pPr>
        <w:ind w:left="35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52EE820">
      <w:start w:val="1"/>
      <w:numFmt w:val="bullet"/>
      <w:lvlText w:val="▪"/>
      <w:lvlJc w:val="left"/>
      <w:pPr>
        <w:ind w:left="42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B78EFEC">
      <w:start w:val="1"/>
      <w:numFmt w:val="bullet"/>
      <w:lvlText w:val="•"/>
      <w:lvlJc w:val="left"/>
      <w:pPr>
        <w:ind w:left="50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53C5CC2">
      <w:start w:val="1"/>
      <w:numFmt w:val="bullet"/>
      <w:lvlText w:val="o"/>
      <w:lvlJc w:val="left"/>
      <w:pPr>
        <w:ind w:left="57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44AE294">
      <w:start w:val="1"/>
      <w:numFmt w:val="bullet"/>
      <w:lvlText w:val="▪"/>
      <w:lvlJc w:val="left"/>
      <w:pPr>
        <w:ind w:left="64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9">
    <w:nsid w:val="79AC7B44"/>
    <w:multiLevelType w:val="hybridMultilevel"/>
    <w:tmpl w:val="81D40226"/>
    <w:lvl w:ilvl="0" w:tplc="CD4C9B68">
      <w:start w:val="1"/>
      <w:numFmt w:val="lowerRoman"/>
      <w:lvlText w:val="(%1)"/>
      <w:lvlJc w:val="left"/>
      <w:pPr>
        <w:ind w:left="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66E0A5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D54E05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A948EC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4421CB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4CC81AB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6F8BA5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4A6194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5C4E97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0">
    <w:nsid w:val="7AE57D6A"/>
    <w:multiLevelType w:val="hybridMultilevel"/>
    <w:tmpl w:val="51A6C6F4"/>
    <w:lvl w:ilvl="0" w:tplc="2C58990E">
      <w:start w:val="1"/>
      <w:numFmt w:val="lowerRoman"/>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626F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3A34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8A7A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0AE4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3E4A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E4E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6AA9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D618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7CC3148E"/>
    <w:multiLevelType w:val="hybridMultilevel"/>
    <w:tmpl w:val="9C4E0C8C"/>
    <w:lvl w:ilvl="0" w:tplc="9C18CE7A">
      <w:start w:val="1"/>
      <w:numFmt w:val="bullet"/>
      <w:lvlText w:val="•"/>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8FA9BAE">
      <w:start w:val="1"/>
      <w:numFmt w:val="bullet"/>
      <w:lvlText w:val="o"/>
      <w:lvlJc w:val="left"/>
      <w:pPr>
        <w:ind w:left="14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3642B70">
      <w:start w:val="1"/>
      <w:numFmt w:val="bullet"/>
      <w:lvlText w:val="▪"/>
      <w:lvlJc w:val="left"/>
      <w:pPr>
        <w:ind w:left="21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A6C3530">
      <w:start w:val="1"/>
      <w:numFmt w:val="bullet"/>
      <w:lvlText w:val="•"/>
      <w:lvlJc w:val="left"/>
      <w:pPr>
        <w:ind w:left="28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AF262F2">
      <w:start w:val="1"/>
      <w:numFmt w:val="bullet"/>
      <w:lvlText w:val="o"/>
      <w:lvlJc w:val="left"/>
      <w:pPr>
        <w:ind w:left="35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41E30F4">
      <w:start w:val="1"/>
      <w:numFmt w:val="bullet"/>
      <w:lvlText w:val="▪"/>
      <w:lvlJc w:val="left"/>
      <w:pPr>
        <w:ind w:left="42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38C73E6">
      <w:start w:val="1"/>
      <w:numFmt w:val="bullet"/>
      <w:lvlText w:val="•"/>
      <w:lvlJc w:val="left"/>
      <w:pPr>
        <w:ind w:left="50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07E7756">
      <w:start w:val="1"/>
      <w:numFmt w:val="bullet"/>
      <w:lvlText w:val="o"/>
      <w:lvlJc w:val="left"/>
      <w:pPr>
        <w:ind w:left="57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454058A">
      <w:start w:val="1"/>
      <w:numFmt w:val="bullet"/>
      <w:lvlText w:val="▪"/>
      <w:lvlJc w:val="left"/>
      <w:pPr>
        <w:ind w:left="64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2">
    <w:nsid w:val="7DDC3266"/>
    <w:multiLevelType w:val="hybridMultilevel"/>
    <w:tmpl w:val="5FFA9356"/>
    <w:lvl w:ilvl="0" w:tplc="D43209AC">
      <w:start w:val="1"/>
      <w:numFmt w:val="lowerLetter"/>
      <w:lvlText w:val="%1)"/>
      <w:lvlJc w:val="left"/>
      <w:pPr>
        <w:ind w:left="1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21AD318">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77489E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DB6A0AE">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F2E0EB4">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DCA520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944F4B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76856F0">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792973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abstractNumId w:val="34"/>
  </w:num>
  <w:num w:numId="2">
    <w:abstractNumId w:val="5"/>
  </w:num>
  <w:num w:numId="3">
    <w:abstractNumId w:val="32"/>
  </w:num>
  <w:num w:numId="4">
    <w:abstractNumId w:val="50"/>
  </w:num>
  <w:num w:numId="5">
    <w:abstractNumId w:val="24"/>
  </w:num>
  <w:num w:numId="6">
    <w:abstractNumId w:val="37"/>
  </w:num>
  <w:num w:numId="7">
    <w:abstractNumId w:val="36"/>
  </w:num>
  <w:num w:numId="8">
    <w:abstractNumId w:val="22"/>
  </w:num>
  <w:num w:numId="9">
    <w:abstractNumId w:val="42"/>
  </w:num>
  <w:num w:numId="10">
    <w:abstractNumId w:val="30"/>
  </w:num>
  <w:num w:numId="11">
    <w:abstractNumId w:val="18"/>
  </w:num>
  <w:num w:numId="12">
    <w:abstractNumId w:val="29"/>
  </w:num>
  <w:num w:numId="13">
    <w:abstractNumId w:val="9"/>
  </w:num>
  <w:num w:numId="14">
    <w:abstractNumId w:val="16"/>
  </w:num>
  <w:num w:numId="15">
    <w:abstractNumId w:val="25"/>
  </w:num>
  <w:num w:numId="16">
    <w:abstractNumId w:val="10"/>
  </w:num>
  <w:num w:numId="17">
    <w:abstractNumId w:val="8"/>
  </w:num>
  <w:num w:numId="18">
    <w:abstractNumId w:val="23"/>
  </w:num>
  <w:num w:numId="19">
    <w:abstractNumId w:val="46"/>
  </w:num>
  <w:num w:numId="20">
    <w:abstractNumId w:val="43"/>
  </w:num>
  <w:num w:numId="21">
    <w:abstractNumId w:val="2"/>
  </w:num>
  <w:num w:numId="22">
    <w:abstractNumId w:val="47"/>
  </w:num>
  <w:num w:numId="23">
    <w:abstractNumId w:val="19"/>
  </w:num>
  <w:num w:numId="24">
    <w:abstractNumId w:val="15"/>
  </w:num>
  <w:num w:numId="25">
    <w:abstractNumId w:val="52"/>
  </w:num>
  <w:num w:numId="26">
    <w:abstractNumId w:val="20"/>
  </w:num>
  <w:num w:numId="27">
    <w:abstractNumId w:val="28"/>
  </w:num>
  <w:num w:numId="28">
    <w:abstractNumId w:val="31"/>
  </w:num>
  <w:num w:numId="29">
    <w:abstractNumId w:val="4"/>
  </w:num>
  <w:num w:numId="30">
    <w:abstractNumId w:val="40"/>
  </w:num>
  <w:num w:numId="31">
    <w:abstractNumId w:val="7"/>
  </w:num>
  <w:num w:numId="32">
    <w:abstractNumId w:val="1"/>
  </w:num>
  <w:num w:numId="33">
    <w:abstractNumId w:val="21"/>
  </w:num>
  <w:num w:numId="34">
    <w:abstractNumId w:val="35"/>
  </w:num>
  <w:num w:numId="35">
    <w:abstractNumId w:val="33"/>
  </w:num>
  <w:num w:numId="36">
    <w:abstractNumId w:val="45"/>
  </w:num>
  <w:num w:numId="37">
    <w:abstractNumId w:val="27"/>
  </w:num>
  <w:num w:numId="38">
    <w:abstractNumId w:val="12"/>
  </w:num>
  <w:num w:numId="39">
    <w:abstractNumId w:val="17"/>
  </w:num>
  <w:num w:numId="40">
    <w:abstractNumId w:val="0"/>
  </w:num>
  <w:num w:numId="41">
    <w:abstractNumId w:val="26"/>
  </w:num>
  <w:num w:numId="42">
    <w:abstractNumId w:val="6"/>
  </w:num>
  <w:num w:numId="43">
    <w:abstractNumId w:val="39"/>
  </w:num>
  <w:num w:numId="44">
    <w:abstractNumId w:val="49"/>
  </w:num>
  <w:num w:numId="45">
    <w:abstractNumId w:val="3"/>
  </w:num>
  <w:num w:numId="46">
    <w:abstractNumId w:val="51"/>
  </w:num>
  <w:num w:numId="47">
    <w:abstractNumId w:val="48"/>
  </w:num>
  <w:num w:numId="48">
    <w:abstractNumId w:val="44"/>
  </w:num>
  <w:num w:numId="49">
    <w:abstractNumId w:val="14"/>
  </w:num>
  <w:num w:numId="50">
    <w:abstractNumId w:val="38"/>
  </w:num>
  <w:num w:numId="51">
    <w:abstractNumId w:val="13"/>
  </w:num>
  <w:num w:numId="52">
    <w:abstractNumId w:val="41"/>
  </w:num>
  <w:num w:numId="53">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3F6"/>
    <w:rsid w:val="002E5BC4"/>
    <w:rsid w:val="003742A7"/>
    <w:rsid w:val="00EE1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697D8A-D69C-42C6-A197-A3ABB93DC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65"/>
      <w:ind w:left="494" w:hanging="494"/>
      <w:outlineLvl w:val="0"/>
    </w:pPr>
    <w:rPr>
      <w:rFonts w:ascii="Cambria" w:eastAsia="Cambria" w:hAnsi="Cambria" w:cs="Cambria"/>
      <w:b/>
      <w:color w:val="000000"/>
      <w:sz w:val="29"/>
    </w:rPr>
  </w:style>
  <w:style w:type="paragraph" w:styleId="Heading2">
    <w:name w:val="heading 2"/>
    <w:next w:val="Normal"/>
    <w:link w:val="Heading2Char"/>
    <w:uiPriority w:val="9"/>
    <w:unhideWhenUsed/>
    <w:qFormat/>
    <w:pPr>
      <w:keepNext/>
      <w:keepLines/>
      <w:spacing w:after="264" w:line="253" w:lineRule="auto"/>
      <w:ind w:left="10" w:hanging="10"/>
      <w:outlineLvl w:val="1"/>
    </w:pPr>
    <w:rPr>
      <w:rFonts w:ascii="Cambria" w:eastAsia="Cambria" w:hAnsi="Cambria" w:cs="Cambria"/>
      <w:b/>
      <w:color w:val="000000"/>
      <w:sz w:val="24"/>
    </w:rPr>
  </w:style>
  <w:style w:type="paragraph" w:styleId="Heading3">
    <w:name w:val="heading 3"/>
    <w:next w:val="Normal"/>
    <w:link w:val="Heading3Char"/>
    <w:uiPriority w:val="9"/>
    <w:unhideWhenUsed/>
    <w:qFormat/>
    <w:pPr>
      <w:keepNext/>
      <w:keepLines/>
      <w:spacing w:after="109" w:line="265"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09" w:line="265" w:lineRule="auto"/>
      <w:ind w:left="10"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4"/>
    </w:rPr>
  </w:style>
  <w:style w:type="character" w:customStyle="1" w:styleId="Heading1Char">
    <w:name w:val="Heading 1 Char"/>
    <w:link w:val="Heading1"/>
    <w:rPr>
      <w:rFonts w:ascii="Cambria" w:eastAsia="Cambria" w:hAnsi="Cambria" w:cs="Cambria"/>
      <w:b/>
      <w:color w:val="000000"/>
      <w:sz w:val="29"/>
    </w:rPr>
  </w:style>
  <w:style w:type="paragraph" w:customStyle="1" w:styleId="footnotedescription">
    <w:name w:val="footnote description"/>
    <w:next w:val="Normal"/>
    <w:link w:val="footnotedescriptionChar"/>
    <w:hidden/>
    <w:pPr>
      <w:spacing w:after="0"/>
    </w:pPr>
    <w:rPr>
      <w:rFonts w:ascii="Cambria" w:eastAsia="Cambria" w:hAnsi="Cambria" w:cs="Cambria"/>
      <w:color w:val="000000"/>
      <w:sz w:val="18"/>
    </w:rPr>
  </w:style>
  <w:style w:type="character" w:customStyle="1" w:styleId="footnotedescriptionChar">
    <w:name w:val="footnote description Char"/>
    <w:link w:val="footnotedescription"/>
    <w:rPr>
      <w:rFonts w:ascii="Cambria" w:eastAsia="Cambria" w:hAnsi="Cambria" w:cs="Cambria"/>
      <w:color w:val="000000"/>
      <w:sz w:val="18"/>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footnotemark">
    <w:name w:val="footnote mark"/>
    <w:hidden/>
    <w:rPr>
      <w:rFonts w:ascii="Cambria" w:eastAsia="Cambria" w:hAnsi="Cambria" w:cs="Cambria"/>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3742A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742A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footer" Target="footer14.xml"/><Relationship Id="rId21" Type="http://schemas.openxmlformats.org/officeDocument/2006/relationships/image" Target="media/image3.png"/><Relationship Id="rId63" Type="http://schemas.openxmlformats.org/officeDocument/2006/relationships/image" Target="media/image45.png"/><Relationship Id="rId159" Type="http://schemas.openxmlformats.org/officeDocument/2006/relationships/image" Target="media/image141.png"/><Relationship Id="rId170" Type="http://schemas.openxmlformats.org/officeDocument/2006/relationships/image" Target="media/image152.png"/><Relationship Id="rId226" Type="http://schemas.openxmlformats.org/officeDocument/2006/relationships/image" Target="media/image208.png"/><Relationship Id="rId268" Type="http://schemas.openxmlformats.org/officeDocument/2006/relationships/hyperlink" Target="http://www.tandfonline.com/loi/raec20" TargetMode="External"/><Relationship Id="rId32" Type="http://schemas.openxmlformats.org/officeDocument/2006/relationships/image" Target="media/image14.png"/><Relationship Id="rId74" Type="http://schemas.openxmlformats.org/officeDocument/2006/relationships/image" Target="media/image56.png"/><Relationship Id="rId128" Type="http://schemas.openxmlformats.org/officeDocument/2006/relationships/image" Target="media/image110.png"/><Relationship Id="rId5" Type="http://schemas.openxmlformats.org/officeDocument/2006/relationships/footnotes" Target="footnotes.xml"/><Relationship Id="rId181" Type="http://schemas.openxmlformats.org/officeDocument/2006/relationships/image" Target="media/image163.png"/><Relationship Id="rId237" Type="http://schemas.openxmlformats.org/officeDocument/2006/relationships/image" Target="media/image219.png"/><Relationship Id="rId279" Type="http://schemas.openxmlformats.org/officeDocument/2006/relationships/image" Target="media/image248.png"/><Relationship Id="rId43" Type="http://schemas.openxmlformats.org/officeDocument/2006/relationships/image" Target="media/image25.png"/><Relationship Id="rId139" Type="http://schemas.openxmlformats.org/officeDocument/2006/relationships/image" Target="media/image121.png"/><Relationship Id="rId290" Type="http://schemas.openxmlformats.org/officeDocument/2006/relationships/footer" Target="footer10.xml"/><Relationship Id="rId304" Type="http://schemas.openxmlformats.org/officeDocument/2006/relationships/image" Target="media/image258.png"/><Relationship Id="rId85" Type="http://schemas.openxmlformats.org/officeDocument/2006/relationships/image" Target="media/image67.png"/><Relationship Id="rId150" Type="http://schemas.openxmlformats.org/officeDocument/2006/relationships/image" Target="media/image132.png"/><Relationship Id="rId192" Type="http://schemas.openxmlformats.org/officeDocument/2006/relationships/image" Target="media/image174.png"/><Relationship Id="rId206" Type="http://schemas.openxmlformats.org/officeDocument/2006/relationships/image" Target="media/image188.png"/><Relationship Id="rId248" Type="http://schemas.openxmlformats.org/officeDocument/2006/relationships/image" Target="media/image230.png"/><Relationship Id="rId12" Type="http://schemas.openxmlformats.org/officeDocument/2006/relationships/footer" Target="footer3.xml"/><Relationship Id="rId108" Type="http://schemas.openxmlformats.org/officeDocument/2006/relationships/image" Target="media/image90.png"/><Relationship Id="rId54" Type="http://schemas.openxmlformats.org/officeDocument/2006/relationships/image" Target="media/image36.png"/><Relationship Id="rId96" Type="http://schemas.openxmlformats.org/officeDocument/2006/relationships/image" Target="media/image78.png"/><Relationship Id="rId161" Type="http://schemas.openxmlformats.org/officeDocument/2006/relationships/image" Target="media/image143.png"/><Relationship Id="rId217" Type="http://schemas.openxmlformats.org/officeDocument/2006/relationships/image" Target="media/image199.png"/><Relationship Id="rId259" Type="http://schemas.openxmlformats.org/officeDocument/2006/relationships/footer" Target="footer8.xml"/><Relationship Id="rId23" Type="http://schemas.openxmlformats.org/officeDocument/2006/relationships/image" Target="media/image5.png"/><Relationship Id="rId119" Type="http://schemas.openxmlformats.org/officeDocument/2006/relationships/image" Target="media/image101.png"/><Relationship Id="rId270" Type="http://schemas.openxmlformats.org/officeDocument/2006/relationships/image" Target="media/image242.pn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54.png"/><Relationship Id="rId193" Type="http://schemas.openxmlformats.org/officeDocument/2006/relationships/image" Target="media/image175.png"/><Relationship Id="rId207" Type="http://schemas.openxmlformats.org/officeDocument/2006/relationships/image" Target="media/image189.png"/><Relationship Id="rId228" Type="http://schemas.openxmlformats.org/officeDocument/2006/relationships/image" Target="media/image210.png"/><Relationship Id="rId249" Type="http://schemas.openxmlformats.org/officeDocument/2006/relationships/image" Target="media/image231.png"/><Relationship Id="rId13" Type="http://schemas.openxmlformats.org/officeDocument/2006/relationships/header" Target="header4.xml"/><Relationship Id="rId109" Type="http://schemas.openxmlformats.org/officeDocument/2006/relationships/image" Target="media/image91.png"/><Relationship Id="rId260" Type="http://schemas.openxmlformats.org/officeDocument/2006/relationships/header" Target="header9.xml"/><Relationship Id="rId281" Type="http://schemas.openxmlformats.org/officeDocument/2006/relationships/hyperlink" Target="http://www.tandfonline.com/action/authorSubmission?journalCode=raec20&amp;show=instructions" TargetMode="External"/><Relationship Id="rId34" Type="http://schemas.openxmlformats.org/officeDocument/2006/relationships/image" Target="media/image16.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header" Target="header1.xml"/><Relationship Id="rId162" Type="http://schemas.openxmlformats.org/officeDocument/2006/relationships/image" Target="media/image144.png"/><Relationship Id="rId183" Type="http://schemas.openxmlformats.org/officeDocument/2006/relationships/image" Target="media/image165.png"/><Relationship Id="rId218" Type="http://schemas.openxmlformats.org/officeDocument/2006/relationships/image" Target="media/image200.png"/><Relationship Id="rId239" Type="http://schemas.openxmlformats.org/officeDocument/2006/relationships/image" Target="media/image221.png"/><Relationship Id="rId250" Type="http://schemas.openxmlformats.org/officeDocument/2006/relationships/image" Target="media/image232.png"/><Relationship Id="rId271" Type="http://schemas.openxmlformats.org/officeDocument/2006/relationships/image" Target="media/image243.png"/><Relationship Id="rId292" Type="http://schemas.openxmlformats.org/officeDocument/2006/relationships/header" Target="header12.xml"/><Relationship Id="rId306" Type="http://schemas.openxmlformats.org/officeDocument/2006/relationships/header" Target="header17.xml"/><Relationship Id="rId24" Type="http://schemas.openxmlformats.org/officeDocument/2006/relationships/image" Target="media/image6.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image" Target="media/image113.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6.png"/><Relationship Id="rId208" Type="http://schemas.openxmlformats.org/officeDocument/2006/relationships/image" Target="media/image190.png"/><Relationship Id="rId229" Type="http://schemas.openxmlformats.org/officeDocument/2006/relationships/image" Target="media/image211.png"/><Relationship Id="rId240" Type="http://schemas.openxmlformats.org/officeDocument/2006/relationships/image" Target="media/image222.png"/><Relationship Id="rId261" Type="http://schemas.openxmlformats.org/officeDocument/2006/relationships/footer" Target="footer9.xml"/><Relationship Id="rId14" Type="http://schemas.openxmlformats.org/officeDocument/2006/relationships/header" Target="header5.xm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image" Target="media/image250.png"/><Relationship Id="rId8" Type="http://schemas.openxmlformats.org/officeDocument/2006/relationships/header" Target="header2.xml"/><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219" Type="http://schemas.openxmlformats.org/officeDocument/2006/relationships/image" Target="media/image201.png"/><Relationship Id="rId230" Type="http://schemas.openxmlformats.org/officeDocument/2006/relationships/image" Target="media/image212.png"/><Relationship Id="rId251" Type="http://schemas.openxmlformats.org/officeDocument/2006/relationships/image" Target="media/image233.png"/><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272" Type="http://schemas.openxmlformats.org/officeDocument/2006/relationships/hyperlink" Target="http://www.tandfonline.com/action/authorSubmission?journalCode=raec20&amp;show=instructions" TargetMode="External"/><Relationship Id="rId293" Type="http://schemas.openxmlformats.org/officeDocument/2006/relationships/footer" Target="footer12.xml"/><Relationship Id="rId307" Type="http://schemas.openxmlformats.org/officeDocument/2006/relationships/footer" Target="footer16.xml"/><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95" Type="http://schemas.openxmlformats.org/officeDocument/2006/relationships/image" Target="media/image177.png"/><Relationship Id="rId209" Type="http://schemas.openxmlformats.org/officeDocument/2006/relationships/image" Target="media/image191.png"/><Relationship Id="rId220" Type="http://schemas.openxmlformats.org/officeDocument/2006/relationships/image" Target="media/image202.png"/><Relationship Id="rId241" Type="http://schemas.openxmlformats.org/officeDocument/2006/relationships/image" Target="media/image223.png"/><Relationship Id="rId15" Type="http://schemas.openxmlformats.org/officeDocument/2006/relationships/footer" Target="footer4.xml"/><Relationship Id="rId36" Type="http://schemas.openxmlformats.org/officeDocument/2006/relationships/image" Target="media/image18.png"/><Relationship Id="rId57" Type="http://schemas.openxmlformats.org/officeDocument/2006/relationships/image" Target="media/image39.png"/><Relationship Id="rId262" Type="http://schemas.openxmlformats.org/officeDocument/2006/relationships/image" Target="media/image238.jpg"/><Relationship Id="rId283" Type="http://schemas.openxmlformats.org/officeDocument/2006/relationships/image" Target="media/image251.png"/><Relationship Id="rId78" Type="http://schemas.openxmlformats.org/officeDocument/2006/relationships/image" Target="media/image60.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64" Type="http://schemas.openxmlformats.org/officeDocument/2006/relationships/image" Target="media/image146.png"/><Relationship Id="rId185" Type="http://schemas.openxmlformats.org/officeDocument/2006/relationships/image" Target="media/image167.png"/><Relationship Id="rId9" Type="http://schemas.openxmlformats.org/officeDocument/2006/relationships/footer" Target="footer1.xml"/><Relationship Id="rId210" Type="http://schemas.openxmlformats.org/officeDocument/2006/relationships/image" Target="media/image192.png"/><Relationship Id="rId26" Type="http://schemas.openxmlformats.org/officeDocument/2006/relationships/image" Target="media/image8.png"/><Relationship Id="rId231" Type="http://schemas.openxmlformats.org/officeDocument/2006/relationships/image" Target="media/image213.png"/><Relationship Id="rId252" Type="http://schemas.openxmlformats.org/officeDocument/2006/relationships/image" Target="media/image234.png"/><Relationship Id="rId273" Type="http://schemas.openxmlformats.org/officeDocument/2006/relationships/image" Target="media/image244.png"/><Relationship Id="rId294" Type="http://schemas.openxmlformats.org/officeDocument/2006/relationships/image" Target="media/image254.png"/><Relationship Id="rId308" Type="http://schemas.openxmlformats.org/officeDocument/2006/relationships/footer" Target="footer17.xml"/><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footer" Target="footer5.xml"/><Relationship Id="rId221" Type="http://schemas.openxmlformats.org/officeDocument/2006/relationships/image" Target="media/image203.png"/><Relationship Id="rId242" Type="http://schemas.openxmlformats.org/officeDocument/2006/relationships/image" Target="media/image224.png"/><Relationship Id="rId263" Type="http://schemas.openxmlformats.org/officeDocument/2006/relationships/hyperlink" Target="http://www.tandfonline.com/loi/raec20" TargetMode="External"/><Relationship Id="rId284" Type="http://schemas.openxmlformats.org/officeDocument/2006/relationships/image" Target="media/image252.png"/><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image" Target="media/image193.png"/><Relationship Id="rId232" Type="http://schemas.openxmlformats.org/officeDocument/2006/relationships/image" Target="media/image214.png"/><Relationship Id="rId253" Type="http://schemas.openxmlformats.org/officeDocument/2006/relationships/image" Target="media/image235.png"/><Relationship Id="rId274" Type="http://schemas.openxmlformats.org/officeDocument/2006/relationships/image" Target="media/image245.png"/><Relationship Id="rId295" Type="http://schemas.openxmlformats.org/officeDocument/2006/relationships/image" Target="media/image255.png"/><Relationship Id="rId309" Type="http://schemas.openxmlformats.org/officeDocument/2006/relationships/header" Target="header18.xml"/><Relationship Id="rId27" Type="http://schemas.openxmlformats.org/officeDocument/2006/relationships/image" Target="media/image9.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jpg"/><Relationship Id="rId80" Type="http://schemas.openxmlformats.org/officeDocument/2006/relationships/image" Target="media/image62.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201" Type="http://schemas.openxmlformats.org/officeDocument/2006/relationships/image" Target="media/image183.png"/><Relationship Id="rId222" Type="http://schemas.openxmlformats.org/officeDocument/2006/relationships/image" Target="media/image204.png"/><Relationship Id="rId243" Type="http://schemas.openxmlformats.org/officeDocument/2006/relationships/image" Target="media/image225.png"/><Relationship Id="rId264" Type="http://schemas.openxmlformats.org/officeDocument/2006/relationships/hyperlink" Target="http://www.tandfonline.com/loi/raec20" TargetMode="External"/><Relationship Id="rId285" Type="http://schemas.openxmlformats.org/officeDocument/2006/relationships/hyperlink" Target="http://www.tandfonline.com/doi/mlt/10.1080/00036846.2017.1363864" TargetMode="External"/><Relationship Id="rId17" Type="http://schemas.openxmlformats.org/officeDocument/2006/relationships/header" Target="header6.xm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310" Type="http://schemas.openxmlformats.org/officeDocument/2006/relationships/footer" Target="footer18.xml"/><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1" Type="http://schemas.openxmlformats.org/officeDocument/2006/relationships/numbering" Target="numbering.xml"/><Relationship Id="rId212" Type="http://schemas.openxmlformats.org/officeDocument/2006/relationships/image" Target="media/image194.png"/><Relationship Id="rId233" Type="http://schemas.openxmlformats.org/officeDocument/2006/relationships/image" Target="media/image215.png"/><Relationship Id="rId254" Type="http://schemas.openxmlformats.org/officeDocument/2006/relationships/image" Target="media/image236.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6.png"/><Relationship Id="rId275" Type="http://schemas.openxmlformats.org/officeDocument/2006/relationships/image" Target="media/image246.png"/><Relationship Id="rId296" Type="http://schemas.openxmlformats.org/officeDocument/2006/relationships/header" Target="header13.xml"/><Relationship Id="rId300" Type="http://schemas.openxmlformats.org/officeDocument/2006/relationships/header" Target="header15.xml"/><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202" Type="http://schemas.openxmlformats.org/officeDocument/2006/relationships/image" Target="media/image184.png"/><Relationship Id="rId223" Type="http://schemas.openxmlformats.org/officeDocument/2006/relationships/image" Target="media/image205.png"/><Relationship Id="rId244" Type="http://schemas.openxmlformats.org/officeDocument/2006/relationships/image" Target="media/image226.png"/><Relationship Id="rId18" Type="http://schemas.openxmlformats.org/officeDocument/2006/relationships/footer" Target="footer6.xml"/><Relationship Id="rId39" Type="http://schemas.openxmlformats.org/officeDocument/2006/relationships/image" Target="media/image21.png"/><Relationship Id="rId265" Type="http://schemas.openxmlformats.org/officeDocument/2006/relationships/image" Target="media/image239.jpg"/><Relationship Id="rId286" Type="http://schemas.openxmlformats.org/officeDocument/2006/relationships/image" Target="media/image253.png"/><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311" Type="http://schemas.openxmlformats.org/officeDocument/2006/relationships/fontTable" Target="fontTable.xml"/><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95.png"/><Relationship Id="rId234" Type="http://schemas.openxmlformats.org/officeDocument/2006/relationships/image" Target="media/image216.png"/><Relationship Id="rId2" Type="http://schemas.openxmlformats.org/officeDocument/2006/relationships/styles" Target="styles.xml"/><Relationship Id="rId29" Type="http://schemas.openxmlformats.org/officeDocument/2006/relationships/image" Target="media/image11.png"/><Relationship Id="rId255" Type="http://schemas.openxmlformats.org/officeDocument/2006/relationships/image" Target="media/image237.png"/><Relationship Id="rId276" Type="http://schemas.openxmlformats.org/officeDocument/2006/relationships/hyperlink" Target="http://www.tandfonline.com/doi/mlt/10.1080/00036846.2017.1363864" TargetMode="External"/><Relationship Id="rId297" Type="http://schemas.openxmlformats.org/officeDocument/2006/relationships/header" Target="header14.xml"/><Relationship Id="rId40" Type="http://schemas.openxmlformats.org/officeDocument/2006/relationships/image" Target="media/image22.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301" Type="http://schemas.openxmlformats.org/officeDocument/2006/relationships/footer" Target="footer15.xml"/><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81.png"/><Relationship Id="rId203" Type="http://schemas.openxmlformats.org/officeDocument/2006/relationships/image" Target="media/image185.png"/><Relationship Id="rId19" Type="http://schemas.openxmlformats.org/officeDocument/2006/relationships/image" Target="media/image1.png"/><Relationship Id="rId224" Type="http://schemas.openxmlformats.org/officeDocument/2006/relationships/image" Target="media/image206.png"/><Relationship Id="rId245" Type="http://schemas.openxmlformats.org/officeDocument/2006/relationships/image" Target="media/image227.png"/><Relationship Id="rId266" Type="http://schemas.openxmlformats.org/officeDocument/2006/relationships/image" Target="media/image240.jpeg"/><Relationship Id="rId287" Type="http://schemas.openxmlformats.org/officeDocument/2006/relationships/hyperlink" Target="http://crossmark.crossref.org/dialog/?doi=10.1080/00036846.2017.1363864&amp;domain=pdf&amp;date_stamp=2017-08-21" TargetMode="External"/><Relationship Id="rId30" Type="http://schemas.openxmlformats.org/officeDocument/2006/relationships/image" Target="media/image1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312" Type="http://schemas.openxmlformats.org/officeDocument/2006/relationships/theme" Target="theme/theme1.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71.png"/><Relationship Id="rId3" Type="http://schemas.openxmlformats.org/officeDocument/2006/relationships/settings" Target="settings.xml"/><Relationship Id="rId214" Type="http://schemas.openxmlformats.org/officeDocument/2006/relationships/image" Target="media/image196.png"/><Relationship Id="rId235" Type="http://schemas.openxmlformats.org/officeDocument/2006/relationships/image" Target="media/image217.png"/><Relationship Id="rId256" Type="http://schemas.openxmlformats.org/officeDocument/2006/relationships/header" Target="header7.xml"/><Relationship Id="rId277" Type="http://schemas.openxmlformats.org/officeDocument/2006/relationships/image" Target="media/image247.png"/><Relationship Id="rId298" Type="http://schemas.openxmlformats.org/officeDocument/2006/relationships/footer" Target="footer13.xml"/><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302" Type="http://schemas.openxmlformats.org/officeDocument/2006/relationships/image" Target="media/image256.png"/><Relationship Id="rId20" Type="http://schemas.openxmlformats.org/officeDocument/2006/relationships/image" Target="media/image2.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image" Target="media/image161.png"/><Relationship Id="rId190" Type="http://schemas.openxmlformats.org/officeDocument/2006/relationships/image" Target="media/image172.png"/><Relationship Id="rId204" Type="http://schemas.openxmlformats.org/officeDocument/2006/relationships/image" Target="media/image186.png"/><Relationship Id="rId225" Type="http://schemas.openxmlformats.org/officeDocument/2006/relationships/image" Target="media/image207.png"/><Relationship Id="rId246" Type="http://schemas.openxmlformats.org/officeDocument/2006/relationships/image" Target="media/image228.png"/><Relationship Id="rId267" Type="http://schemas.openxmlformats.org/officeDocument/2006/relationships/hyperlink" Target="http://www.tandfonline.com/loi/raec20" TargetMode="External"/><Relationship Id="rId288" Type="http://schemas.openxmlformats.org/officeDocument/2006/relationships/header" Target="header10.xml"/><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footer" Target="footer2.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png"/><Relationship Id="rId148" Type="http://schemas.openxmlformats.org/officeDocument/2006/relationships/image" Target="media/image130.png"/><Relationship Id="rId169" Type="http://schemas.openxmlformats.org/officeDocument/2006/relationships/image" Target="media/image151.png"/><Relationship Id="rId4" Type="http://schemas.openxmlformats.org/officeDocument/2006/relationships/webSettings" Target="webSettings.xml"/><Relationship Id="rId180" Type="http://schemas.openxmlformats.org/officeDocument/2006/relationships/image" Target="media/image162.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header" Target="header8.xml"/><Relationship Id="rId278" Type="http://schemas.openxmlformats.org/officeDocument/2006/relationships/hyperlink" Target="http://crossmark.crossref.org/dialog/?doi=10.1080/00036846.2017.1363864&amp;domain=pdf&amp;date_stamp=2017-08-21" TargetMode="External"/><Relationship Id="rId303" Type="http://schemas.openxmlformats.org/officeDocument/2006/relationships/image" Target="media/image257.png"/><Relationship Id="rId42" Type="http://schemas.openxmlformats.org/officeDocument/2006/relationships/image" Target="media/image24.png"/><Relationship Id="rId84" Type="http://schemas.openxmlformats.org/officeDocument/2006/relationships/image" Target="media/image66.png"/><Relationship Id="rId138" Type="http://schemas.openxmlformats.org/officeDocument/2006/relationships/image" Target="media/image120.png"/><Relationship Id="rId191" Type="http://schemas.openxmlformats.org/officeDocument/2006/relationships/image" Target="media/image173.png"/><Relationship Id="rId205" Type="http://schemas.openxmlformats.org/officeDocument/2006/relationships/image" Target="media/image187.png"/><Relationship Id="rId247" Type="http://schemas.openxmlformats.org/officeDocument/2006/relationships/image" Target="media/image229.png"/><Relationship Id="rId107" Type="http://schemas.openxmlformats.org/officeDocument/2006/relationships/image" Target="media/image89.png"/><Relationship Id="rId289" Type="http://schemas.openxmlformats.org/officeDocument/2006/relationships/header" Target="header11.xml"/><Relationship Id="rId11" Type="http://schemas.openxmlformats.org/officeDocument/2006/relationships/header" Target="header3.xml"/><Relationship Id="rId53" Type="http://schemas.openxmlformats.org/officeDocument/2006/relationships/image" Target="media/image35.png"/><Relationship Id="rId149" Type="http://schemas.openxmlformats.org/officeDocument/2006/relationships/image" Target="media/image131.png"/><Relationship Id="rId95" Type="http://schemas.openxmlformats.org/officeDocument/2006/relationships/image" Target="media/image77.png"/><Relationship Id="rId160" Type="http://schemas.openxmlformats.org/officeDocument/2006/relationships/image" Target="media/image142.png"/><Relationship Id="rId216" Type="http://schemas.openxmlformats.org/officeDocument/2006/relationships/image" Target="media/image198.png"/><Relationship Id="rId258" Type="http://schemas.openxmlformats.org/officeDocument/2006/relationships/footer" Target="footer7.xml"/><Relationship Id="rId22" Type="http://schemas.openxmlformats.org/officeDocument/2006/relationships/image" Target="media/image4.png"/><Relationship Id="rId64" Type="http://schemas.openxmlformats.org/officeDocument/2006/relationships/image" Target="media/image46.png"/><Relationship Id="rId118" Type="http://schemas.openxmlformats.org/officeDocument/2006/relationships/image" Target="media/image100.png"/><Relationship Id="rId171" Type="http://schemas.openxmlformats.org/officeDocument/2006/relationships/image" Target="media/image153.png"/><Relationship Id="rId227" Type="http://schemas.openxmlformats.org/officeDocument/2006/relationships/image" Target="media/image209.png"/><Relationship Id="rId269" Type="http://schemas.openxmlformats.org/officeDocument/2006/relationships/image" Target="media/image241.jpeg"/><Relationship Id="rId33" Type="http://schemas.openxmlformats.org/officeDocument/2006/relationships/image" Target="media/image15.png"/><Relationship Id="rId129" Type="http://schemas.openxmlformats.org/officeDocument/2006/relationships/image" Target="media/image111.png"/><Relationship Id="rId280" Type="http://schemas.openxmlformats.org/officeDocument/2006/relationships/image" Target="media/image249.png"/><Relationship Id="rId75" Type="http://schemas.openxmlformats.org/officeDocument/2006/relationships/image" Target="media/image57.png"/><Relationship Id="rId140" Type="http://schemas.openxmlformats.org/officeDocument/2006/relationships/image" Target="media/image122.png"/><Relationship Id="rId182" Type="http://schemas.openxmlformats.org/officeDocument/2006/relationships/image" Target="media/image164.png"/><Relationship Id="rId6" Type="http://schemas.openxmlformats.org/officeDocument/2006/relationships/endnotes" Target="endnotes.xml"/><Relationship Id="rId238" Type="http://schemas.openxmlformats.org/officeDocument/2006/relationships/image" Target="media/image220.png"/><Relationship Id="rId291" Type="http://schemas.openxmlformats.org/officeDocument/2006/relationships/footer" Target="footer11.xml"/><Relationship Id="rId30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170</Pages>
  <Words>59066</Words>
  <Characters>336682</Characters>
  <Application>Microsoft Office Word</Application>
  <DocSecurity>0</DocSecurity>
  <Lines>2805</Lines>
  <Paragraphs>789</Paragraphs>
  <ScaleCrop>false</ScaleCrop>
  <Company/>
  <LinksUpToDate>false</LinksUpToDate>
  <CharactersWithSpaces>394959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laptopcare</dc:creator>
  <cp:keywords/>
  <cp:lastModifiedBy>laptopcare</cp:lastModifiedBy>
  <cp:revision>2</cp:revision>
  <dcterms:created xsi:type="dcterms:W3CDTF">2022-01-06T09:46:00Z</dcterms:created>
  <dcterms:modified xsi:type="dcterms:W3CDTF">2022-01-06T09:46:00Z</dcterms:modified>
</cp:coreProperties>
</file>