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7DFE" w:rsidRPr="008D7DFE" w:rsidRDefault="008D7DFE" w:rsidP="008D7DFE">
      <w:pPr>
        <w:shd w:val="clear" w:color="auto" w:fill="FFFFFF"/>
        <w:spacing w:after="150" w:line="240" w:lineRule="auto"/>
        <w:rPr>
          <w:rFonts w:ascii="proxima-nova" w:eastAsia="Times New Roman" w:hAnsi="proxima-nova" w:cs="Times New Roman"/>
          <w:color w:val="333333"/>
          <w:sz w:val="24"/>
          <w:szCs w:val="24"/>
          <w:lang w:eastAsia="en-IN"/>
        </w:rPr>
      </w:pPr>
      <w:r w:rsidRPr="008D7DFE">
        <w:rPr>
          <w:rFonts w:ascii="proxima-nova" w:eastAsia="Times New Roman" w:hAnsi="proxima-nova" w:cs="Times New Roman"/>
          <w:color w:val="333333"/>
          <w:sz w:val="24"/>
          <w:szCs w:val="24"/>
          <w:lang w:eastAsia="en-IN"/>
        </w:rPr>
        <w:t xml:space="preserve">Since the completion of the referendum in June 2016, many experts questioned whether the resulting implications in many spheres would outweigh the expected benefits (Bulmer and </w:t>
      </w:r>
      <w:proofErr w:type="spellStart"/>
      <w:r w:rsidRPr="008D7DFE">
        <w:rPr>
          <w:rFonts w:ascii="proxima-nova" w:eastAsia="Times New Roman" w:hAnsi="proxima-nova" w:cs="Times New Roman"/>
          <w:color w:val="333333"/>
          <w:sz w:val="24"/>
          <w:szCs w:val="24"/>
          <w:lang w:eastAsia="en-IN"/>
        </w:rPr>
        <w:t>Quaglia</w:t>
      </w:r>
      <w:proofErr w:type="spellEnd"/>
      <w:r w:rsidRPr="008D7DFE">
        <w:rPr>
          <w:rFonts w:ascii="proxima-nova" w:eastAsia="Times New Roman" w:hAnsi="proxima-nova" w:cs="Times New Roman"/>
          <w:color w:val="333333"/>
          <w:sz w:val="24"/>
          <w:szCs w:val="24"/>
          <w:lang w:eastAsia="en-IN"/>
        </w:rPr>
        <w:t>, 2018). With multiple disruptions occurring since that moment including the global COVID-19 pandemic, these original predictions may need to be re-appraised to better understand the current status quo.</w:t>
      </w:r>
    </w:p>
    <w:p w:rsidR="008D7DFE" w:rsidRPr="008D7DFE" w:rsidRDefault="008D7DFE" w:rsidP="008D7DFE">
      <w:pPr>
        <w:shd w:val="clear" w:color="auto" w:fill="FFFFFF"/>
        <w:spacing w:before="300" w:after="150" w:line="240" w:lineRule="auto"/>
        <w:outlineLvl w:val="1"/>
        <w:rPr>
          <w:rFonts w:ascii="proxima-nova" w:eastAsia="Times New Roman" w:hAnsi="proxima-nova" w:cs="Times New Roman"/>
          <w:color w:val="044974"/>
          <w:sz w:val="45"/>
          <w:szCs w:val="45"/>
          <w:lang w:eastAsia="en-IN"/>
        </w:rPr>
      </w:pPr>
      <w:r w:rsidRPr="008D7DFE">
        <w:rPr>
          <w:rFonts w:ascii="proxima-nova" w:eastAsia="Times New Roman" w:hAnsi="proxima-nova" w:cs="Times New Roman"/>
          <w:b/>
          <w:bCs/>
          <w:color w:val="044974"/>
          <w:sz w:val="45"/>
          <w:szCs w:val="45"/>
          <w:lang w:eastAsia="en-IN"/>
        </w:rPr>
        <w:t>Economic Barriers</w:t>
      </w:r>
    </w:p>
    <w:p w:rsidR="008D7DFE" w:rsidRPr="008D7DFE" w:rsidRDefault="008D7DFE" w:rsidP="008D7DFE">
      <w:pPr>
        <w:shd w:val="clear" w:color="auto" w:fill="FFFFFF"/>
        <w:spacing w:after="150" w:line="240" w:lineRule="auto"/>
        <w:rPr>
          <w:rFonts w:ascii="proxima-nova" w:eastAsia="Times New Roman" w:hAnsi="proxima-nova" w:cs="Times New Roman"/>
          <w:color w:val="333333"/>
          <w:sz w:val="24"/>
          <w:szCs w:val="24"/>
          <w:lang w:eastAsia="en-IN"/>
        </w:rPr>
      </w:pPr>
      <w:r w:rsidRPr="008D7DFE">
        <w:rPr>
          <w:rFonts w:ascii="proxima-nova" w:eastAsia="Times New Roman" w:hAnsi="proxima-nova" w:cs="Times New Roman"/>
          <w:color w:val="333333"/>
          <w:sz w:val="24"/>
          <w:szCs w:val="24"/>
          <w:lang w:eastAsia="en-IN"/>
        </w:rPr>
        <w:t>While official figures related to export and import volumes may not have decreased substantially after the referendum, they had been demonstrating a gradual decline over the following several years (De Ville and Siles-</w:t>
      </w:r>
      <w:proofErr w:type="spellStart"/>
      <w:r w:rsidRPr="008D7DFE">
        <w:rPr>
          <w:rFonts w:ascii="proxima-nova" w:eastAsia="Times New Roman" w:hAnsi="proxima-nova" w:cs="Times New Roman"/>
          <w:color w:val="333333"/>
          <w:sz w:val="24"/>
          <w:szCs w:val="24"/>
          <w:lang w:eastAsia="en-IN"/>
        </w:rPr>
        <w:t>Brugge</w:t>
      </w:r>
      <w:proofErr w:type="spellEnd"/>
      <w:r w:rsidRPr="008D7DFE">
        <w:rPr>
          <w:rFonts w:ascii="proxima-nova" w:eastAsia="Times New Roman" w:hAnsi="proxima-nova" w:cs="Times New Roman"/>
          <w:color w:val="333333"/>
          <w:sz w:val="24"/>
          <w:szCs w:val="24"/>
          <w:lang w:eastAsia="en-IN"/>
        </w:rPr>
        <w:t>, 2019). These effects are largely associated with the low tolerance for uncertainty within the highly liberalised global economy that openly promotes globalisation and unification. With the original motivation for Brexit being largely realist rather than liberalist, the threats of global supply chains disruption in the case of the ‘hard’ Brexit scenario have already informed many past partners to reconsider their procurement and distribution decisions. For example, this </w:t>
      </w:r>
      <w:hyperlink r:id="rId4" w:history="1">
        <w:r w:rsidRPr="008D7DFE">
          <w:rPr>
            <w:rFonts w:ascii="proxima-nova" w:eastAsia="Times New Roman" w:hAnsi="proxima-nova" w:cs="Times New Roman"/>
            <w:color w:val="88B8D8"/>
            <w:sz w:val="24"/>
            <w:szCs w:val="24"/>
            <w:lang w:eastAsia="en-IN"/>
          </w:rPr>
          <w:t>sample dissertation</w:t>
        </w:r>
      </w:hyperlink>
      <w:r w:rsidRPr="008D7DFE">
        <w:rPr>
          <w:rFonts w:ascii="proxima-nova" w:eastAsia="Times New Roman" w:hAnsi="proxima-nova" w:cs="Times New Roman"/>
          <w:color w:val="333333"/>
          <w:sz w:val="24"/>
          <w:szCs w:val="24"/>
          <w:lang w:eastAsia="en-IN"/>
        </w:rPr>
        <w:t> discusses why it is problematic now for UK-based NGOs to obtain EU funding. To know more about the economic effect of Brexit on businesses inside the UK, read this </w:t>
      </w:r>
      <w:hyperlink r:id="rId5" w:history="1">
        <w:r w:rsidRPr="008D7DFE">
          <w:rPr>
            <w:rFonts w:ascii="proxima-nova" w:eastAsia="Times New Roman" w:hAnsi="proxima-nova" w:cs="Times New Roman"/>
            <w:color w:val="88B8D8"/>
            <w:sz w:val="24"/>
            <w:szCs w:val="24"/>
            <w:lang w:eastAsia="en-IN"/>
          </w:rPr>
          <w:t>essay</w:t>
        </w:r>
      </w:hyperlink>
      <w:r w:rsidRPr="008D7DFE">
        <w:rPr>
          <w:rFonts w:ascii="proxima-nova" w:eastAsia="Times New Roman" w:hAnsi="proxima-nova" w:cs="Times New Roman"/>
          <w:color w:val="333333"/>
          <w:sz w:val="24"/>
          <w:szCs w:val="24"/>
          <w:lang w:eastAsia="en-IN"/>
        </w:rPr>
        <w:t>.</w:t>
      </w:r>
    </w:p>
    <w:p w:rsidR="008D7DFE" w:rsidRPr="008D7DFE" w:rsidRDefault="008D7DFE" w:rsidP="008D7DFE">
      <w:pPr>
        <w:shd w:val="clear" w:color="auto" w:fill="FFFFFF"/>
        <w:spacing w:after="150" w:line="240" w:lineRule="auto"/>
        <w:rPr>
          <w:rFonts w:ascii="proxima-nova" w:eastAsia="Times New Roman" w:hAnsi="proxima-nova" w:cs="Times New Roman"/>
          <w:color w:val="333333"/>
          <w:sz w:val="24"/>
          <w:szCs w:val="24"/>
          <w:lang w:eastAsia="en-IN"/>
        </w:rPr>
      </w:pPr>
      <w:r w:rsidRPr="008D7DFE">
        <w:rPr>
          <w:rFonts w:ascii="proxima-nova" w:eastAsia="Times New Roman" w:hAnsi="proxima-nova" w:cs="Times New Roman"/>
          <w:color w:val="333333"/>
          <w:sz w:val="24"/>
          <w:szCs w:val="24"/>
          <w:lang w:eastAsia="en-IN"/>
        </w:rPr>
        <w:t> </w:t>
      </w:r>
    </w:p>
    <w:p w:rsidR="008D7DFE" w:rsidRPr="008D7DFE" w:rsidRDefault="008D7DFE" w:rsidP="008D7DFE">
      <w:pPr>
        <w:shd w:val="clear" w:color="auto" w:fill="FFFFFF"/>
        <w:spacing w:before="300" w:after="150" w:line="240" w:lineRule="auto"/>
        <w:outlineLvl w:val="1"/>
        <w:rPr>
          <w:rFonts w:ascii="proxima-nova" w:eastAsia="Times New Roman" w:hAnsi="proxima-nova" w:cs="Times New Roman"/>
          <w:color w:val="044974"/>
          <w:sz w:val="45"/>
          <w:szCs w:val="45"/>
          <w:lang w:eastAsia="en-IN"/>
        </w:rPr>
      </w:pPr>
      <w:r w:rsidRPr="008D7DFE">
        <w:rPr>
          <w:rFonts w:ascii="proxima-nova" w:eastAsia="Times New Roman" w:hAnsi="proxima-nova" w:cs="Times New Roman"/>
          <w:b/>
          <w:bCs/>
          <w:color w:val="044974"/>
          <w:sz w:val="45"/>
          <w:szCs w:val="45"/>
          <w:lang w:eastAsia="en-IN"/>
        </w:rPr>
        <w:t>Regulatory Issues</w:t>
      </w:r>
    </w:p>
    <w:p w:rsidR="008D7DFE" w:rsidRPr="008D7DFE" w:rsidRDefault="008D7DFE" w:rsidP="008D7DFE">
      <w:pPr>
        <w:shd w:val="clear" w:color="auto" w:fill="FFFFFF"/>
        <w:spacing w:after="150" w:line="240" w:lineRule="auto"/>
        <w:rPr>
          <w:rFonts w:ascii="proxima-nova" w:eastAsia="Times New Roman" w:hAnsi="proxima-nova" w:cs="Times New Roman"/>
          <w:color w:val="333333"/>
          <w:sz w:val="24"/>
          <w:szCs w:val="24"/>
          <w:lang w:eastAsia="en-IN"/>
        </w:rPr>
      </w:pPr>
      <w:r w:rsidRPr="008D7DFE">
        <w:rPr>
          <w:rFonts w:ascii="proxima-nova" w:eastAsia="Times New Roman" w:hAnsi="proxima-nova" w:cs="Times New Roman"/>
          <w:color w:val="333333"/>
          <w:sz w:val="24"/>
          <w:szCs w:val="24"/>
          <w:lang w:eastAsia="en-IN"/>
        </w:rPr>
        <w:t xml:space="preserve">With COVID-19 disrupting many European economies, it is perfectly understandable why the EU government is implementing various reforms and support policies that </w:t>
      </w:r>
      <w:proofErr w:type="gramStart"/>
      <w:r w:rsidRPr="008D7DFE">
        <w:rPr>
          <w:rFonts w:ascii="proxima-nova" w:eastAsia="Times New Roman" w:hAnsi="proxima-nova" w:cs="Times New Roman"/>
          <w:color w:val="333333"/>
          <w:sz w:val="24"/>
          <w:szCs w:val="24"/>
          <w:lang w:eastAsia="en-IN"/>
        </w:rPr>
        <w:t>may be viewed</w:t>
      </w:r>
      <w:proofErr w:type="gramEnd"/>
      <w:r w:rsidRPr="008D7DFE">
        <w:rPr>
          <w:rFonts w:ascii="proxima-nova" w:eastAsia="Times New Roman" w:hAnsi="proxima-nova" w:cs="Times New Roman"/>
          <w:color w:val="333333"/>
          <w:sz w:val="24"/>
          <w:szCs w:val="24"/>
          <w:lang w:eastAsia="en-IN"/>
        </w:rPr>
        <w:t xml:space="preserve"> as borderline protectionist and nationalist (</w:t>
      </w:r>
      <w:proofErr w:type="spellStart"/>
      <w:r w:rsidRPr="008D7DFE">
        <w:rPr>
          <w:rFonts w:ascii="proxima-nova" w:eastAsia="Times New Roman" w:hAnsi="proxima-nova" w:cs="Times New Roman"/>
          <w:color w:val="333333"/>
          <w:sz w:val="24"/>
          <w:szCs w:val="24"/>
          <w:lang w:eastAsia="en-IN"/>
        </w:rPr>
        <w:t>D’Erman</w:t>
      </w:r>
      <w:proofErr w:type="spellEnd"/>
      <w:r w:rsidRPr="008D7DFE">
        <w:rPr>
          <w:rFonts w:ascii="proxima-nova" w:eastAsia="Times New Roman" w:hAnsi="proxima-nova" w:cs="Times New Roman"/>
          <w:color w:val="333333"/>
          <w:sz w:val="24"/>
          <w:szCs w:val="24"/>
          <w:lang w:eastAsia="en-IN"/>
        </w:rPr>
        <w:t>, 2021). These measures overlap with the lack of clarity regarding the visa policies introduced in January 2021. The 90-day allowance provided to the citizens of both parties and governmental support of local employment in the EU are gradually reducing the attractiveness of the UK as an employer for EU workforce members. In the short-term perspective, this has already created substantial staffing deficiencies in many spheres such as the national healthcare system and the agricultural sector.</w:t>
      </w:r>
    </w:p>
    <w:p w:rsidR="008D7DFE" w:rsidRPr="008D7DFE" w:rsidRDefault="008D7DFE" w:rsidP="008D7DFE">
      <w:pPr>
        <w:shd w:val="clear" w:color="auto" w:fill="FFFFFF"/>
        <w:spacing w:after="150" w:line="240" w:lineRule="auto"/>
        <w:rPr>
          <w:rFonts w:ascii="proxima-nova" w:eastAsia="Times New Roman" w:hAnsi="proxima-nova" w:cs="Times New Roman"/>
          <w:color w:val="333333"/>
          <w:sz w:val="24"/>
          <w:szCs w:val="24"/>
          <w:lang w:eastAsia="en-IN"/>
        </w:rPr>
      </w:pPr>
      <w:r w:rsidRPr="008D7DFE">
        <w:rPr>
          <w:rFonts w:ascii="proxima-nova" w:eastAsia="Times New Roman" w:hAnsi="proxima-nova" w:cs="Times New Roman"/>
          <w:color w:val="333333"/>
          <w:sz w:val="24"/>
          <w:szCs w:val="24"/>
          <w:lang w:eastAsia="en-IN"/>
        </w:rPr>
        <w:t> </w:t>
      </w:r>
    </w:p>
    <w:p w:rsidR="008D7DFE" w:rsidRPr="008D7DFE" w:rsidRDefault="008D7DFE" w:rsidP="008D7DFE">
      <w:pPr>
        <w:shd w:val="clear" w:color="auto" w:fill="FFFFFF"/>
        <w:spacing w:before="300" w:after="150" w:line="240" w:lineRule="auto"/>
        <w:outlineLvl w:val="1"/>
        <w:rPr>
          <w:rFonts w:ascii="proxima-nova" w:eastAsia="Times New Roman" w:hAnsi="proxima-nova" w:cs="Times New Roman"/>
          <w:color w:val="044974"/>
          <w:sz w:val="45"/>
          <w:szCs w:val="45"/>
          <w:lang w:eastAsia="en-IN"/>
        </w:rPr>
      </w:pPr>
      <w:r w:rsidRPr="008D7DFE">
        <w:rPr>
          <w:rFonts w:ascii="proxima-nova" w:eastAsia="Times New Roman" w:hAnsi="proxima-nova" w:cs="Times New Roman"/>
          <w:b/>
          <w:bCs/>
          <w:color w:val="044974"/>
          <w:sz w:val="45"/>
          <w:szCs w:val="45"/>
          <w:lang w:eastAsia="en-IN"/>
        </w:rPr>
        <w:t>Organisational Implications</w:t>
      </w:r>
    </w:p>
    <w:p w:rsidR="008D7DFE" w:rsidRPr="008D7DFE" w:rsidRDefault="008D7DFE" w:rsidP="008D7DFE">
      <w:pPr>
        <w:shd w:val="clear" w:color="auto" w:fill="FFFFFF"/>
        <w:spacing w:after="150" w:line="240" w:lineRule="auto"/>
        <w:rPr>
          <w:rFonts w:ascii="proxima-nova" w:eastAsia="Times New Roman" w:hAnsi="proxima-nova" w:cs="Times New Roman"/>
          <w:color w:val="333333"/>
          <w:sz w:val="24"/>
          <w:szCs w:val="24"/>
          <w:lang w:eastAsia="en-IN"/>
        </w:rPr>
      </w:pPr>
      <w:r w:rsidRPr="008D7DFE">
        <w:rPr>
          <w:rFonts w:ascii="proxima-nova" w:eastAsia="Times New Roman" w:hAnsi="proxima-nova" w:cs="Times New Roman"/>
          <w:color w:val="333333"/>
          <w:sz w:val="24"/>
          <w:szCs w:val="24"/>
          <w:lang w:eastAsia="en-IN"/>
        </w:rPr>
        <w:t>One of the greatest Brexit-related threats for multinational companies was the exit of the UK from the Single EU Market (</w:t>
      </w:r>
      <w:proofErr w:type="spellStart"/>
      <w:r w:rsidRPr="008D7DFE">
        <w:rPr>
          <w:rFonts w:ascii="proxima-nova" w:eastAsia="Times New Roman" w:hAnsi="proxima-nova" w:cs="Times New Roman"/>
          <w:color w:val="333333"/>
          <w:sz w:val="24"/>
          <w:szCs w:val="24"/>
          <w:lang w:eastAsia="en-IN"/>
        </w:rPr>
        <w:t>Moschieri</w:t>
      </w:r>
      <w:proofErr w:type="spellEnd"/>
      <w:r w:rsidRPr="008D7DFE">
        <w:rPr>
          <w:rFonts w:ascii="proxima-nova" w:eastAsia="Times New Roman" w:hAnsi="proxima-nova" w:cs="Times New Roman"/>
          <w:color w:val="333333"/>
          <w:sz w:val="24"/>
          <w:szCs w:val="24"/>
          <w:lang w:eastAsia="en-IN"/>
        </w:rPr>
        <w:t xml:space="preserve"> and Blake, 2019). While the two entities managed to sign the Trade and Cooperation Agreement on 24 of December 2020, this document guaranteeing free and liberal trade between them </w:t>
      </w:r>
      <w:proofErr w:type="gramStart"/>
      <w:r w:rsidRPr="008D7DFE">
        <w:rPr>
          <w:rFonts w:ascii="proxima-nova" w:eastAsia="Times New Roman" w:hAnsi="proxima-nova" w:cs="Times New Roman"/>
          <w:color w:val="333333"/>
          <w:sz w:val="24"/>
          <w:szCs w:val="24"/>
          <w:lang w:eastAsia="en-IN"/>
        </w:rPr>
        <w:t>could be viewed</w:t>
      </w:r>
      <w:proofErr w:type="gramEnd"/>
      <w:r w:rsidRPr="008D7DFE">
        <w:rPr>
          <w:rFonts w:ascii="proxima-nova" w:eastAsia="Times New Roman" w:hAnsi="proxima-nova" w:cs="Times New Roman"/>
          <w:color w:val="333333"/>
          <w:sz w:val="24"/>
          <w:szCs w:val="24"/>
          <w:lang w:eastAsia="en-IN"/>
        </w:rPr>
        <w:t xml:space="preserve"> as severely lagging behind the urgent business needs of thousands of organisations. With almost 5 years passing between the referendum and the clarification of corresponding provisions, this delay has created a major sense of instability. This situation has had a highly negative effect on the import and export streams with many international supply chains </w:t>
      </w:r>
      <w:proofErr w:type="gramStart"/>
      <w:r w:rsidRPr="008D7DFE">
        <w:rPr>
          <w:rFonts w:ascii="proxima-nova" w:eastAsia="Times New Roman" w:hAnsi="proxima-nova" w:cs="Times New Roman"/>
          <w:color w:val="333333"/>
          <w:sz w:val="24"/>
          <w:szCs w:val="24"/>
          <w:lang w:eastAsia="en-IN"/>
        </w:rPr>
        <w:t>being disrupted</w:t>
      </w:r>
      <w:proofErr w:type="gramEnd"/>
      <w:r w:rsidRPr="008D7DFE">
        <w:rPr>
          <w:rFonts w:ascii="proxima-nova" w:eastAsia="Times New Roman" w:hAnsi="proxima-nova" w:cs="Times New Roman"/>
          <w:color w:val="333333"/>
          <w:sz w:val="24"/>
          <w:szCs w:val="24"/>
          <w:lang w:eastAsia="en-IN"/>
        </w:rPr>
        <w:t xml:space="preserve"> as a result. The problems </w:t>
      </w:r>
      <w:proofErr w:type="gramStart"/>
      <w:r w:rsidRPr="008D7DFE">
        <w:rPr>
          <w:rFonts w:ascii="proxima-nova" w:eastAsia="Times New Roman" w:hAnsi="proxima-nova" w:cs="Times New Roman"/>
          <w:color w:val="333333"/>
          <w:sz w:val="24"/>
          <w:szCs w:val="24"/>
          <w:lang w:eastAsia="en-IN"/>
        </w:rPr>
        <w:t>are further intensified</w:t>
      </w:r>
      <w:proofErr w:type="gramEnd"/>
      <w:r w:rsidRPr="008D7DFE">
        <w:rPr>
          <w:rFonts w:ascii="proxima-nova" w:eastAsia="Times New Roman" w:hAnsi="proxima-nova" w:cs="Times New Roman"/>
          <w:color w:val="333333"/>
          <w:sz w:val="24"/>
          <w:szCs w:val="24"/>
          <w:lang w:eastAsia="en-IN"/>
        </w:rPr>
        <w:t xml:space="preserve"> by the increasing gaps in national legislations as the UK starts to re-introduce its own norms and regulations that are different from those used in the EU in many aspects (Burns et al., 2019). These additional barriers can require new </w:t>
      </w:r>
      <w:r w:rsidRPr="008D7DFE">
        <w:rPr>
          <w:rFonts w:ascii="proxima-nova" w:eastAsia="Times New Roman" w:hAnsi="proxima-nova" w:cs="Times New Roman"/>
          <w:color w:val="333333"/>
          <w:sz w:val="24"/>
          <w:szCs w:val="24"/>
          <w:lang w:eastAsia="en-IN"/>
        </w:rPr>
        <w:lastRenderedPageBreak/>
        <w:t>certification or customs clearance procedures and may undermine the effectiveness of the recently coordinated free trade agreements.</w:t>
      </w:r>
    </w:p>
    <w:p w:rsidR="008D7DFE" w:rsidRPr="008D7DFE" w:rsidRDefault="008D7DFE" w:rsidP="008D7DFE">
      <w:pPr>
        <w:shd w:val="clear" w:color="auto" w:fill="FFFFFF"/>
        <w:spacing w:after="150" w:line="240" w:lineRule="auto"/>
        <w:rPr>
          <w:rFonts w:ascii="proxima-nova" w:eastAsia="Times New Roman" w:hAnsi="proxima-nova" w:cs="Times New Roman"/>
          <w:color w:val="333333"/>
          <w:sz w:val="24"/>
          <w:szCs w:val="24"/>
          <w:lang w:eastAsia="en-IN"/>
        </w:rPr>
      </w:pPr>
      <w:r w:rsidRPr="008D7DFE">
        <w:rPr>
          <w:rFonts w:ascii="proxima-nova" w:eastAsia="Times New Roman" w:hAnsi="proxima-nova" w:cs="Times New Roman"/>
          <w:color w:val="333333"/>
          <w:sz w:val="24"/>
          <w:szCs w:val="24"/>
          <w:lang w:eastAsia="en-IN"/>
        </w:rPr>
        <w:t xml:space="preserve">With Brexit already creating an annual deficit of 14 billion euro, the predicted recession in the EU </w:t>
      </w:r>
      <w:proofErr w:type="gramStart"/>
      <w:r w:rsidRPr="008D7DFE">
        <w:rPr>
          <w:rFonts w:ascii="proxima-nova" w:eastAsia="Times New Roman" w:hAnsi="proxima-nova" w:cs="Times New Roman"/>
          <w:color w:val="333333"/>
          <w:sz w:val="24"/>
          <w:szCs w:val="24"/>
          <w:lang w:eastAsia="en-IN"/>
        </w:rPr>
        <w:t>is expected</w:t>
      </w:r>
      <w:proofErr w:type="gramEnd"/>
      <w:r w:rsidRPr="008D7DFE">
        <w:rPr>
          <w:rFonts w:ascii="proxima-nova" w:eastAsia="Times New Roman" w:hAnsi="proxima-nova" w:cs="Times New Roman"/>
          <w:color w:val="333333"/>
          <w:sz w:val="24"/>
          <w:szCs w:val="24"/>
          <w:lang w:eastAsia="en-IN"/>
        </w:rPr>
        <w:t xml:space="preserve"> to amount to 8-10% in the best-case scenario (</w:t>
      </w:r>
      <w:proofErr w:type="spellStart"/>
      <w:r w:rsidRPr="008D7DFE">
        <w:rPr>
          <w:rFonts w:ascii="proxima-nova" w:eastAsia="Times New Roman" w:hAnsi="proxima-nova" w:cs="Times New Roman"/>
          <w:color w:val="333333"/>
          <w:sz w:val="24"/>
          <w:szCs w:val="24"/>
          <w:lang w:eastAsia="en-IN"/>
        </w:rPr>
        <w:t>Hadjimichalis</w:t>
      </w:r>
      <w:proofErr w:type="spellEnd"/>
      <w:r w:rsidRPr="008D7DFE">
        <w:rPr>
          <w:rFonts w:ascii="proxima-nova" w:eastAsia="Times New Roman" w:hAnsi="proxima-nova" w:cs="Times New Roman"/>
          <w:color w:val="333333"/>
          <w:sz w:val="24"/>
          <w:szCs w:val="24"/>
          <w:lang w:eastAsia="en-IN"/>
        </w:rPr>
        <w:t xml:space="preserve">, 2021). This situation will probably lead to further protectionist measures and economic nationalism on part of the ‘frugal four’ influencing the European Parliament. While some economic agreements </w:t>
      </w:r>
      <w:proofErr w:type="gramStart"/>
      <w:r w:rsidRPr="008D7DFE">
        <w:rPr>
          <w:rFonts w:ascii="proxima-nova" w:eastAsia="Times New Roman" w:hAnsi="proxima-nova" w:cs="Times New Roman"/>
          <w:color w:val="333333"/>
          <w:sz w:val="24"/>
          <w:szCs w:val="24"/>
          <w:lang w:eastAsia="en-IN"/>
        </w:rPr>
        <w:t>have been reached</w:t>
      </w:r>
      <w:proofErr w:type="gramEnd"/>
      <w:r w:rsidRPr="008D7DFE">
        <w:rPr>
          <w:rFonts w:ascii="proxima-nova" w:eastAsia="Times New Roman" w:hAnsi="proxima-nova" w:cs="Times New Roman"/>
          <w:color w:val="333333"/>
          <w:sz w:val="24"/>
          <w:szCs w:val="24"/>
          <w:lang w:eastAsia="en-IN"/>
        </w:rPr>
        <w:t xml:space="preserve"> at the end of 2020, continued free trade agreements may not be able to offset the existing impact of regulatory and organisational uncertainty.</w:t>
      </w:r>
    </w:p>
    <w:p w:rsidR="008D7DFE" w:rsidRPr="008D7DFE" w:rsidRDefault="008D7DFE" w:rsidP="008D7DFE">
      <w:pPr>
        <w:shd w:val="clear" w:color="auto" w:fill="FFFFFF"/>
        <w:spacing w:after="150" w:line="240" w:lineRule="auto"/>
        <w:rPr>
          <w:rFonts w:ascii="proxima-nova" w:eastAsia="Times New Roman" w:hAnsi="proxima-nova" w:cs="Times New Roman"/>
          <w:color w:val="333333"/>
          <w:sz w:val="24"/>
          <w:szCs w:val="24"/>
          <w:lang w:eastAsia="en-IN"/>
        </w:rPr>
      </w:pPr>
      <w:r w:rsidRPr="008D7DFE">
        <w:rPr>
          <w:rFonts w:ascii="proxima-nova" w:eastAsia="Times New Roman" w:hAnsi="proxima-nova" w:cs="Times New Roman"/>
          <w:color w:val="333333"/>
          <w:sz w:val="24"/>
          <w:szCs w:val="24"/>
          <w:lang w:eastAsia="en-IN"/>
        </w:rPr>
        <w:t> </w:t>
      </w:r>
    </w:p>
    <w:p w:rsidR="008D7DFE" w:rsidRPr="008D7DFE" w:rsidRDefault="008D7DFE" w:rsidP="008D7DFE">
      <w:pPr>
        <w:shd w:val="clear" w:color="auto" w:fill="FFFFFF"/>
        <w:spacing w:before="300" w:after="150" w:line="240" w:lineRule="auto"/>
        <w:outlineLvl w:val="1"/>
        <w:rPr>
          <w:rFonts w:ascii="proxima-nova" w:eastAsia="Times New Roman" w:hAnsi="proxima-nova" w:cs="Times New Roman"/>
          <w:color w:val="044974"/>
          <w:sz w:val="45"/>
          <w:szCs w:val="45"/>
          <w:lang w:eastAsia="en-IN"/>
        </w:rPr>
      </w:pPr>
      <w:r w:rsidRPr="008D7DFE">
        <w:rPr>
          <w:rFonts w:ascii="proxima-nova" w:eastAsia="Times New Roman" w:hAnsi="proxima-nova" w:cs="Times New Roman"/>
          <w:color w:val="044974"/>
          <w:sz w:val="45"/>
          <w:szCs w:val="45"/>
          <w:lang w:eastAsia="en-IN"/>
        </w:rPr>
        <w:t>References</w:t>
      </w:r>
    </w:p>
    <w:p w:rsidR="008D7DFE" w:rsidRPr="008D7DFE" w:rsidRDefault="008D7DFE" w:rsidP="008D7DFE">
      <w:pPr>
        <w:shd w:val="clear" w:color="auto" w:fill="FFFFFF"/>
        <w:spacing w:after="150" w:line="240" w:lineRule="auto"/>
        <w:rPr>
          <w:rFonts w:ascii="proxima-nova" w:eastAsia="Times New Roman" w:hAnsi="proxima-nova" w:cs="Times New Roman"/>
          <w:color w:val="333333"/>
          <w:sz w:val="24"/>
          <w:szCs w:val="24"/>
          <w:lang w:eastAsia="en-IN"/>
        </w:rPr>
      </w:pPr>
      <w:r w:rsidRPr="008D7DFE">
        <w:rPr>
          <w:rFonts w:ascii="proxima-nova" w:eastAsia="Times New Roman" w:hAnsi="proxima-nova" w:cs="Times New Roman"/>
          <w:color w:val="333333"/>
          <w:sz w:val="24"/>
          <w:szCs w:val="24"/>
          <w:lang w:eastAsia="en-IN"/>
        </w:rPr>
        <w:t xml:space="preserve">Bulmer, S. and </w:t>
      </w:r>
      <w:proofErr w:type="spellStart"/>
      <w:r w:rsidRPr="008D7DFE">
        <w:rPr>
          <w:rFonts w:ascii="proxima-nova" w:eastAsia="Times New Roman" w:hAnsi="proxima-nova" w:cs="Times New Roman"/>
          <w:color w:val="333333"/>
          <w:sz w:val="24"/>
          <w:szCs w:val="24"/>
          <w:lang w:eastAsia="en-IN"/>
        </w:rPr>
        <w:t>Quaglia</w:t>
      </w:r>
      <w:proofErr w:type="spellEnd"/>
      <w:r w:rsidRPr="008D7DFE">
        <w:rPr>
          <w:rFonts w:ascii="proxima-nova" w:eastAsia="Times New Roman" w:hAnsi="proxima-nova" w:cs="Times New Roman"/>
          <w:color w:val="333333"/>
          <w:sz w:val="24"/>
          <w:szCs w:val="24"/>
          <w:lang w:eastAsia="en-IN"/>
        </w:rPr>
        <w:t>, L. (2018) “The politics and economics of Brexit”, </w:t>
      </w:r>
      <w:r w:rsidRPr="008D7DFE">
        <w:rPr>
          <w:rFonts w:ascii="proxima-nova" w:eastAsia="Times New Roman" w:hAnsi="proxima-nova" w:cs="Times New Roman"/>
          <w:i/>
          <w:iCs/>
          <w:color w:val="333333"/>
          <w:sz w:val="24"/>
          <w:szCs w:val="24"/>
          <w:lang w:eastAsia="en-IN"/>
        </w:rPr>
        <w:t>Journal of European Public Policy</w:t>
      </w:r>
      <w:r w:rsidRPr="008D7DFE">
        <w:rPr>
          <w:rFonts w:ascii="proxima-nova" w:eastAsia="Times New Roman" w:hAnsi="proxima-nova" w:cs="Times New Roman"/>
          <w:color w:val="333333"/>
          <w:sz w:val="24"/>
          <w:szCs w:val="24"/>
          <w:lang w:eastAsia="en-IN"/>
        </w:rPr>
        <w:t>, 25 (8), pp. 1089-1098.</w:t>
      </w:r>
    </w:p>
    <w:p w:rsidR="008D7DFE" w:rsidRPr="008D7DFE" w:rsidRDefault="008D7DFE" w:rsidP="008D7DFE">
      <w:pPr>
        <w:shd w:val="clear" w:color="auto" w:fill="FFFFFF"/>
        <w:spacing w:after="150" w:line="240" w:lineRule="auto"/>
        <w:rPr>
          <w:rFonts w:ascii="proxima-nova" w:eastAsia="Times New Roman" w:hAnsi="proxima-nova" w:cs="Times New Roman"/>
          <w:color w:val="333333"/>
          <w:sz w:val="24"/>
          <w:szCs w:val="24"/>
          <w:lang w:eastAsia="en-IN"/>
        </w:rPr>
      </w:pPr>
      <w:r w:rsidRPr="008D7DFE">
        <w:rPr>
          <w:rFonts w:ascii="proxima-nova" w:eastAsia="Times New Roman" w:hAnsi="proxima-nova" w:cs="Times New Roman"/>
          <w:color w:val="333333"/>
          <w:sz w:val="24"/>
          <w:szCs w:val="24"/>
          <w:lang w:eastAsia="en-IN"/>
        </w:rPr>
        <w:t xml:space="preserve">Burns, C., </w:t>
      </w:r>
      <w:proofErr w:type="spellStart"/>
      <w:r w:rsidRPr="008D7DFE">
        <w:rPr>
          <w:rFonts w:ascii="proxima-nova" w:eastAsia="Times New Roman" w:hAnsi="proxima-nova" w:cs="Times New Roman"/>
          <w:color w:val="333333"/>
          <w:sz w:val="24"/>
          <w:szCs w:val="24"/>
          <w:lang w:eastAsia="en-IN"/>
        </w:rPr>
        <w:t>Gravey</w:t>
      </w:r>
      <w:proofErr w:type="spellEnd"/>
      <w:r w:rsidRPr="008D7DFE">
        <w:rPr>
          <w:rFonts w:ascii="proxima-nova" w:eastAsia="Times New Roman" w:hAnsi="proxima-nova" w:cs="Times New Roman"/>
          <w:color w:val="333333"/>
          <w:sz w:val="24"/>
          <w:szCs w:val="24"/>
          <w:lang w:eastAsia="en-IN"/>
        </w:rPr>
        <w:t xml:space="preserve">, V., Jordan, A. and </w:t>
      </w:r>
      <w:proofErr w:type="spellStart"/>
      <w:r w:rsidRPr="008D7DFE">
        <w:rPr>
          <w:rFonts w:ascii="proxima-nova" w:eastAsia="Times New Roman" w:hAnsi="proxima-nova" w:cs="Times New Roman"/>
          <w:color w:val="333333"/>
          <w:sz w:val="24"/>
          <w:szCs w:val="24"/>
          <w:lang w:eastAsia="en-IN"/>
        </w:rPr>
        <w:t>Zito</w:t>
      </w:r>
      <w:proofErr w:type="spellEnd"/>
      <w:r w:rsidRPr="008D7DFE">
        <w:rPr>
          <w:rFonts w:ascii="proxima-nova" w:eastAsia="Times New Roman" w:hAnsi="proxima-nova" w:cs="Times New Roman"/>
          <w:color w:val="333333"/>
          <w:sz w:val="24"/>
          <w:szCs w:val="24"/>
          <w:lang w:eastAsia="en-IN"/>
        </w:rPr>
        <w:t>, A. (2019) “De-Europeanising or disengaging? EU environmental policy and Brexit”, </w:t>
      </w:r>
      <w:r w:rsidRPr="008D7DFE">
        <w:rPr>
          <w:rFonts w:ascii="proxima-nova" w:eastAsia="Times New Roman" w:hAnsi="proxima-nova" w:cs="Times New Roman"/>
          <w:i/>
          <w:iCs/>
          <w:color w:val="333333"/>
          <w:sz w:val="24"/>
          <w:szCs w:val="24"/>
          <w:lang w:eastAsia="en-IN"/>
        </w:rPr>
        <w:t>Environmental Politics</w:t>
      </w:r>
      <w:r w:rsidRPr="008D7DFE">
        <w:rPr>
          <w:rFonts w:ascii="proxima-nova" w:eastAsia="Times New Roman" w:hAnsi="proxima-nova" w:cs="Times New Roman"/>
          <w:color w:val="333333"/>
          <w:sz w:val="24"/>
          <w:szCs w:val="24"/>
          <w:lang w:eastAsia="en-IN"/>
        </w:rPr>
        <w:t>, 28 (2), pp. 271-292.</w:t>
      </w:r>
    </w:p>
    <w:p w:rsidR="008D7DFE" w:rsidRPr="008D7DFE" w:rsidRDefault="008D7DFE" w:rsidP="008D7DFE">
      <w:pPr>
        <w:shd w:val="clear" w:color="auto" w:fill="FFFFFF"/>
        <w:spacing w:after="150" w:line="240" w:lineRule="auto"/>
        <w:rPr>
          <w:rFonts w:ascii="proxima-nova" w:eastAsia="Times New Roman" w:hAnsi="proxima-nova" w:cs="Times New Roman"/>
          <w:color w:val="333333"/>
          <w:sz w:val="24"/>
          <w:szCs w:val="24"/>
          <w:lang w:eastAsia="en-IN"/>
        </w:rPr>
      </w:pPr>
      <w:proofErr w:type="spellStart"/>
      <w:r w:rsidRPr="008D7DFE">
        <w:rPr>
          <w:rFonts w:ascii="proxima-nova" w:eastAsia="Times New Roman" w:hAnsi="proxima-nova" w:cs="Times New Roman"/>
          <w:color w:val="333333"/>
          <w:sz w:val="24"/>
          <w:szCs w:val="24"/>
          <w:lang w:eastAsia="en-IN"/>
        </w:rPr>
        <w:t>D’Erman</w:t>
      </w:r>
      <w:proofErr w:type="spellEnd"/>
      <w:r w:rsidRPr="008D7DFE">
        <w:rPr>
          <w:rFonts w:ascii="proxima-nova" w:eastAsia="Times New Roman" w:hAnsi="proxima-nova" w:cs="Times New Roman"/>
          <w:color w:val="333333"/>
          <w:sz w:val="24"/>
          <w:szCs w:val="24"/>
          <w:lang w:eastAsia="en-IN"/>
        </w:rPr>
        <w:t>, V. (2021) “Competing Logics of Integration: EU Trade Post-Brexit”, </w:t>
      </w:r>
      <w:r w:rsidRPr="008D7DFE">
        <w:rPr>
          <w:rFonts w:ascii="proxima-nova" w:eastAsia="Times New Roman" w:hAnsi="proxima-nova" w:cs="Times New Roman"/>
          <w:i/>
          <w:iCs/>
          <w:color w:val="333333"/>
          <w:sz w:val="24"/>
          <w:szCs w:val="24"/>
          <w:lang w:eastAsia="en-IN"/>
        </w:rPr>
        <w:t>International Studies</w:t>
      </w:r>
      <w:r w:rsidRPr="008D7DFE">
        <w:rPr>
          <w:rFonts w:ascii="proxima-nova" w:eastAsia="Times New Roman" w:hAnsi="proxima-nova" w:cs="Times New Roman"/>
          <w:color w:val="333333"/>
          <w:sz w:val="24"/>
          <w:szCs w:val="24"/>
          <w:lang w:eastAsia="en-IN"/>
        </w:rPr>
        <w:t>, 58 (2), pp. 219-233.</w:t>
      </w:r>
    </w:p>
    <w:p w:rsidR="008D7DFE" w:rsidRPr="008D7DFE" w:rsidRDefault="008D7DFE" w:rsidP="008D7DFE">
      <w:pPr>
        <w:shd w:val="clear" w:color="auto" w:fill="FFFFFF"/>
        <w:spacing w:after="150" w:line="240" w:lineRule="auto"/>
        <w:rPr>
          <w:rFonts w:ascii="proxima-nova" w:eastAsia="Times New Roman" w:hAnsi="proxima-nova" w:cs="Times New Roman"/>
          <w:color w:val="333333"/>
          <w:sz w:val="24"/>
          <w:szCs w:val="24"/>
          <w:lang w:eastAsia="en-IN"/>
        </w:rPr>
      </w:pPr>
      <w:r w:rsidRPr="008D7DFE">
        <w:rPr>
          <w:rFonts w:ascii="proxima-nova" w:eastAsia="Times New Roman" w:hAnsi="proxima-nova" w:cs="Times New Roman"/>
          <w:color w:val="333333"/>
          <w:sz w:val="24"/>
          <w:szCs w:val="24"/>
          <w:lang w:eastAsia="en-IN"/>
        </w:rPr>
        <w:t>De Ville, F. and Siles-</w:t>
      </w:r>
      <w:proofErr w:type="spellStart"/>
      <w:r w:rsidRPr="008D7DFE">
        <w:rPr>
          <w:rFonts w:ascii="proxima-nova" w:eastAsia="Times New Roman" w:hAnsi="proxima-nova" w:cs="Times New Roman"/>
          <w:color w:val="333333"/>
          <w:sz w:val="24"/>
          <w:szCs w:val="24"/>
          <w:lang w:eastAsia="en-IN"/>
        </w:rPr>
        <w:t>Brugge</w:t>
      </w:r>
      <w:proofErr w:type="spellEnd"/>
      <w:r w:rsidRPr="008D7DFE">
        <w:rPr>
          <w:rFonts w:ascii="proxima-nova" w:eastAsia="Times New Roman" w:hAnsi="proxima-nova" w:cs="Times New Roman"/>
          <w:color w:val="333333"/>
          <w:sz w:val="24"/>
          <w:szCs w:val="24"/>
          <w:lang w:eastAsia="en-IN"/>
        </w:rPr>
        <w:t>, G. (2019) “The Impact of Brexit on EU Trade Policy”, </w:t>
      </w:r>
      <w:r w:rsidRPr="008D7DFE">
        <w:rPr>
          <w:rFonts w:ascii="proxima-nova" w:eastAsia="Times New Roman" w:hAnsi="proxima-nova" w:cs="Times New Roman"/>
          <w:i/>
          <w:iCs/>
          <w:color w:val="333333"/>
          <w:sz w:val="24"/>
          <w:szCs w:val="24"/>
          <w:lang w:eastAsia="en-IN"/>
        </w:rPr>
        <w:t>Politics and Governance</w:t>
      </w:r>
      <w:r w:rsidRPr="008D7DFE">
        <w:rPr>
          <w:rFonts w:ascii="proxima-nova" w:eastAsia="Times New Roman" w:hAnsi="proxima-nova" w:cs="Times New Roman"/>
          <w:color w:val="333333"/>
          <w:sz w:val="24"/>
          <w:szCs w:val="24"/>
          <w:lang w:eastAsia="en-IN"/>
        </w:rPr>
        <w:t>, 7 (3), pp. 7-18.</w:t>
      </w:r>
    </w:p>
    <w:p w:rsidR="008D7DFE" w:rsidRPr="008D7DFE" w:rsidRDefault="008D7DFE" w:rsidP="008D7DFE">
      <w:pPr>
        <w:shd w:val="clear" w:color="auto" w:fill="FFFFFF"/>
        <w:spacing w:after="150" w:line="240" w:lineRule="auto"/>
        <w:rPr>
          <w:rFonts w:ascii="proxima-nova" w:eastAsia="Times New Roman" w:hAnsi="proxima-nova" w:cs="Times New Roman"/>
          <w:color w:val="333333"/>
          <w:sz w:val="24"/>
          <w:szCs w:val="24"/>
          <w:lang w:eastAsia="en-IN"/>
        </w:rPr>
      </w:pPr>
      <w:proofErr w:type="spellStart"/>
      <w:r w:rsidRPr="008D7DFE">
        <w:rPr>
          <w:rFonts w:ascii="proxima-nova" w:eastAsia="Times New Roman" w:hAnsi="proxima-nova" w:cs="Times New Roman"/>
          <w:color w:val="333333"/>
          <w:sz w:val="24"/>
          <w:szCs w:val="24"/>
          <w:lang w:eastAsia="en-IN"/>
        </w:rPr>
        <w:t>Hadjimichalis</w:t>
      </w:r>
      <w:proofErr w:type="spellEnd"/>
      <w:r w:rsidRPr="008D7DFE">
        <w:rPr>
          <w:rFonts w:ascii="proxima-nova" w:eastAsia="Times New Roman" w:hAnsi="proxima-nova" w:cs="Times New Roman"/>
          <w:color w:val="333333"/>
          <w:sz w:val="24"/>
          <w:szCs w:val="24"/>
          <w:lang w:eastAsia="en-IN"/>
        </w:rPr>
        <w:t>, C. (2021) “An uncertain future for the post-Brexit, post-COVID-19 European Union”, </w:t>
      </w:r>
      <w:r w:rsidRPr="008D7DFE">
        <w:rPr>
          <w:rFonts w:ascii="proxima-nova" w:eastAsia="Times New Roman" w:hAnsi="proxima-nova" w:cs="Times New Roman"/>
          <w:i/>
          <w:iCs/>
          <w:color w:val="333333"/>
          <w:sz w:val="24"/>
          <w:szCs w:val="24"/>
          <w:lang w:eastAsia="en-IN"/>
        </w:rPr>
        <w:t>European Urban and Regional Studies</w:t>
      </w:r>
      <w:r w:rsidRPr="008D7DFE">
        <w:rPr>
          <w:rFonts w:ascii="proxima-nova" w:eastAsia="Times New Roman" w:hAnsi="proxima-nova" w:cs="Times New Roman"/>
          <w:color w:val="333333"/>
          <w:sz w:val="24"/>
          <w:szCs w:val="24"/>
          <w:lang w:eastAsia="en-IN"/>
        </w:rPr>
        <w:t>, 28 (1), pp. 8-13.</w:t>
      </w:r>
    </w:p>
    <w:p w:rsidR="008D7DFE" w:rsidRPr="008D7DFE" w:rsidRDefault="008D7DFE" w:rsidP="008D7DFE">
      <w:pPr>
        <w:shd w:val="clear" w:color="auto" w:fill="FFFFFF"/>
        <w:spacing w:after="150" w:line="240" w:lineRule="auto"/>
        <w:rPr>
          <w:rFonts w:ascii="proxima-nova" w:eastAsia="Times New Roman" w:hAnsi="proxima-nova" w:cs="Times New Roman"/>
          <w:color w:val="333333"/>
          <w:sz w:val="24"/>
          <w:szCs w:val="24"/>
          <w:lang w:eastAsia="en-IN"/>
        </w:rPr>
      </w:pPr>
      <w:proofErr w:type="spellStart"/>
      <w:r w:rsidRPr="008D7DFE">
        <w:rPr>
          <w:rFonts w:ascii="proxima-nova" w:eastAsia="Times New Roman" w:hAnsi="proxima-nova" w:cs="Times New Roman"/>
          <w:color w:val="333333"/>
          <w:sz w:val="24"/>
          <w:szCs w:val="24"/>
          <w:lang w:eastAsia="en-IN"/>
        </w:rPr>
        <w:t>Moschieri</w:t>
      </w:r>
      <w:proofErr w:type="spellEnd"/>
      <w:r w:rsidRPr="008D7DFE">
        <w:rPr>
          <w:rFonts w:ascii="proxima-nova" w:eastAsia="Times New Roman" w:hAnsi="proxima-nova" w:cs="Times New Roman"/>
          <w:color w:val="333333"/>
          <w:sz w:val="24"/>
          <w:szCs w:val="24"/>
          <w:lang w:eastAsia="en-IN"/>
        </w:rPr>
        <w:t>, C. and Blake, D. (2019) “The organizational implications of Brexit”, </w:t>
      </w:r>
      <w:r w:rsidRPr="008D7DFE">
        <w:rPr>
          <w:rFonts w:ascii="proxima-nova" w:eastAsia="Times New Roman" w:hAnsi="proxima-nova" w:cs="Times New Roman"/>
          <w:i/>
          <w:iCs/>
          <w:color w:val="333333"/>
          <w:sz w:val="24"/>
          <w:szCs w:val="24"/>
          <w:lang w:eastAsia="en-IN"/>
        </w:rPr>
        <w:t>Journal of Organisational Design</w:t>
      </w:r>
      <w:r w:rsidRPr="008D7DFE">
        <w:rPr>
          <w:rFonts w:ascii="proxima-nova" w:eastAsia="Times New Roman" w:hAnsi="proxima-nova" w:cs="Times New Roman"/>
          <w:color w:val="333333"/>
          <w:sz w:val="24"/>
          <w:szCs w:val="24"/>
          <w:lang w:eastAsia="en-IN"/>
        </w:rPr>
        <w:t>, 8</w:t>
      </w:r>
      <w:bookmarkStart w:id="0" w:name="_GoBack"/>
      <w:r w:rsidR="00672720">
        <w:rPr>
          <w:rFonts w:ascii="proxima-nova" w:eastAsia="Times New Roman" w:hAnsi="proxima-nova" w:cs="Times New Roman"/>
          <w:noProof/>
          <w:color w:val="333333"/>
          <w:sz w:val="24"/>
          <w:szCs w:val="24"/>
          <w:lang w:eastAsia="en-IN"/>
        </w:rPr>
        <w:lastRenderedPageBreak/>
        <w:drawing>
          <wp:inline distT="0" distB="0" distL="0" distR="0">
            <wp:extent cx="5731510" cy="5731510"/>
            <wp:effectExtent l="0" t="0" r="254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rder a custom written paper of high quality (1).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bookmarkEnd w:id="0"/>
      <w:r w:rsidRPr="008D7DFE">
        <w:rPr>
          <w:rFonts w:ascii="proxima-nova" w:eastAsia="Times New Roman" w:hAnsi="proxima-nova" w:cs="Times New Roman"/>
          <w:color w:val="333333"/>
          <w:sz w:val="24"/>
          <w:szCs w:val="24"/>
          <w:lang w:eastAsia="en-IN"/>
        </w:rPr>
        <w:t xml:space="preserve"> (6), pp. 1-9.</w:t>
      </w:r>
    </w:p>
    <w:p w:rsidR="00FF7EB4" w:rsidRDefault="008D7DFE">
      <w:r>
        <w:rPr>
          <w:noProof/>
          <w:lang w:eastAsia="en-IN"/>
        </w:rPr>
        <w:lastRenderedPageBreak/>
        <w:drawing>
          <wp:inline distT="0" distB="0" distL="0" distR="0">
            <wp:extent cx="5731510" cy="5731510"/>
            <wp:effectExtent l="0" t="0" r="254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rder a custom written paper of high quality (1).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sectPr w:rsidR="00FF7EB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roxima-nova">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DFE"/>
    <w:rsid w:val="00672720"/>
    <w:rsid w:val="008D7DFE"/>
    <w:rsid w:val="00FF7EB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2E7D336-6DF5-4BAC-9722-E4E7E8FD6A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8D7DFE"/>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D7DFE"/>
    <w:rPr>
      <w:rFonts w:ascii="Times New Roman" w:eastAsia="Times New Roman" w:hAnsi="Times New Roman" w:cs="Times New Roman"/>
      <w:b/>
      <w:bCs/>
      <w:sz w:val="36"/>
      <w:szCs w:val="36"/>
      <w:lang w:eastAsia="en-IN"/>
    </w:rPr>
  </w:style>
  <w:style w:type="paragraph" w:styleId="NormalWeb">
    <w:name w:val="Normal (Web)"/>
    <w:basedOn w:val="Normal"/>
    <w:uiPriority w:val="99"/>
    <w:semiHidden/>
    <w:unhideWhenUsed/>
    <w:rsid w:val="008D7DFE"/>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8D7DFE"/>
    <w:rPr>
      <w:b/>
      <w:bCs/>
    </w:rPr>
  </w:style>
  <w:style w:type="character" w:styleId="Hyperlink">
    <w:name w:val="Hyperlink"/>
    <w:basedOn w:val="DefaultParagraphFont"/>
    <w:uiPriority w:val="99"/>
    <w:semiHidden/>
    <w:unhideWhenUsed/>
    <w:rsid w:val="008D7DFE"/>
    <w:rPr>
      <w:color w:val="0000FF"/>
      <w:u w:val="single"/>
    </w:rPr>
  </w:style>
  <w:style w:type="character" w:styleId="Emphasis">
    <w:name w:val="Emphasis"/>
    <w:basedOn w:val="DefaultParagraphFont"/>
    <w:uiPriority w:val="20"/>
    <w:qFormat/>
    <w:rsid w:val="008D7DF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64771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hyperlink" Target="https://15writers.com/sample-essays/the-economic-effect-of-brexit-on-businesses-in-the-uk/" TargetMode="External"/><Relationship Id="rId4" Type="http://schemas.openxmlformats.org/officeDocument/2006/relationships/hyperlink" Target="https://15writers.com/sample-dissertations/the-effect-of-brexit-on-british-ngos-access-to-eu-fund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715</Words>
  <Characters>4080</Characters>
  <Application>Microsoft Office Word</Application>
  <DocSecurity>0</DocSecurity>
  <Lines>34</Lines>
  <Paragraphs>9</Paragraphs>
  <ScaleCrop>false</ScaleCrop>
  <Company/>
  <LinksUpToDate>false</LinksUpToDate>
  <CharactersWithSpaces>4786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2</cp:revision>
  <dcterms:created xsi:type="dcterms:W3CDTF">2021-12-07T09:42:00Z</dcterms:created>
  <dcterms:modified xsi:type="dcterms:W3CDTF">2021-12-07T09:48:00Z</dcterms:modified>
</cp:coreProperties>
</file>