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182" w:rsidRPr="006E2182" w:rsidRDefault="006E2182" w:rsidP="006E2182">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6E2182">
        <w:rPr>
          <w:rFonts w:ascii="proxima-nova" w:eastAsia="Times New Roman" w:hAnsi="proxima-nova" w:cs="Times New Roman"/>
          <w:color w:val="044974"/>
          <w:sz w:val="45"/>
          <w:szCs w:val="45"/>
          <w:lang w:eastAsia="en-IN"/>
        </w:rPr>
        <w:t>Introduction</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The marketing of luxuries constitutes a well-developed field of academic study (Yu and Hu, 2020; Liu et al., 2019). One question that </w:t>
      </w:r>
      <w:proofErr w:type="gramStart"/>
      <w:r w:rsidRPr="006E2182">
        <w:rPr>
          <w:rFonts w:ascii="proxima-nova" w:eastAsia="Times New Roman" w:hAnsi="proxima-nova" w:cs="Times New Roman"/>
          <w:color w:val="333333"/>
          <w:sz w:val="24"/>
          <w:szCs w:val="24"/>
          <w:lang w:eastAsia="en-IN"/>
        </w:rPr>
        <w:t>has not yet been answered</w:t>
      </w:r>
      <w:proofErr w:type="gramEnd"/>
      <w:r w:rsidRPr="006E2182">
        <w:rPr>
          <w:rFonts w:ascii="proxima-nova" w:eastAsia="Times New Roman" w:hAnsi="proxima-nova" w:cs="Times New Roman"/>
          <w:color w:val="333333"/>
          <w:sz w:val="24"/>
          <w:szCs w:val="24"/>
          <w:lang w:eastAsia="en-IN"/>
        </w:rPr>
        <w:t xml:space="preserve"> by scholars, however, was whether the traditional definition of luxury could be extended to resource- and labour-intensive industries such as the construction sector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The majority of academic knowledge on luxury has so far focused on apparel or the provision of luxury services, signifying the existence of a vital research gap (</w:t>
      </w:r>
      <w:proofErr w:type="spellStart"/>
      <w:r w:rsidRPr="006E2182">
        <w:rPr>
          <w:rFonts w:ascii="proxima-nova" w:eastAsia="Times New Roman" w:hAnsi="proxima-nova" w:cs="Times New Roman"/>
          <w:color w:val="333333"/>
          <w:sz w:val="24"/>
          <w:szCs w:val="24"/>
          <w:lang w:eastAsia="en-IN"/>
        </w:rPr>
        <w:t>Chandon</w:t>
      </w:r>
      <w:proofErr w:type="spellEnd"/>
      <w:r w:rsidRPr="006E2182">
        <w:rPr>
          <w:rFonts w:ascii="proxima-nova" w:eastAsia="Times New Roman" w:hAnsi="proxima-nova" w:cs="Times New Roman"/>
          <w:color w:val="333333"/>
          <w:sz w:val="24"/>
          <w:szCs w:val="24"/>
          <w:lang w:eastAsia="en-IN"/>
        </w:rPr>
        <w:t xml:space="preserve"> et al., 2016). The essay addresses this lack of academic knowledge by transferring the extant conceptualisations of luxury into the construction industry. Specifically, the analysis focuses on whether marble </w:t>
      </w:r>
      <w:proofErr w:type="gramStart"/>
      <w:r w:rsidRPr="006E2182">
        <w:rPr>
          <w:rFonts w:ascii="proxima-nova" w:eastAsia="Times New Roman" w:hAnsi="proxima-nova" w:cs="Times New Roman"/>
          <w:color w:val="333333"/>
          <w:sz w:val="24"/>
          <w:szCs w:val="24"/>
          <w:lang w:eastAsia="en-IN"/>
        </w:rPr>
        <w:t>could be presented</w:t>
      </w:r>
      <w:proofErr w:type="gramEnd"/>
      <w:r w:rsidRPr="006E2182">
        <w:rPr>
          <w:rFonts w:ascii="proxima-nova" w:eastAsia="Times New Roman" w:hAnsi="proxima-nova" w:cs="Times New Roman"/>
          <w:color w:val="333333"/>
          <w:sz w:val="24"/>
          <w:szCs w:val="24"/>
          <w:lang w:eastAsia="en-IN"/>
        </w:rPr>
        <w:t xml:space="preserve"> by marketers employed by construction firms as a luxury material. Answering this question could provide both marketing theorists and practitioners with valuable knowledge on developing new marketing strategies in construction and similar industries.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6E2182">
        <w:rPr>
          <w:rFonts w:ascii="proxima-nova" w:eastAsia="Times New Roman" w:hAnsi="proxima-nova" w:cs="Times New Roman"/>
          <w:color w:val="044974"/>
          <w:sz w:val="45"/>
          <w:szCs w:val="45"/>
          <w:lang w:eastAsia="en-IN"/>
        </w:rPr>
        <w:t>The Marketing of Marble as a Luxury Product</w:t>
      </w:r>
    </w:p>
    <w:p w:rsidR="006E2182" w:rsidRPr="006E2182" w:rsidRDefault="006E2182" w:rsidP="006E2182">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6E2182">
        <w:rPr>
          <w:rFonts w:ascii="proxima-nova" w:eastAsia="Times New Roman" w:hAnsi="proxima-nova" w:cs="Times New Roman"/>
          <w:color w:val="044974"/>
          <w:sz w:val="36"/>
          <w:szCs w:val="36"/>
          <w:lang w:eastAsia="en-IN"/>
        </w:rPr>
        <w:t>Defining Luxury in the Construction Industry</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This section focuses on how the present body of academic knowledge typically defines luxury and how these models could relate to the construction industry. Multiple researchers were in agreement that luxury was a highly diverse concept covering uniqueness, utilitarian value and hedonistic value (Yu and Hu, 2020; Liu et al., 2019).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proposed the following framework of luxury consumption.</w:t>
      </w:r>
    </w:p>
    <w:p w:rsidR="006E2182" w:rsidRPr="006E2182" w:rsidRDefault="006E2182" w:rsidP="006E2182">
      <w:pPr>
        <w:shd w:val="clear" w:color="auto" w:fill="FFFFFF"/>
        <w:spacing w:before="150" w:after="150" w:line="240" w:lineRule="auto"/>
        <w:jc w:val="both"/>
        <w:outlineLvl w:val="3"/>
        <w:rPr>
          <w:rFonts w:ascii="proxima-nova" w:eastAsia="Times New Roman" w:hAnsi="proxima-nova" w:cs="Times New Roman"/>
          <w:color w:val="044974"/>
          <w:sz w:val="27"/>
          <w:szCs w:val="27"/>
          <w:lang w:eastAsia="en-IN"/>
        </w:rPr>
      </w:pPr>
      <w:r w:rsidRPr="006E2182">
        <w:rPr>
          <w:rFonts w:ascii="proxima-nova" w:eastAsia="Times New Roman" w:hAnsi="proxima-nova" w:cs="Times New Roman"/>
          <w:color w:val="044974"/>
          <w:sz w:val="27"/>
          <w:szCs w:val="27"/>
          <w:lang w:eastAsia="en-IN"/>
        </w:rPr>
        <w:t>Figure 1: A Framework of Luxury Consumption</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noProof/>
          <w:color w:val="333333"/>
          <w:sz w:val="24"/>
          <w:szCs w:val="24"/>
          <w:lang w:eastAsia="en-IN"/>
        </w:rPr>
        <w:lastRenderedPageBreak/>
        <w:drawing>
          <wp:inline distT="0" distB="0" distL="0" distR="0">
            <wp:extent cx="5943600" cy="4400550"/>
            <wp:effectExtent l="0" t="0" r="0" b="0"/>
            <wp:docPr id="1" name="Picture 1" descr="https://15writers.com/wp-content/uploads/2020/01/A-Framework-of-Luxury-Consump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15writers.com/wp-content/uploads/2020/01/A-Framework-of-Luxury-Consumptio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400550"/>
                    </a:xfrm>
                    <a:prstGeom prst="rect">
                      <a:avLst/>
                    </a:prstGeom>
                    <a:noFill/>
                    <a:ln>
                      <a:noFill/>
                    </a:ln>
                  </pic:spPr>
                </pic:pic>
              </a:graphicData>
            </a:graphic>
          </wp:inline>
        </w:drawing>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When discussing the concept of luxury, the researchers emphasised alignment between luxury and individual and cultural luxury values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Authenticity, economic value, uniqueness, self-confidence and pride </w:t>
      </w:r>
      <w:proofErr w:type="gramStart"/>
      <w:r w:rsidRPr="006E2182">
        <w:rPr>
          <w:rFonts w:ascii="proxima-nova" w:eastAsia="Times New Roman" w:hAnsi="proxima-nova" w:cs="Times New Roman"/>
          <w:color w:val="333333"/>
          <w:sz w:val="24"/>
          <w:szCs w:val="24"/>
          <w:lang w:eastAsia="en-IN"/>
        </w:rPr>
        <w:t>were identified</w:t>
      </w:r>
      <w:proofErr w:type="gramEnd"/>
      <w:r w:rsidRPr="006E2182">
        <w:rPr>
          <w:rFonts w:ascii="proxima-nova" w:eastAsia="Times New Roman" w:hAnsi="proxima-nova" w:cs="Times New Roman"/>
          <w:color w:val="333333"/>
          <w:sz w:val="24"/>
          <w:szCs w:val="24"/>
          <w:lang w:eastAsia="en-IN"/>
        </w:rPr>
        <w:t xml:space="preserve"> as 5 key characteristics of luxury brands expressed through consumer behaviour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The question facing the study was whether such a definition was still applicable to the construction industry. On the one hand, construction firms provided a unique service to their clients, meaning that their value proposition </w:t>
      </w:r>
      <w:proofErr w:type="gramStart"/>
      <w:r w:rsidRPr="006E2182">
        <w:rPr>
          <w:rFonts w:ascii="proxima-nova" w:eastAsia="Times New Roman" w:hAnsi="proxima-nova" w:cs="Times New Roman"/>
          <w:color w:val="333333"/>
          <w:sz w:val="24"/>
          <w:szCs w:val="24"/>
          <w:lang w:eastAsia="en-IN"/>
        </w:rPr>
        <w:t>could be considered</w:t>
      </w:r>
      <w:proofErr w:type="gramEnd"/>
      <w:r w:rsidRPr="006E2182">
        <w:rPr>
          <w:rFonts w:ascii="proxima-nova" w:eastAsia="Times New Roman" w:hAnsi="proxima-nova" w:cs="Times New Roman"/>
          <w:color w:val="333333"/>
          <w:sz w:val="24"/>
          <w:szCs w:val="24"/>
          <w:lang w:eastAsia="en-IN"/>
        </w:rPr>
        <w:t xml:space="preserve"> as luxury if the service fits the above benchmarks (Yu and Hu, 2020). On the other hand, it remained to </w:t>
      </w:r>
      <w:proofErr w:type="gramStart"/>
      <w:r w:rsidRPr="006E2182">
        <w:rPr>
          <w:rFonts w:ascii="proxima-nova" w:eastAsia="Times New Roman" w:hAnsi="proxima-nova" w:cs="Times New Roman"/>
          <w:color w:val="333333"/>
          <w:sz w:val="24"/>
          <w:szCs w:val="24"/>
          <w:lang w:eastAsia="en-IN"/>
        </w:rPr>
        <w:t>be seen</w:t>
      </w:r>
      <w:proofErr w:type="gramEnd"/>
      <w:r w:rsidRPr="006E2182">
        <w:rPr>
          <w:rFonts w:ascii="proxima-nova" w:eastAsia="Times New Roman" w:hAnsi="proxima-nova" w:cs="Times New Roman"/>
          <w:color w:val="333333"/>
          <w:sz w:val="24"/>
          <w:szCs w:val="24"/>
          <w:lang w:eastAsia="en-IN"/>
        </w:rPr>
        <w:t xml:space="preserve"> whether this argument extended to the use of individual materials for construction, namely marble.</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There existed little academic evidence that would explicitly link the concept of luxury to the construction sector. However, other scholars suggested that the value proposition of construction firms had distinct levels of quality (Yu et al., 2019). In turn, quality could reach a degree that would fit the luxury criteria established by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In their review of this issue, Ma et al. (2018) noted that construction firms could implement collaborative communications systems to reduce the number of audits required for operations management. The implication was that construction firms could implement specific practices that improved the quality of their services or added new features to the construction process (Ma et al., 2018). These mechanisms arguably improved the perceived economic value of construction projects as well as adding to the fields of self-confidence and pride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Nevertheless, this discussion omitted other criteria, namely authenticity, uniqueness and country of origin.</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lastRenderedPageBreak/>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The essay argues that both authenticity and uniqueness are applicable to the construction sector. For instance, Gao et al. (2020) suggested that authenticity was one of the main criteria used by visitors when evaluating the construction of heritage sites. In other words, authenticity in the construction industry could refer to the preservation of specific individual or cultural values which was consistent with the definitions proposed by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Uniqueness in the construction sector typically referred to the use of inimitable architectural plans reflecting the requirements of the clients (</w:t>
      </w:r>
      <w:proofErr w:type="spellStart"/>
      <w:r w:rsidRPr="006E2182">
        <w:rPr>
          <w:rFonts w:ascii="proxima-nova" w:eastAsia="Times New Roman" w:hAnsi="proxima-nova" w:cs="Times New Roman"/>
          <w:color w:val="333333"/>
          <w:sz w:val="24"/>
          <w:szCs w:val="24"/>
          <w:lang w:eastAsia="en-IN"/>
        </w:rPr>
        <w:t>Musilek</w:t>
      </w:r>
      <w:proofErr w:type="spellEnd"/>
      <w:r w:rsidRPr="006E2182">
        <w:rPr>
          <w:rFonts w:ascii="proxima-nova" w:eastAsia="Times New Roman" w:hAnsi="proxima-nova" w:cs="Times New Roman"/>
          <w:color w:val="333333"/>
          <w:sz w:val="24"/>
          <w:szCs w:val="24"/>
          <w:lang w:eastAsia="en-IN"/>
        </w:rPr>
        <w:t xml:space="preserve"> et al., 2016). The argument was that luxury in the construction sector was dependent on individual project requirements and </w:t>
      </w:r>
      <w:proofErr w:type="gramStart"/>
      <w:r w:rsidRPr="006E2182">
        <w:rPr>
          <w:rFonts w:ascii="proxima-nova" w:eastAsia="Times New Roman" w:hAnsi="proxima-nova" w:cs="Times New Roman"/>
          <w:color w:val="333333"/>
          <w:sz w:val="24"/>
          <w:szCs w:val="24"/>
          <w:lang w:eastAsia="en-IN"/>
        </w:rPr>
        <w:t>could not necessarily be reduced</w:t>
      </w:r>
      <w:proofErr w:type="gramEnd"/>
      <w:r w:rsidRPr="006E2182">
        <w:rPr>
          <w:rFonts w:ascii="proxima-nova" w:eastAsia="Times New Roman" w:hAnsi="proxima-nova" w:cs="Times New Roman"/>
          <w:color w:val="333333"/>
          <w:sz w:val="24"/>
          <w:szCs w:val="24"/>
          <w:lang w:eastAsia="en-IN"/>
        </w:rPr>
        <w:t xml:space="preserve"> to universal criteria. One critique of this discussion was that both uniqueness and authenticity were ultimately subjective and defined by each individual client and visitor (</w:t>
      </w:r>
      <w:proofErr w:type="gramStart"/>
      <w:r w:rsidRPr="006E2182">
        <w:rPr>
          <w:rFonts w:ascii="proxima-nova" w:eastAsia="Times New Roman" w:hAnsi="proxima-nova" w:cs="Times New Roman"/>
          <w:color w:val="333333"/>
          <w:sz w:val="24"/>
          <w:szCs w:val="24"/>
          <w:lang w:eastAsia="en-IN"/>
        </w:rPr>
        <w:t>Gao et al</w:t>
      </w:r>
      <w:proofErr w:type="gramEnd"/>
      <w:r w:rsidRPr="006E2182">
        <w:rPr>
          <w:rFonts w:ascii="proxima-nova" w:eastAsia="Times New Roman" w:hAnsi="proxima-nova" w:cs="Times New Roman"/>
          <w:color w:val="333333"/>
          <w:sz w:val="24"/>
          <w:szCs w:val="24"/>
          <w:lang w:eastAsia="en-IN"/>
        </w:rPr>
        <w:t xml:space="preserve">., 2020; </w:t>
      </w:r>
      <w:proofErr w:type="spellStart"/>
      <w:r w:rsidRPr="006E2182">
        <w:rPr>
          <w:rFonts w:ascii="proxima-nova" w:eastAsia="Times New Roman" w:hAnsi="proxima-nova" w:cs="Times New Roman"/>
          <w:color w:val="333333"/>
          <w:sz w:val="24"/>
          <w:szCs w:val="24"/>
          <w:lang w:eastAsia="en-IN"/>
        </w:rPr>
        <w:t>Musilek</w:t>
      </w:r>
      <w:proofErr w:type="spellEnd"/>
      <w:r w:rsidRPr="006E2182">
        <w:rPr>
          <w:rFonts w:ascii="proxima-nova" w:eastAsia="Times New Roman" w:hAnsi="proxima-nova" w:cs="Times New Roman"/>
          <w:color w:val="333333"/>
          <w:sz w:val="24"/>
          <w:szCs w:val="24"/>
          <w:lang w:eastAsia="en-IN"/>
        </w:rPr>
        <w:t xml:space="preserve"> et al., 2016). While the extant criteria of luxury brands were applicable to the construction industry, there existed caveats that did prevent unambiguous perceptions of luxury.</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One final remark was that the construction industry introduced a unique criterion for luxury, namely sustainability. The construction sector was resource-intensive, meaning that construction firms were under stakeholder pressure to reduce the number of produced pollution and switch to renewable sources of energy (Goh et al., 2019). Higher sustainability significantly improved perceptions of individual construction projects, meaning that sustainability was a possible addition to the framework of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The essay acknowledges that the factor of the country of origin had limited relevance to the construction industry. There existed no empirical studies that would illustrate how country of origin affected the quality of construction projects. This meant that the construction sector presented a unique case when viewed using the modern definitions of luxury products and services.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before="300" w:after="150" w:line="240" w:lineRule="auto"/>
        <w:jc w:val="both"/>
        <w:outlineLvl w:val="2"/>
        <w:rPr>
          <w:rFonts w:ascii="proxima-nova" w:eastAsia="Times New Roman" w:hAnsi="proxima-nova" w:cs="Times New Roman"/>
          <w:color w:val="044974"/>
          <w:sz w:val="36"/>
          <w:szCs w:val="36"/>
          <w:lang w:eastAsia="en-IN"/>
        </w:rPr>
      </w:pPr>
      <w:r w:rsidRPr="006E2182">
        <w:rPr>
          <w:rFonts w:ascii="proxima-nova" w:eastAsia="Times New Roman" w:hAnsi="proxima-nova" w:cs="Times New Roman"/>
          <w:color w:val="044974"/>
          <w:sz w:val="36"/>
          <w:szCs w:val="36"/>
          <w:lang w:eastAsia="en-IN"/>
        </w:rPr>
        <w:t>Marble as a Driver of Luxury in the Construction Industry</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The discussion now turns to marble, its marketing and how its usage could be a driver of luxury in the construction industry. The question was whether the use of marble allowed construction projects to fit the relevant criteria for luxury, namely sustainability, authenticity, uniqueness, economic value, self-confidence and pride. In their review of marble usage in construction projects, </w:t>
      </w:r>
      <w:proofErr w:type="spellStart"/>
      <w:r w:rsidRPr="006E2182">
        <w:rPr>
          <w:rFonts w:ascii="proxima-nova" w:eastAsia="Times New Roman" w:hAnsi="proxima-nova" w:cs="Times New Roman"/>
          <w:color w:val="333333"/>
          <w:sz w:val="24"/>
          <w:szCs w:val="24"/>
          <w:lang w:eastAsia="en-IN"/>
        </w:rPr>
        <w:t>Belouadah</w:t>
      </w:r>
      <w:proofErr w:type="spellEnd"/>
      <w:r w:rsidRPr="006E2182">
        <w:rPr>
          <w:rFonts w:ascii="proxima-nova" w:eastAsia="Times New Roman" w:hAnsi="proxima-nova" w:cs="Times New Roman"/>
          <w:color w:val="333333"/>
          <w:sz w:val="24"/>
          <w:szCs w:val="24"/>
          <w:lang w:eastAsia="en-IN"/>
        </w:rPr>
        <w:t xml:space="preserve"> et al. (2019) suggested that specific types of marble could act as raw materials or construction waste. This implied that there existed no specific properties to marble that added to the perceived luxury of construction projects. On the other hand, Farrier (2019) implied that the use of white marble was a mechanism of communicating one’s wealth and political power in Turkmenistan. The finding was that some types of marble (e.g. white marble) were characterised with cultural codes that arguably improved authenticity, uniqueness, self-confidence and pride.</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One explanation for this phenomenon was the rarity of white marble. According to </w:t>
      </w:r>
      <w:proofErr w:type="spellStart"/>
      <w:r w:rsidRPr="006E2182">
        <w:rPr>
          <w:rFonts w:ascii="proxima-nova" w:eastAsia="Times New Roman" w:hAnsi="proxima-nova" w:cs="Times New Roman"/>
          <w:color w:val="333333"/>
          <w:sz w:val="24"/>
          <w:szCs w:val="24"/>
          <w:lang w:eastAsia="en-IN"/>
        </w:rPr>
        <w:t>Marmivrech</w:t>
      </w:r>
      <w:proofErr w:type="spellEnd"/>
      <w:r w:rsidRPr="006E2182">
        <w:rPr>
          <w:rFonts w:ascii="proxima-nova" w:eastAsia="Times New Roman" w:hAnsi="proxima-nova" w:cs="Times New Roman"/>
          <w:color w:val="333333"/>
          <w:sz w:val="24"/>
          <w:szCs w:val="24"/>
          <w:lang w:eastAsia="en-IN"/>
        </w:rPr>
        <w:t xml:space="preserve"> (2019), specific types of white marble (such as </w:t>
      </w:r>
      <w:proofErr w:type="spellStart"/>
      <w:r w:rsidRPr="006E2182">
        <w:rPr>
          <w:rFonts w:ascii="proxima-nova" w:eastAsia="Times New Roman" w:hAnsi="proxima-nova" w:cs="Times New Roman"/>
          <w:color w:val="333333"/>
          <w:sz w:val="24"/>
          <w:szCs w:val="24"/>
          <w:lang w:eastAsia="en-IN"/>
        </w:rPr>
        <w:t>Statuario</w:t>
      </w:r>
      <w:proofErr w:type="spellEnd"/>
      <w:r w:rsidRPr="006E2182">
        <w:rPr>
          <w:rFonts w:ascii="proxima-nova" w:eastAsia="Times New Roman" w:hAnsi="proxima-nova" w:cs="Times New Roman"/>
          <w:color w:val="333333"/>
          <w:sz w:val="24"/>
          <w:szCs w:val="24"/>
          <w:lang w:eastAsia="en-IN"/>
        </w:rPr>
        <w:t xml:space="preserve"> marble) were only available in specific regions (e.g. Southern Italy). The implication was that the use of white marble communicated that the construction project had high symbolic significance, strongly contributing to its perceived uniqueness and possibly economic value (Farrier, 2019). Another justification for the link between marble and luxury was the fact that marble </w:t>
      </w:r>
      <w:proofErr w:type="gramStart"/>
      <w:r w:rsidRPr="006E2182">
        <w:rPr>
          <w:rFonts w:ascii="proxima-nova" w:eastAsia="Times New Roman" w:hAnsi="proxima-nova" w:cs="Times New Roman"/>
          <w:color w:val="333333"/>
          <w:sz w:val="24"/>
          <w:szCs w:val="24"/>
          <w:lang w:eastAsia="en-IN"/>
        </w:rPr>
        <w:t>was attached</w:t>
      </w:r>
      <w:proofErr w:type="gramEnd"/>
      <w:r w:rsidRPr="006E2182">
        <w:rPr>
          <w:rFonts w:ascii="proxima-nova" w:eastAsia="Times New Roman" w:hAnsi="proxima-nova" w:cs="Times New Roman"/>
          <w:color w:val="333333"/>
          <w:sz w:val="24"/>
          <w:szCs w:val="24"/>
          <w:lang w:eastAsia="en-IN"/>
        </w:rPr>
        <w:t xml:space="preserve"> with strong cultural </w:t>
      </w:r>
      <w:r w:rsidRPr="006E2182">
        <w:rPr>
          <w:rFonts w:ascii="proxima-nova" w:eastAsia="Times New Roman" w:hAnsi="proxima-nova" w:cs="Times New Roman"/>
          <w:color w:val="333333"/>
          <w:sz w:val="24"/>
          <w:szCs w:val="24"/>
          <w:lang w:eastAsia="en-IN"/>
        </w:rPr>
        <w:lastRenderedPageBreak/>
        <w:t xml:space="preserve">and religious connotations. For example, white marble held religious significance in Islam, explaining its usage in </w:t>
      </w:r>
      <w:proofErr w:type="spellStart"/>
      <w:r w:rsidRPr="006E2182">
        <w:rPr>
          <w:rFonts w:ascii="proxima-nova" w:eastAsia="Times New Roman" w:hAnsi="proxima-nova" w:cs="Times New Roman"/>
          <w:color w:val="333333"/>
          <w:sz w:val="24"/>
          <w:szCs w:val="24"/>
          <w:lang w:eastAsia="en-IN"/>
        </w:rPr>
        <w:t>Turmekistan</w:t>
      </w:r>
      <w:proofErr w:type="spellEnd"/>
      <w:r w:rsidRPr="006E2182">
        <w:rPr>
          <w:rFonts w:ascii="proxima-nova" w:eastAsia="Times New Roman" w:hAnsi="proxima-nova" w:cs="Times New Roman"/>
          <w:color w:val="333333"/>
          <w:sz w:val="24"/>
          <w:szCs w:val="24"/>
          <w:lang w:eastAsia="en-IN"/>
        </w:rPr>
        <w:t xml:space="preserve"> (Farrier, 2019). The use of marble was a possible source of luxury marketing in the construction industry. On the other hand, experts have critiqued the use of white marble in the urban setting, claiming that this material provided few utilitarian benefits (Farrier, 2019). The impacts of white marble on economic value were, therefore, questionable.</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The use of marble was a valuable addition to the marketing practices available to construction firms and interior decorators. As was stated by </w:t>
      </w:r>
      <w:proofErr w:type="spellStart"/>
      <w:r w:rsidRPr="006E2182">
        <w:rPr>
          <w:rFonts w:ascii="proxima-nova" w:eastAsia="Times New Roman" w:hAnsi="proxima-nova" w:cs="Times New Roman"/>
          <w:color w:val="333333"/>
          <w:sz w:val="24"/>
          <w:szCs w:val="24"/>
          <w:lang w:eastAsia="en-IN"/>
        </w:rPr>
        <w:t>Tino</w:t>
      </w:r>
      <w:proofErr w:type="spellEnd"/>
      <w:r w:rsidRPr="006E2182">
        <w:rPr>
          <w:rFonts w:ascii="proxima-nova" w:eastAsia="Times New Roman" w:hAnsi="proxima-nova" w:cs="Times New Roman"/>
          <w:color w:val="333333"/>
          <w:sz w:val="24"/>
          <w:szCs w:val="24"/>
          <w:lang w:eastAsia="en-IN"/>
        </w:rPr>
        <w:t xml:space="preserve"> (2019), the rarity of marble meant that this material </w:t>
      </w:r>
      <w:proofErr w:type="gramStart"/>
      <w:r w:rsidRPr="006E2182">
        <w:rPr>
          <w:rFonts w:ascii="proxima-nova" w:eastAsia="Times New Roman" w:hAnsi="proxima-nova" w:cs="Times New Roman"/>
          <w:color w:val="333333"/>
          <w:sz w:val="24"/>
          <w:szCs w:val="24"/>
          <w:lang w:eastAsia="en-IN"/>
        </w:rPr>
        <w:t>was typically assigned</w:t>
      </w:r>
      <w:proofErr w:type="gramEnd"/>
      <w:r w:rsidRPr="006E2182">
        <w:rPr>
          <w:rFonts w:ascii="proxima-nova" w:eastAsia="Times New Roman" w:hAnsi="proxima-nova" w:cs="Times New Roman"/>
          <w:color w:val="333333"/>
          <w:sz w:val="24"/>
          <w:szCs w:val="24"/>
          <w:lang w:eastAsia="en-IN"/>
        </w:rPr>
        <w:t xml:space="preserve"> a price premium by construction companies. The use of marble communicated the ability of the clients of construction companies to bear increased costs, acting as a powerful branding tool. Linking these findings to the original framework of luxury, the use of marble contributed to pride and self-confidence (</w:t>
      </w:r>
      <w:proofErr w:type="spellStart"/>
      <w:proofErr w:type="gram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w:t>
      </w:r>
      <w:proofErr w:type="gramEnd"/>
      <w:r w:rsidRPr="006E2182">
        <w:rPr>
          <w:rFonts w:ascii="proxima-nova" w:eastAsia="Times New Roman" w:hAnsi="proxima-nova" w:cs="Times New Roman"/>
          <w:color w:val="333333"/>
          <w:sz w:val="24"/>
          <w:szCs w:val="24"/>
          <w:lang w:eastAsia="en-IN"/>
        </w:rPr>
        <w:t>., 2019). Another question was whether marble could be an inherently sustainable material. Adding marble to other construction materials (such as concrete) typically improved the degree to which these resources could be recycled (</w:t>
      </w:r>
      <w:proofErr w:type="spellStart"/>
      <w:r w:rsidRPr="006E2182">
        <w:rPr>
          <w:rFonts w:ascii="proxima-nova" w:eastAsia="Times New Roman" w:hAnsi="proxima-nova" w:cs="Times New Roman"/>
          <w:color w:val="333333"/>
          <w:sz w:val="24"/>
          <w:szCs w:val="24"/>
          <w:lang w:eastAsia="en-IN"/>
        </w:rPr>
        <w:t>Belouadah</w:t>
      </w:r>
      <w:proofErr w:type="spellEnd"/>
      <w:r w:rsidRPr="006E2182">
        <w:rPr>
          <w:rFonts w:ascii="proxima-nova" w:eastAsia="Times New Roman" w:hAnsi="proxima-nova" w:cs="Times New Roman"/>
          <w:color w:val="333333"/>
          <w:sz w:val="24"/>
          <w:szCs w:val="24"/>
          <w:lang w:eastAsia="en-IN"/>
        </w:rPr>
        <w:t xml:space="preserve"> et al., 2019). Nonetheless, Aydin and </w:t>
      </w:r>
      <w:proofErr w:type="spellStart"/>
      <w:r w:rsidRPr="006E2182">
        <w:rPr>
          <w:rFonts w:ascii="proxima-nova" w:eastAsia="Times New Roman" w:hAnsi="proxima-nova" w:cs="Times New Roman"/>
          <w:color w:val="333333"/>
          <w:sz w:val="24"/>
          <w:szCs w:val="24"/>
          <w:lang w:eastAsia="en-IN"/>
        </w:rPr>
        <w:t>Arel</w:t>
      </w:r>
      <w:proofErr w:type="spellEnd"/>
      <w:r w:rsidRPr="006E2182">
        <w:rPr>
          <w:rFonts w:ascii="proxima-nova" w:eastAsia="Times New Roman" w:hAnsi="proxima-nova" w:cs="Times New Roman"/>
          <w:color w:val="333333"/>
          <w:sz w:val="24"/>
          <w:szCs w:val="24"/>
          <w:lang w:eastAsia="en-IN"/>
        </w:rPr>
        <w:t xml:space="preserve"> (2019) noted that the degree to which marble itself was recyclable was not significantly higher than that of other construction materials. This suggested that marble was not an effective material to use when sustainability was the main driver of luxury. Another issue was communicating the link between luxury and sustainability. When discussing the concept of luxury, </w:t>
      </w:r>
      <w:proofErr w:type="spellStart"/>
      <w:r w:rsidRPr="006E2182">
        <w:rPr>
          <w:rFonts w:ascii="proxima-nova" w:eastAsia="Times New Roman" w:hAnsi="proxima-nova" w:cs="Times New Roman"/>
          <w:color w:val="333333"/>
          <w:sz w:val="24"/>
          <w:szCs w:val="24"/>
          <w:lang w:eastAsia="en-IN"/>
        </w:rPr>
        <w:t>Ko</w:t>
      </w:r>
      <w:proofErr w:type="spellEnd"/>
      <w:r w:rsidRPr="006E2182">
        <w:rPr>
          <w:rFonts w:ascii="proxima-nova" w:eastAsia="Times New Roman" w:hAnsi="proxima-nova" w:cs="Times New Roman"/>
          <w:color w:val="333333"/>
          <w:sz w:val="24"/>
          <w:szCs w:val="24"/>
          <w:lang w:eastAsia="en-IN"/>
        </w:rPr>
        <w:t xml:space="preserve"> et al. (2019) suggested that branding and marketing were vital in whether specific products or services </w:t>
      </w:r>
      <w:proofErr w:type="gramStart"/>
      <w:r w:rsidRPr="006E2182">
        <w:rPr>
          <w:rFonts w:ascii="proxima-nova" w:eastAsia="Times New Roman" w:hAnsi="proxima-nova" w:cs="Times New Roman"/>
          <w:color w:val="333333"/>
          <w:sz w:val="24"/>
          <w:szCs w:val="24"/>
          <w:lang w:eastAsia="en-IN"/>
        </w:rPr>
        <w:t>were perceived</w:t>
      </w:r>
      <w:proofErr w:type="gramEnd"/>
      <w:r w:rsidRPr="006E2182">
        <w:rPr>
          <w:rFonts w:ascii="proxima-nova" w:eastAsia="Times New Roman" w:hAnsi="proxima-nova" w:cs="Times New Roman"/>
          <w:color w:val="333333"/>
          <w:sz w:val="24"/>
          <w:szCs w:val="24"/>
          <w:lang w:eastAsia="en-IN"/>
        </w:rPr>
        <w:t xml:space="preserve"> as luxurious. It would be challenging to accurately communicate the chemical characteristics of marble to stakeholders unfamiliar with this resource. The implication was that the marketing of marble was not a valuable instrument for communicating the luxuriousness of construction projects.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6E2182">
        <w:rPr>
          <w:rFonts w:ascii="proxima-nova" w:eastAsia="Times New Roman" w:hAnsi="proxima-nova" w:cs="Times New Roman"/>
          <w:color w:val="044974"/>
          <w:sz w:val="45"/>
          <w:szCs w:val="45"/>
          <w:lang w:eastAsia="en-IN"/>
        </w:rPr>
        <w:t>Conclusions and Implications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The essay demonstrated that the current definitions of luxury branding and marketing were applicable to the construction industry. At the same time, the construction sector also incorporated sustainability as an indicator of luxury. Answering the question established in the introduction, the analysis suggested that the use of marble in construction was a valuable marketing practice. Marketers could benefit from cultural and religious connotations typically attached to marble. Another benefit of marble was in explicitly communicating the financial capabilities of the clients of construction firms. Nonetheless, marble did not explicitly contribute to perceived sustainability and total economic value. The practical implication was that the marketing of construction projects could incorporate the use of marble as an indicator of luxury branding. Marketers employed by construction firms would need to be aware of the cultural significance attached to marble. The theoretical contribution of the essay was in illustrating that the definition of luxury could vary between different industries.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w:t>
      </w:r>
    </w:p>
    <w:p w:rsidR="006E2182" w:rsidRPr="006E2182" w:rsidRDefault="006E2182" w:rsidP="006E2182">
      <w:pPr>
        <w:shd w:val="clear" w:color="auto" w:fill="FFFFFF"/>
        <w:spacing w:before="300" w:after="150" w:line="240" w:lineRule="auto"/>
        <w:jc w:val="both"/>
        <w:outlineLvl w:val="1"/>
        <w:rPr>
          <w:rFonts w:ascii="proxima-nova" w:eastAsia="Times New Roman" w:hAnsi="proxima-nova" w:cs="Times New Roman"/>
          <w:color w:val="044974"/>
          <w:sz w:val="45"/>
          <w:szCs w:val="45"/>
          <w:lang w:eastAsia="en-IN"/>
        </w:rPr>
      </w:pPr>
      <w:r w:rsidRPr="006E2182">
        <w:rPr>
          <w:rFonts w:ascii="proxima-nova" w:eastAsia="Times New Roman" w:hAnsi="proxima-nova" w:cs="Times New Roman"/>
          <w:color w:val="044974"/>
          <w:sz w:val="45"/>
          <w:szCs w:val="45"/>
          <w:lang w:eastAsia="en-IN"/>
        </w:rPr>
        <w:t>References</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Aydin, E. and </w:t>
      </w:r>
      <w:proofErr w:type="spellStart"/>
      <w:r w:rsidRPr="006E2182">
        <w:rPr>
          <w:rFonts w:ascii="proxima-nova" w:eastAsia="Times New Roman" w:hAnsi="proxima-nova" w:cs="Times New Roman"/>
          <w:color w:val="333333"/>
          <w:sz w:val="24"/>
          <w:szCs w:val="24"/>
          <w:lang w:eastAsia="en-IN"/>
        </w:rPr>
        <w:t>Arel</w:t>
      </w:r>
      <w:proofErr w:type="spellEnd"/>
      <w:r w:rsidRPr="006E2182">
        <w:rPr>
          <w:rFonts w:ascii="proxima-nova" w:eastAsia="Times New Roman" w:hAnsi="proxima-nova" w:cs="Times New Roman"/>
          <w:color w:val="333333"/>
          <w:sz w:val="24"/>
          <w:szCs w:val="24"/>
          <w:lang w:eastAsia="en-IN"/>
        </w:rPr>
        <w:t>, H. (2019) “Data for the marble-cement paste composites for sustainable construction”, </w:t>
      </w:r>
      <w:r w:rsidRPr="006E2182">
        <w:rPr>
          <w:rFonts w:ascii="proxima-nova" w:eastAsia="Times New Roman" w:hAnsi="proxima-nova" w:cs="Times New Roman"/>
          <w:i/>
          <w:iCs/>
          <w:color w:val="333333"/>
          <w:sz w:val="24"/>
          <w:szCs w:val="24"/>
          <w:lang w:eastAsia="en-IN"/>
        </w:rPr>
        <w:t>Data in brief</w:t>
      </w:r>
      <w:r w:rsidRPr="006E2182">
        <w:rPr>
          <w:rFonts w:ascii="proxima-nova" w:eastAsia="Times New Roman" w:hAnsi="proxima-nova" w:cs="Times New Roman"/>
          <w:color w:val="333333"/>
          <w:sz w:val="24"/>
          <w:szCs w:val="24"/>
          <w:lang w:eastAsia="en-IN"/>
        </w:rPr>
        <w:t>, 26 (1), pp. 1-4.</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lastRenderedPageBreak/>
        <w:t>Belouadah</w:t>
      </w:r>
      <w:proofErr w:type="spellEnd"/>
      <w:r w:rsidRPr="006E2182">
        <w:rPr>
          <w:rFonts w:ascii="proxima-nova" w:eastAsia="Times New Roman" w:hAnsi="proxima-nova" w:cs="Times New Roman"/>
          <w:color w:val="333333"/>
          <w:sz w:val="24"/>
          <w:szCs w:val="24"/>
          <w:lang w:eastAsia="en-IN"/>
        </w:rPr>
        <w:t xml:space="preserve">, M., </w:t>
      </w:r>
      <w:proofErr w:type="spellStart"/>
      <w:r w:rsidRPr="006E2182">
        <w:rPr>
          <w:rFonts w:ascii="proxima-nova" w:eastAsia="Times New Roman" w:hAnsi="proxima-nova" w:cs="Times New Roman"/>
          <w:color w:val="333333"/>
          <w:sz w:val="24"/>
          <w:szCs w:val="24"/>
          <w:lang w:eastAsia="en-IN"/>
        </w:rPr>
        <w:t>Rahmouni</w:t>
      </w:r>
      <w:proofErr w:type="spellEnd"/>
      <w:r w:rsidRPr="006E2182">
        <w:rPr>
          <w:rFonts w:ascii="proxima-nova" w:eastAsia="Times New Roman" w:hAnsi="proxima-nova" w:cs="Times New Roman"/>
          <w:color w:val="333333"/>
          <w:sz w:val="24"/>
          <w:szCs w:val="24"/>
          <w:lang w:eastAsia="en-IN"/>
        </w:rPr>
        <w:t xml:space="preserve">, Z. and </w:t>
      </w:r>
      <w:proofErr w:type="spellStart"/>
      <w:r w:rsidRPr="006E2182">
        <w:rPr>
          <w:rFonts w:ascii="proxima-nova" w:eastAsia="Times New Roman" w:hAnsi="proxima-nova" w:cs="Times New Roman"/>
          <w:color w:val="333333"/>
          <w:sz w:val="24"/>
          <w:szCs w:val="24"/>
          <w:lang w:eastAsia="en-IN"/>
        </w:rPr>
        <w:t>Tebbal</w:t>
      </w:r>
      <w:proofErr w:type="spellEnd"/>
      <w:r w:rsidRPr="006E2182">
        <w:rPr>
          <w:rFonts w:ascii="proxima-nova" w:eastAsia="Times New Roman" w:hAnsi="proxima-nova" w:cs="Times New Roman"/>
          <w:color w:val="333333"/>
          <w:sz w:val="24"/>
          <w:szCs w:val="24"/>
          <w:lang w:eastAsia="en-IN"/>
        </w:rPr>
        <w:t>, N. (2019) “Experimental characterization of ordinary concretes obtained by adding construction waste (glass, marble)”, </w:t>
      </w:r>
      <w:r w:rsidRPr="006E2182">
        <w:rPr>
          <w:rFonts w:ascii="proxima-nova" w:eastAsia="Times New Roman" w:hAnsi="proxima-nova" w:cs="Times New Roman"/>
          <w:i/>
          <w:iCs/>
          <w:color w:val="333333"/>
          <w:sz w:val="24"/>
          <w:szCs w:val="24"/>
          <w:lang w:eastAsia="en-IN"/>
        </w:rPr>
        <w:t>Procedia Computer Science</w:t>
      </w:r>
      <w:r w:rsidRPr="006E2182">
        <w:rPr>
          <w:rFonts w:ascii="proxima-nova" w:eastAsia="Times New Roman" w:hAnsi="proxima-nova" w:cs="Times New Roman"/>
          <w:color w:val="333333"/>
          <w:sz w:val="24"/>
          <w:szCs w:val="24"/>
          <w:lang w:eastAsia="en-IN"/>
        </w:rPr>
        <w:t>, 158 (1), pp. 153-162.</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t>Chandon</w:t>
      </w:r>
      <w:proofErr w:type="spellEnd"/>
      <w:r w:rsidRPr="006E2182">
        <w:rPr>
          <w:rFonts w:ascii="proxima-nova" w:eastAsia="Times New Roman" w:hAnsi="proxima-nova" w:cs="Times New Roman"/>
          <w:color w:val="333333"/>
          <w:sz w:val="24"/>
          <w:szCs w:val="24"/>
          <w:lang w:eastAsia="en-IN"/>
        </w:rPr>
        <w:t xml:space="preserve">, J., Laurent, G. and </w:t>
      </w:r>
      <w:proofErr w:type="spellStart"/>
      <w:r w:rsidRPr="006E2182">
        <w:rPr>
          <w:rFonts w:ascii="proxima-nova" w:eastAsia="Times New Roman" w:hAnsi="proxima-nova" w:cs="Times New Roman"/>
          <w:color w:val="333333"/>
          <w:sz w:val="24"/>
          <w:szCs w:val="24"/>
          <w:lang w:eastAsia="en-IN"/>
        </w:rPr>
        <w:t>Valette</w:t>
      </w:r>
      <w:proofErr w:type="spellEnd"/>
      <w:r w:rsidRPr="006E2182">
        <w:rPr>
          <w:rFonts w:ascii="proxima-nova" w:eastAsia="Times New Roman" w:hAnsi="proxima-nova" w:cs="Times New Roman"/>
          <w:color w:val="333333"/>
          <w:sz w:val="24"/>
          <w:szCs w:val="24"/>
          <w:lang w:eastAsia="en-IN"/>
        </w:rPr>
        <w:t>-Florence, P. (2016) “Pursuing the concept of luxury: Introduction to the JBR Special Issue on “Luxury Marketing from Tradition to Innovation””, </w:t>
      </w:r>
      <w:r w:rsidRPr="006E2182">
        <w:rPr>
          <w:rFonts w:ascii="proxima-nova" w:eastAsia="Times New Roman" w:hAnsi="proxima-nova" w:cs="Times New Roman"/>
          <w:i/>
          <w:iCs/>
          <w:color w:val="333333"/>
          <w:sz w:val="24"/>
          <w:szCs w:val="24"/>
          <w:lang w:eastAsia="en-IN"/>
        </w:rPr>
        <w:t>Journal of Business Research</w:t>
      </w:r>
      <w:r w:rsidRPr="006E2182">
        <w:rPr>
          <w:rFonts w:ascii="proxima-nova" w:eastAsia="Times New Roman" w:hAnsi="proxima-nova" w:cs="Times New Roman"/>
          <w:color w:val="333333"/>
          <w:sz w:val="24"/>
          <w:szCs w:val="24"/>
          <w:lang w:eastAsia="en-IN"/>
        </w:rPr>
        <w:t>, 69 (1), pp. 299-303.</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Farrier, D. (2019) “Inside Ashgabat, the flashy but empty 'city of the dead'”, [online] Available at: </w:t>
      </w:r>
      <w:hyperlink r:id="rId5" w:tgtFrame="_blank" w:history="1">
        <w:r w:rsidRPr="006E2182">
          <w:rPr>
            <w:rFonts w:ascii="proxima-nova" w:eastAsia="Times New Roman" w:hAnsi="proxima-nova" w:cs="Times New Roman"/>
            <w:color w:val="88B8D8"/>
            <w:sz w:val="24"/>
            <w:szCs w:val="24"/>
            <w:lang w:eastAsia="en-IN"/>
          </w:rPr>
          <w:t>https://www.theguardian.com/cities/2018/aug/08/inside-ashgabat-the-flashy-but-empty-city-of-the-dead-david-farrier-dark-tourist-netflix-turkmenistan</w:t>
        </w:r>
      </w:hyperlink>
      <w:r w:rsidRPr="006E2182">
        <w:rPr>
          <w:rFonts w:ascii="proxima-nova" w:eastAsia="Times New Roman" w:hAnsi="proxima-nova" w:cs="Times New Roman"/>
          <w:color w:val="333333"/>
          <w:sz w:val="24"/>
          <w:szCs w:val="24"/>
          <w:lang w:eastAsia="en-IN"/>
        </w:rPr>
        <w:t> [Accessed on 23 January 2020].</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gramStart"/>
      <w:r w:rsidRPr="006E2182">
        <w:rPr>
          <w:rFonts w:ascii="proxima-nova" w:eastAsia="Times New Roman" w:hAnsi="proxima-nova" w:cs="Times New Roman"/>
          <w:color w:val="333333"/>
          <w:sz w:val="24"/>
          <w:szCs w:val="24"/>
          <w:lang w:eastAsia="en-IN"/>
        </w:rPr>
        <w:t>Gao</w:t>
      </w:r>
      <w:proofErr w:type="gramEnd"/>
      <w:r w:rsidRPr="006E2182">
        <w:rPr>
          <w:rFonts w:ascii="proxima-nova" w:eastAsia="Times New Roman" w:hAnsi="proxima-nova" w:cs="Times New Roman"/>
          <w:color w:val="333333"/>
          <w:sz w:val="24"/>
          <w:szCs w:val="24"/>
          <w:lang w:eastAsia="en-IN"/>
        </w:rPr>
        <w:t>, J., Lin, S. and Zhang, C. (2020) “Authenticity, involvement, and nostalgia: Understanding visitor satisfaction with an adaptive reuse heritage site in urban China”, </w:t>
      </w:r>
      <w:r w:rsidRPr="006E2182">
        <w:rPr>
          <w:rFonts w:ascii="proxima-nova" w:eastAsia="Times New Roman" w:hAnsi="proxima-nova" w:cs="Times New Roman"/>
          <w:i/>
          <w:iCs/>
          <w:color w:val="333333"/>
          <w:sz w:val="24"/>
          <w:szCs w:val="24"/>
          <w:lang w:eastAsia="en-IN"/>
        </w:rPr>
        <w:t>Journal of Destination Marketing &amp; Management</w:t>
      </w:r>
      <w:r w:rsidRPr="006E2182">
        <w:rPr>
          <w:rFonts w:ascii="proxima-nova" w:eastAsia="Times New Roman" w:hAnsi="proxima-nova" w:cs="Times New Roman"/>
          <w:color w:val="333333"/>
          <w:sz w:val="24"/>
          <w:szCs w:val="24"/>
          <w:lang w:eastAsia="en-IN"/>
        </w:rPr>
        <w:t>, 15 (1), pp. 1-14.</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Goh, C., Chong, H., Jack, L. and </w:t>
      </w:r>
      <w:proofErr w:type="spellStart"/>
      <w:r w:rsidRPr="006E2182">
        <w:rPr>
          <w:rFonts w:ascii="proxima-nova" w:eastAsia="Times New Roman" w:hAnsi="proxima-nova" w:cs="Times New Roman"/>
          <w:color w:val="333333"/>
          <w:sz w:val="24"/>
          <w:szCs w:val="24"/>
          <w:lang w:eastAsia="en-IN"/>
        </w:rPr>
        <w:t>Faris</w:t>
      </w:r>
      <w:proofErr w:type="spellEnd"/>
      <w:r w:rsidRPr="006E2182">
        <w:rPr>
          <w:rFonts w:ascii="proxima-nova" w:eastAsia="Times New Roman" w:hAnsi="proxima-nova" w:cs="Times New Roman"/>
          <w:color w:val="333333"/>
          <w:sz w:val="24"/>
          <w:szCs w:val="24"/>
          <w:lang w:eastAsia="en-IN"/>
        </w:rPr>
        <w:t xml:space="preserve">, A. (2019) “Revisiting Triple Bottom Line </w:t>
      </w:r>
      <w:proofErr w:type="gramStart"/>
      <w:r w:rsidRPr="006E2182">
        <w:rPr>
          <w:rFonts w:ascii="proxima-nova" w:eastAsia="Times New Roman" w:hAnsi="proxima-nova" w:cs="Times New Roman"/>
          <w:color w:val="333333"/>
          <w:sz w:val="24"/>
          <w:szCs w:val="24"/>
          <w:lang w:eastAsia="en-IN"/>
        </w:rPr>
        <w:t>Within</w:t>
      </w:r>
      <w:proofErr w:type="gramEnd"/>
      <w:r w:rsidRPr="006E2182">
        <w:rPr>
          <w:rFonts w:ascii="proxima-nova" w:eastAsia="Times New Roman" w:hAnsi="proxima-nova" w:cs="Times New Roman"/>
          <w:color w:val="333333"/>
          <w:sz w:val="24"/>
          <w:szCs w:val="24"/>
          <w:lang w:eastAsia="en-IN"/>
        </w:rPr>
        <w:t xml:space="preserve"> the Context of Sustainable Construction: A Systematic Review”, </w:t>
      </w:r>
      <w:r w:rsidRPr="006E2182">
        <w:rPr>
          <w:rFonts w:ascii="proxima-nova" w:eastAsia="Times New Roman" w:hAnsi="proxima-nova" w:cs="Times New Roman"/>
          <w:i/>
          <w:iCs/>
          <w:color w:val="333333"/>
          <w:sz w:val="24"/>
          <w:szCs w:val="24"/>
          <w:lang w:eastAsia="en-IN"/>
        </w:rPr>
        <w:t>Journal of Cleaner Production</w:t>
      </w:r>
      <w:r w:rsidRPr="006E2182">
        <w:rPr>
          <w:rFonts w:ascii="proxima-nova" w:eastAsia="Times New Roman" w:hAnsi="proxima-nova" w:cs="Times New Roman"/>
          <w:color w:val="333333"/>
          <w:sz w:val="24"/>
          <w:szCs w:val="24"/>
          <w:lang w:eastAsia="en-IN"/>
        </w:rPr>
        <w:t>, 252 (1), pp. 1-15.</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t>Hallinger</w:t>
      </w:r>
      <w:proofErr w:type="spellEnd"/>
      <w:r w:rsidRPr="006E2182">
        <w:rPr>
          <w:rFonts w:ascii="proxima-nova" w:eastAsia="Times New Roman" w:hAnsi="proxima-nova" w:cs="Times New Roman"/>
          <w:color w:val="333333"/>
          <w:sz w:val="24"/>
          <w:szCs w:val="24"/>
          <w:lang w:eastAsia="en-IN"/>
        </w:rPr>
        <w:t xml:space="preserve">, P. and </w:t>
      </w:r>
      <w:proofErr w:type="spellStart"/>
      <w:r w:rsidRPr="006E2182">
        <w:rPr>
          <w:rFonts w:ascii="proxima-nova" w:eastAsia="Times New Roman" w:hAnsi="proxima-nova" w:cs="Times New Roman"/>
          <w:color w:val="333333"/>
          <w:sz w:val="24"/>
          <w:szCs w:val="24"/>
          <w:lang w:eastAsia="en-IN"/>
        </w:rPr>
        <w:t>Chatpinyakoop</w:t>
      </w:r>
      <w:proofErr w:type="spellEnd"/>
      <w:r w:rsidRPr="006E2182">
        <w:rPr>
          <w:rFonts w:ascii="proxima-nova" w:eastAsia="Times New Roman" w:hAnsi="proxima-nova" w:cs="Times New Roman"/>
          <w:color w:val="333333"/>
          <w:sz w:val="24"/>
          <w:szCs w:val="24"/>
          <w:lang w:eastAsia="en-IN"/>
        </w:rPr>
        <w:t>, C. (2019) “A bibliometric review of research on higher education for sustainable development, 1998–2018”, </w:t>
      </w:r>
      <w:r w:rsidRPr="006E2182">
        <w:rPr>
          <w:rFonts w:ascii="proxima-nova" w:eastAsia="Times New Roman" w:hAnsi="proxima-nova" w:cs="Times New Roman"/>
          <w:i/>
          <w:iCs/>
          <w:color w:val="333333"/>
          <w:sz w:val="24"/>
          <w:szCs w:val="24"/>
          <w:lang w:eastAsia="en-IN"/>
        </w:rPr>
        <w:t>Sustainability</w:t>
      </w:r>
      <w:r w:rsidRPr="006E2182">
        <w:rPr>
          <w:rFonts w:ascii="proxima-nova" w:eastAsia="Times New Roman" w:hAnsi="proxima-nova" w:cs="Times New Roman"/>
          <w:color w:val="333333"/>
          <w:sz w:val="24"/>
          <w:szCs w:val="24"/>
          <w:lang w:eastAsia="en-IN"/>
        </w:rPr>
        <w:t>, 11 (8), pp. 1-16.</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proofErr w:type="gramStart"/>
      <w:r w:rsidRPr="006E2182">
        <w:rPr>
          <w:rFonts w:ascii="proxima-nova" w:eastAsia="Times New Roman" w:hAnsi="proxima-nova" w:cs="Times New Roman"/>
          <w:color w:val="333333"/>
          <w:sz w:val="24"/>
          <w:szCs w:val="24"/>
          <w:lang w:eastAsia="en-IN"/>
        </w:rPr>
        <w:t>Ko</w:t>
      </w:r>
      <w:proofErr w:type="spellEnd"/>
      <w:proofErr w:type="gramEnd"/>
      <w:r w:rsidRPr="006E2182">
        <w:rPr>
          <w:rFonts w:ascii="proxima-nova" w:eastAsia="Times New Roman" w:hAnsi="proxima-nova" w:cs="Times New Roman"/>
          <w:color w:val="333333"/>
          <w:sz w:val="24"/>
          <w:szCs w:val="24"/>
          <w:lang w:eastAsia="en-IN"/>
        </w:rPr>
        <w:t>, E., Costello, J. and Taylor, C. (2019) “What is a luxury brand? A new definition and review of the literature”, </w:t>
      </w:r>
      <w:r w:rsidRPr="006E2182">
        <w:rPr>
          <w:rFonts w:ascii="proxima-nova" w:eastAsia="Times New Roman" w:hAnsi="proxima-nova" w:cs="Times New Roman"/>
          <w:i/>
          <w:iCs/>
          <w:color w:val="333333"/>
          <w:sz w:val="24"/>
          <w:szCs w:val="24"/>
          <w:lang w:eastAsia="en-IN"/>
        </w:rPr>
        <w:t>Journal of Business Research</w:t>
      </w:r>
      <w:r w:rsidRPr="006E2182">
        <w:rPr>
          <w:rFonts w:ascii="proxima-nova" w:eastAsia="Times New Roman" w:hAnsi="proxima-nova" w:cs="Times New Roman"/>
          <w:color w:val="333333"/>
          <w:sz w:val="24"/>
          <w:szCs w:val="24"/>
          <w:lang w:eastAsia="en-IN"/>
        </w:rPr>
        <w:t>, 99 (1), pp. 405-413.</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Liu, X., Shin, H. and Burns, A. (2019) “Examining the impact of luxury brand's social media marketing on customer </w:t>
      </w:r>
      <w:proofErr w:type="gramStart"/>
      <w:r w:rsidRPr="006E2182">
        <w:rPr>
          <w:rFonts w:ascii="proxima-nova" w:eastAsia="Times New Roman" w:hAnsi="proxima-nova" w:cs="Times New Roman"/>
          <w:color w:val="333333"/>
          <w:sz w:val="24"/>
          <w:szCs w:val="24"/>
          <w:lang w:eastAsia="en-IN"/>
        </w:rPr>
        <w:t>engagement​:</w:t>
      </w:r>
      <w:proofErr w:type="gramEnd"/>
      <w:r w:rsidRPr="006E2182">
        <w:rPr>
          <w:rFonts w:ascii="proxima-nova" w:eastAsia="Times New Roman" w:hAnsi="proxima-nova" w:cs="Times New Roman"/>
          <w:color w:val="333333"/>
          <w:sz w:val="24"/>
          <w:szCs w:val="24"/>
          <w:lang w:eastAsia="en-IN"/>
        </w:rPr>
        <w:t xml:space="preserve"> Using big data analytics and natural language processing”, </w:t>
      </w:r>
      <w:r w:rsidRPr="006E2182">
        <w:rPr>
          <w:rFonts w:ascii="proxima-nova" w:eastAsia="Times New Roman" w:hAnsi="proxima-nova" w:cs="Times New Roman"/>
          <w:i/>
          <w:iCs/>
          <w:color w:val="333333"/>
          <w:sz w:val="24"/>
          <w:szCs w:val="24"/>
          <w:lang w:eastAsia="en-IN"/>
        </w:rPr>
        <w:t>Journal of Business Research</w:t>
      </w:r>
      <w:r w:rsidRPr="006E2182">
        <w:rPr>
          <w:rFonts w:ascii="proxima-nova" w:eastAsia="Times New Roman" w:hAnsi="proxima-nova" w:cs="Times New Roman"/>
          <w:color w:val="333333"/>
          <w:sz w:val="24"/>
          <w:szCs w:val="24"/>
          <w:lang w:eastAsia="en-IN"/>
        </w:rPr>
        <w:t>, to be published.</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Ma, Z., </w:t>
      </w:r>
      <w:proofErr w:type="spellStart"/>
      <w:proofErr w:type="gramStart"/>
      <w:r w:rsidRPr="006E2182">
        <w:rPr>
          <w:rFonts w:ascii="proxima-nova" w:eastAsia="Times New Roman" w:hAnsi="proxima-nova" w:cs="Times New Roman"/>
          <w:color w:val="333333"/>
          <w:sz w:val="24"/>
          <w:szCs w:val="24"/>
          <w:lang w:eastAsia="en-IN"/>
        </w:rPr>
        <w:t>Cai</w:t>
      </w:r>
      <w:proofErr w:type="spellEnd"/>
      <w:proofErr w:type="gramEnd"/>
      <w:r w:rsidRPr="006E2182">
        <w:rPr>
          <w:rFonts w:ascii="proxima-nova" w:eastAsia="Times New Roman" w:hAnsi="proxima-nova" w:cs="Times New Roman"/>
          <w:color w:val="333333"/>
          <w:sz w:val="24"/>
          <w:szCs w:val="24"/>
          <w:lang w:eastAsia="en-IN"/>
        </w:rPr>
        <w:t>, S., Mao, N., Yang, Q., Feng, J. and Wang, P. (2018) “Construction quality management based on a collaborative system using BIM and indoor positioning”, </w:t>
      </w:r>
      <w:r w:rsidRPr="006E2182">
        <w:rPr>
          <w:rFonts w:ascii="proxima-nova" w:eastAsia="Times New Roman" w:hAnsi="proxima-nova" w:cs="Times New Roman"/>
          <w:i/>
          <w:iCs/>
          <w:color w:val="333333"/>
          <w:sz w:val="24"/>
          <w:szCs w:val="24"/>
          <w:lang w:eastAsia="en-IN"/>
        </w:rPr>
        <w:t>Automation in Construction</w:t>
      </w:r>
      <w:r w:rsidRPr="006E2182">
        <w:rPr>
          <w:rFonts w:ascii="proxima-nova" w:eastAsia="Times New Roman" w:hAnsi="proxima-nova" w:cs="Times New Roman"/>
          <w:color w:val="333333"/>
          <w:sz w:val="24"/>
          <w:szCs w:val="24"/>
          <w:lang w:eastAsia="en-IN"/>
        </w:rPr>
        <w:t>, 92 (1), pp. 35-45.</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t>Marmivrech</w:t>
      </w:r>
      <w:proofErr w:type="spellEnd"/>
      <w:r w:rsidRPr="006E2182">
        <w:rPr>
          <w:rFonts w:ascii="proxima-nova" w:eastAsia="Times New Roman" w:hAnsi="proxima-nova" w:cs="Times New Roman"/>
          <w:color w:val="333333"/>
          <w:sz w:val="24"/>
          <w:szCs w:val="24"/>
          <w:lang w:eastAsia="en-IN"/>
        </w:rPr>
        <w:t xml:space="preserve"> (2019) “The most precious and expensive marbles, granites and natural stones in the world”, [online] Available at: </w:t>
      </w:r>
      <w:hyperlink r:id="rId6" w:tgtFrame="_blank" w:history="1">
        <w:r w:rsidRPr="006E2182">
          <w:rPr>
            <w:rFonts w:ascii="proxima-nova" w:eastAsia="Times New Roman" w:hAnsi="proxima-nova" w:cs="Times New Roman"/>
            <w:color w:val="88B8D8"/>
            <w:sz w:val="24"/>
            <w:szCs w:val="24"/>
            <w:lang w:eastAsia="en-IN"/>
          </w:rPr>
          <w:t>https://www.marmivrech.it/ru/the-most-precious-and-expensive-marbles-granites-and-natural-stones-in-the-world/</w:t>
        </w:r>
      </w:hyperlink>
      <w:r w:rsidRPr="006E2182">
        <w:rPr>
          <w:rFonts w:ascii="proxima-nova" w:eastAsia="Times New Roman" w:hAnsi="proxima-nova" w:cs="Times New Roman"/>
          <w:color w:val="333333"/>
          <w:sz w:val="24"/>
          <w:szCs w:val="24"/>
          <w:lang w:eastAsia="en-IN"/>
        </w:rPr>
        <w:t> [Accessed on 23 January 2020].</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t>Musilek</w:t>
      </w:r>
      <w:proofErr w:type="spellEnd"/>
      <w:r w:rsidRPr="006E2182">
        <w:rPr>
          <w:rFonts w:ascii="proxima-nova" w:eastAsia="Times New Roman" w:hAnsi="proxima-nova" w:cs="Times New Roman"/>
          <w:color w:val="333333"/>
          <w:sz w:val="24"/>
          <w:szCs w:val="24"/>
          <w:lang w:eastAsia="en-IN"/>
        </w:rPr>
        <w:t xml:space="preserve">, J., </w:t>
      </w:r>
      <w:proofErr w:type="spellStart"/>
      <w:r w:rsidRPr="006E2182">
        <w:rPr>
          <w:rFonts w:ascii="proxima-nova" w:eastAsia="Times New Roman" w:hAnsi="proxima-nova" w:cs="Times New Roman"/>
          <w:color w:val="333333"/>
          <w:sz w:val="24"/>
          <w:szCs w:val="24"/>
          <w:lang w:eastAsia="en-IN"/>
        </w:rPr>
        <w:t>Podolka</w:t>
      </w:r>
      <w:proofErr w:type="spellEnd"/>
      <w:r w:rsidRPr="006E2182">
        <w:rPr>
          <w:rFonts w:ascii="proxima-nova" w:eastAsia="Times New Roman" w:hAnsi="proxima-nova" w:cs="Times New Roman"/>
          <w:color w:val="333333"/>
          <w:sz w:val="24"/>
          <w:szCs w:val="24"/>
          <w:lang w:eastAsia="en-IN"/>
        </w:rPr>
        <w:t xml:space="preserve">, L. and </w:t>
      </w:r>
      <w:proofErr w:type="spellStart"/>
      <w:r w:rsidRPr="006E2182">
        <w:rPr>
          <w:rFonts w:ascii="proxima-nova" w:eastAsia="Times New Roman" w:hAnsi="proxima-nova" w:cs="Times New Roman"/>
          <w:color w:val="333333"/>
          <w:sz w:val="24"/>
          <w:szCs w:val="24"/>
          <w:lang w:eastAsia="en-IN"/>
        </w:rPr>
        <w:t>Karkova</w:t>
      </w:r>
      <w:proofErr w:type="spellEnd"/>
      <w:r w:rsidRPr="006E2182">
        <w:rPr>
          <w:rFonts w:ascii="proxima-nova" w:eastAsia="Times New Roman" w:hAnsi="proxima-nova" w:cs="Times New Roman"/>
          <w:color w:val="333333"/>
          <w:sz w:val="24"/>
          <w:szCs w:val="24"/>
          <w:lang w:eastAsia="en-IN"/>
        </w:rPr>
        <w:t xml:space="preserve">, M. (2016) “The Unique Construction of the Church of </w:t>
      </w:r>
      <w:proofErr w:type="spellStart"/>
      <w:r w:rsidRPr="006E2182">
        <w:rPr>
          <w:rFonts w:ascii="proxima-nova" w:eastAsia="Times New Roman" w:hAnsi="proxima-nova" w:cs="Times New Roman"/>
          <w:color w:val="333333"/>
          <w:sz w:val="24"/>
          <w:szCs w:val="24"/>
          <w:lang w:eastAsia="en-IN"/>
        </w:rPr>
        <w:t>Hagia</w:t>
      </w:r>
      <w:proofErr w:type="spellEnd"/>
      <w:r w:rsidRPr="006E2182">
        <w:rPr>
          <w:rFonts w:ascii="proxima-nova" w:eastAsia="Times New Roman" w:hAnsi="proxima-nova" w:cs="Times New Roman"/>
          <w:color w:val="333333"/>
          <w:sz w:val="24"/>
          <w:szCs w:val="24"/>
          <w:lang w:eastAsia="en-IN"/>
        </w:rPr>
        <w:t xml:space="preserve"> Irene in Istanbul for The Teaching of Byzantine Architecture”, </w:t>
      </w:r>
      <w:r w:rsidRPr="006E2182">
        <w:rPr>
          <w:rFonts w:ascii="proxima-nova" w:eastAsia="Times New Roman" w:hAnsi="proxima-nova" w:cs="Times New Roman"/>
          <w:i/>
          <w:iCs/>
          <w:color w:val="333333"/>
          <w:sz w:val="24"/>
          <w:szCs w:val="24"/>
          <w:lang w:eastAsia="en-IN"/>
        </w:rPr>
        <w:t>Procedia engineering</w:t>
      </w:r>
      <w:r w:rsidRPr="006E2182">
        <w:rPr>
          <w:rFonts w:ascii="proxima-nova" w:eastAsia="Times New Roman" w:hAnsi="proxima-nova" w:cs="Times New Roman"/>
          <w:color w:val="333333"/>
          <w:sz w:val="24"/>
          <w:szCs w:val="24"/>
          <w:lang w:eastAsia="en-IN"/>
        </w:rPr>
        <w:t>, 161 (1), pp. 1745-1750.</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proofErr w:type="spellStart"/>
      <w:r w:rsidRPr="006E2182">
        <w:rPr>
          <w:rFonts w:ascii="proxima-nova" w:eastAsia="Times New Roman" w:hAnsi="proxima-nova" w:cs="Times New Roman"/>
          <w:color w:val="333333"/>
          <w:sz w:val="24"/>
          <w:szCs w:val="24"/>
          <w:lang w:eastAsia="en-IN"/>
        </w:rPr>
        <w:t>Tino</w:t>
      </w:r>
      <w:proofErr w:type="spellEnd"/>
      <w:r w:rsidRPr="006E2182">
        <w:rPr>
          <w:rFonts w:ascii="proxima-nova" w:eastAsia="Times New Roman" w:hAnsi="proxima-nova" w:cs="Times New Roman"/>
          <w:color w:val="333333"/>
          <w:sz w:val="24"/>
          <w:szCs w:val="24"/>
          <w:lang w:eastAsia="en-IN"/>
        </w:rPr>
        <w:t xml:space="preserve"> (2020) ‘White marble’, [online] Available at: </w:t>
      </w:r>
      <w:hyperlink r:id="rId7" w:tgtFrame="_blank" w:history="1">
        <w:r w:rsidRPr="006E2182">
          <w:rPr>
            <w:rFonts w:ascii="proxima-nova" w:eastAsia="Times New Roman" w:hAnsi="proxima-nova" w:cs="Times New Roman"/>
            <w:color w:val="88B8D8"/>
            <w:sz w:val="24"/>
            <w:szCs w:val="24"/>
            <w:lang w:eastAsia="en-IN"/>
          </w:rPr>
          <w:t>https://www.tinostone.com/white-marble-in-luxury-interiors/</w:t>
        </w:r>
      </w:hyperlink>
      <w:r w:rsidRPr="006E2182">
        <w:rPr>
          <w:rFonts w:ascii="proxima-nova" w:eastAsia="Times New Roman" w:hAnsi="proxima-nova" w:cs="Times New Roman"/>
          <w:color w:val="333333"/>
          <w:sz w:val="24"/>
          <w:szCs w:val="24"/>
          <w:lang w:eastAsia="en-IN"/>
        </w:rPr>
        <w:t> [Accessed on 23 January 2020].</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Yu, S. and Hu, Y. (2020) “When luxury brands meet China: The effect of localized celebrity endorsements in social media marketing”, </w:t>
      </w:r>
      <w:r w:rsidRPr="006E2182">
        <w:rPr>
          <w:rFonts w:ascii="proxima-nova" w:eastAsia="Times New Roman" w:hAnsi="proxima-nova" w:cs="Times New Roman"/>
          <w:i/>
          <w:iCs/>
          <w:color w:val="333333"/>
          <w:sz w:val="24"/>
          <w:szCs w:val="24"/>
          <w:lang w:eastAsia="en-IN"/>
        </w:rPr>
        <w:t>Journal of Retailing and Consumer Services</w:t>
      </w:r>
      <w:r w:rsidRPr="006E2182">
        <w:rPr>
          <w:rFonts w:ascii="proxima-nova" w:eastAsia="Times New Roman" w:hAnsi="proxima-nova" w:cs="Times New Roman"/>
          <w:color w:val="333333"/>
          <w:sz w:val="24"/>
          <w:szCs w:val="24"/>
          <w:lang w:eastAsia="en-IN"/>
        </w:rPr>
        <w:t>, 54 (1), pp. 1-14.</w:t>
      </w:r>
    </w:p>
    <w:p w:rsidR="006E2182" w:rsidRPr="006E2182" w:rsidRDefault="006E2182" w:rsidP="006E2182">
      <w:pPr>
        <w:shd w:val="clear" w:color="auto" w:fill="FFFFFF"/>
        <w:spacing w:after="150" w:line="240" w:lineRule="auto"/>
        <w:jc w:val="both"/>
        <w:rPr>
          <w:rFonts w:ascii="proxima-nova" w:eastAsia="Times New Roman" w:hAnsi="proxima-nova" w:cs="Times New Roman"/>
          <w:color w:val="333333"/>
          <w:sz w:val="24"/>
          <w:szCs w:val="24"/>
          <w:lang w:eastAsia="en-IN"/>
        </w:rPr>
      </w:pPr>
      <w:r w:rsidRPr="006E2182">
        <w:rPr>
          <w:rFonts w:ascii="proxima-nova" w:eastAsia="Times New Roman" w:hAnsi="proxima-nova" w:cs="Times New Roman"/>
          <w:color w:val="333333"/>
          <w:sz w:val="24"/>
          <w:szCs w:val="24"/>
          <w:lang w:eastAsia="en-IN"/>
        </w:rPr>
        <w:t xml:space="preserve">Yu, T., Man, Q., Wang, Y., Shen, G., Hong, J., Zhang, J. and </w:t>
      </w:r>
      <w:proofErr w:type="spellStart"/>
      <w:r w:rsidRPr="006E2182">
        <w:rPr>
          <w:rFonts w:ascii="proxima-nova" w:eastAsia="Times New Roman" w:hAnsi="proxima-nova" w:cs="Times New Roman"/>
          <w:color w:val="333333"/>
          <w:sz w:val="24"/>
          <w:szCs w:val="24"/>
          <w:lang w:eastAsia="en-IN"/>
        </w:rPr>
        <w:t>Zhong</w:t>
      </w:r>
      <w:proofErr w:type="spellEnd"/>
      <w:r w:rsidRPr="006E2182">
        <w:rPr>
          <w:rFonts w:ascii="proxima-nova" w:eastAsia="Times New Roman" w:hAnsi="proxima-nova" w:cs="Times New Roman"/>
          <w:color w:val="333333"/>
          <w:sz w:val="24"/>
          <w:szCs w:val="24"/>
          <w:lang w:eastAsia="en-IN"/>
        </w:rPr>
        <w:t>, J. (2019) “Evaluating different stakeholder impacts on the occurrence of quality defects in offsite construction projects: A Bayesian-network-based model”, </w:t>
      </w:r>
      <w:r w:rsidRPr="006E2182">
        <w:rPr>
          <w:rFonts w:ascii="proxima-nova" w:eastAsia="Times New Roman" w:hAnsi="proxima-nova" w:cs="Times New Roman"/>
          <w:i/>
          <w:iCs/>
          <w:color w:val="333333"/>
          <w:sz w:val="24"/>
          <w:szCs w:val="24"/>
          <w:lang w:eastAsia="en-IN"/>
        </w:rPr>
        <w:t>Journal of Cleaner Production</w:t>
      </w:r>
      <w:r w:rsidRPr="006E2182">
        <w:rPr>
          <w:rFonts w:ascii="proxima-nova" w:eastAsia="Times New Roman" w:hAnsi="proxima-nova" w:cs="Times New Roman"/>
          <w:color w:val="333333"/>
          <w:sz w:val="24"/>
          <w:szCs w:val="24"/>
          <w:lang w:eastAsia="en-IN"/>
        </w:rPr>
        <w:t>, 241 (1), pp. 1-13.</w:t>
      </w:r>
    </w:p>
    <w:p w:rsidR="00FF7EB4" w:rsidRDefault="006E2182">
      <w:bookmarkStart w:id="0" w:name="_GoBack"/>
      <w:r>
        <w:rPr>
          <w:noProof/>
          <w:lang w:eastAsia="en-IN"/>
        </w:rPr>
        <w:lastRenderedPageBreak/>
        <w:drawing>
          <wp:inline distT="0" distB="0" distL="0" distR="0">
            <wp:extent cx="5731510" cy="5731510"/>
            <wp:effectExtent l="0" t="0" r="254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rder a custom written paper of high quality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bookmarkEnd w:id="0"/>
    </w:p>
    <w:sectPr w:rsidR="00FF7EB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roxima-nov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182"/>
    <w:rsid w:val="006E2182"/>
    <w:rsid w:val="00FF7E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E83E14-1846-40D5-97E2-92DC9F4E6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6E2182"/>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E2182"/>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6E2182"/>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E2182"/>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E2182"/>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6E2182"/>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6E218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6E2182"/>
    <w:rPr>
      <w:i/>
      <w:iCs/>
    </w:rPr>
  </w:style>
  <w:style w:type="character" w:styleId="Hyperlink">
    <w:name w:val="Hyperlink"/>
    <w:basedOn w:val="DefaultParagraphFont"/>
    <w:uiPriority w:val="99"/>
    <w:semiHidden/>
    <w:unhideWhenUsed/>
    <w:rsid w:val="006E218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0155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tinostone.com/white-marble-in-luxury-interior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marmivrech.it/ru/the-most-precious-and-expensive-marbles-granites-and-natural-stones-in-the-world/" TargetMode="External"/><Relationship Id="rId5" Type="http://schemas.openxmlformats.org/officeDocument/2006/relationships/hyperlink" Target="https://www.theguardian.com/cities/2018/aug/08/inside-ashgabat-the-flashy-but-empty-city-of-the-dead-david-farrier-dark-tourist-netflix-turkmenistan" TargetMode="External"/><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2060</Words>
  <Characters>11744</Characters>
  <Application>Microsoft Office Word</Application>
  <DocSecurity>0</DocSecurity>
  <Lines>97</Lines>
  <Paragraphs>27</Paragraphs>
  <ScaleCrop>false</ScaleCrop>
  <Company/>
  <LinksUpToDate>false</LinksUpToDate>
  <CharactersWithSpaces>13777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2021-12-07T10:31:00Z</dcterms:created>
  <dcterms:modified xsi:type="dcterms:W3CDTF">2021-12-07T10:34:00Z</dcterms:modified>
</cp:coreProperties>
</file>